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仿宋" w:hAnsi="仿宋" w:eastAsia="仿宋" w:cs="仿宋"/>
          <w:i w:val="0"/>
          <w:caps w:val="0"/>
          <w:color w:val="333333"/>
          <w:spacing w:val="0"/>
          <w:sz w:val="36"/>
          <w:szCs w:val="36"/>
          <w:bdr w:val="none" w:color="auto" w:sz="0" w:space="0"/>
        </w:rPr>
      </w:pPr>
      <w:bookmarkStart w:id="0" w:name="_GoBack"/>
      <w:r>
        <w:rPr>
          <w:rFonts w:hint="eastAsia" w:ascii="仿宋" w:hAnsi="仿宋" w:eastAsia="仿宋" w:cs="仿宋"/>
          <w:i w:val="0"/>
          <w:caps w:val="0"/>
          <w:color w:val="333333"/>
          <w:spacing w:val="0"/>
          <w:sz w:val="36"/>
          <w:szCs w:val="36"/>
          <w:bdr w:val="none" w:color="auto" w:sz="0" w:space="0"/>
        </w:rPr>
        <w:t>关于促进政府采购公平竞争优化营商环境的通知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ascii="仿宋" w:hAnsi="仿宋" w:eastAsia="仿宋" w:cs="仿宋"/>
          <w:i w:val="0"/>
          <w:caps w:val="0"/>
          <w:color w:val="333333"/>
          <w:spacing w:val="0"/>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 w:hAnsi="仿宋" w:eastAsia="仿宋" w:cs="仿宋"/>
          <w:i w:val="0"/>
          <w:caps w:val="0"/>
          <w:color w:val="333333"/>
          <w:spacing w:val="0"/>
          <w:sz w:val="32"/>
          <w:szCs w:val="32"/>
          <w:bdr w:val="none" w:color="auto" w:sz="0" w:space="0"/>
        </w:rPr>
      </w:pPr>
      <w:r>
        <w:rPr>
          <w:rFonts w:ascii="仿宋" w:hAnsi="仿宋" w:eastAsia="仿宋" w:cs="仿宋"/>
          <w:i w:val="0"/>
          <w:caps w:val="0"/>
          <w:color w:val="333333"/>
          <w:spacing w:val="0"/>
          <w:sz w:val="32"/>
          <w:szCs w:val="32"/>
          <w:bdr w:val="none" w:color="auto" w:sz="0" w:space="0"/>
        </w:rPr>
        <w:t>财库〔</w:t>
      </w:r>
      <w:r>
        <w:rPr>
          <w:rFonts w:hint="eastAsia" w:ascii="仿宋" w:hAnsi="仿宋" w:eastAsia="仿宋" w:cs="仿宋"/>
          <w:i w:val="0"/>
          <w:caps w:val="0"/>
          <w:color w:val="333333"/>
          <w:spacing w:val="0"/>
          <w:sz w:val="32"/>
          <w:szCs w:val="32"/>
          <w:bdr w:val="none" w:color="auto" w:sz="0" w:space="0"/>
        </w:rPr>
        <w:t>2019〕38号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 w:hAnsi="仿宋" w:eastAsia="仿宋" w:cs="仿宋"/>
          <w:i w:val="0"/>
          <w:caps w:val="0"/>
          <w:color w:val="333333"/>
          <w:spacing w:val="0"/>
          <w:sz w:val="32"/>
          <w:szCs w:val="3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各中央预算单位，各省、自治区、直辖市、计划单列市财政厅（局），新疆生产建设兵团财政局：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为贯彻落实中央深改委审议通过的《深化政府采购制度改革方案》和《国务院办公厅关于聚焦企业关切进一步推动优化营商环境政策落实的通知》（国办发〔2018〕104号）有关要求，构建统一开放、竞争有序的政府采购市场体系，现就促进政府采购领域公平竞争、优化营商环境相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w:t>
      </w:r>
      <w:r>
        <w:rPr>
          <w:rFonts w:ascii="黑体" w:hAnsi="宋体" w:eastAsia="黑体" w:cs="黑体"/>
          <w:i w:val="0"/>
          <w:caps w:val="0"/>
          <w:color w:val="333333"/>
          <w:spacing w:val="0"/>
          <w:sz w:val="32"/>
          <w:szCs w:val="32"/>
          <w:bdr w:val="none" w:color="auto" w:sz="0" w:space="0"/>
        </w:rPr>
        <w:t>　一、全面清理政府采购领域妨碍公平竞争的规定和做法</w:t>
      </w:r>
      <w:r>
        <w:rPr>
          <w:rFonts w:hint="eastAsia" w:ascii="微软雅黑" w:hAnsi="微软雅黑" w:eastAsia="微软雅黑" w:cs="微软雅黑"/>
          <w:i w:val="0"/>
          <w:caps w:val="0"/>
          <w:color w:val="333333"/>
          <w:spacing w:val="0"/>
          <w:sz w:val="32"/>
          <w:szCs w:val="3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各地区、各部门应当严格落实《中华人民共和国政府采购法》等相关法律法规的要求，依法保障各类市场主体平等参与政府采购活动的权利。要全面清理政府采购领域妨碍公平竞争的规定和做法，重点清理和纠正以下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（一）以供应商的所有制形式、组织形式或者股权结构，对供应商实施差别待遇或者歧视待遇，对民营企业设置不平等条款，对内资企业和外资企业在中国境内生产的产品、提供的服务区别对待；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（二）除小额零星采购适用的协议供货、定点采购以及财政部另有规定的情形外，通过入围方式设置备选库、名录库、资格库作为参与政府采购活动的资格条件，妨碍供应商进入政府采购市场；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（三）要求供应商在政府采购活动前进行不必要的登记、注册，或者要求设立分支机构，设置或者变相设置进入政府采购市场的障碍；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（四）设置或者变相设置供应商规模、成立年限等门槛，限制供应商参与政府采购活动；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（五）要求供应商购买指定软件，作为参加电子化政府采购活动的条件；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（六）不依法及时、有效、完整发布或者提供采购项目信息，妨碍供应商参与政府采购活动；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（七）强制要求采购人采用抓阄、摇号等随机方式或者比选方式选择采购代理机构，干预采购人自主选择采购代理机构；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（八）设置没有法律法规依据的审批、备案、监管、处罚、收费等事项；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（九）除《政府采购货物和服务招标投标管理办法》第六十八条规定的情形外，要求采购人采用随机方式确定中标、成交供应商；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（十）违反法律法规相关规定的其他妨碍公平竞争的情形。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各地区、各部门要抓紧清理政府采购领域妨碍公平竞争的规定和做法，有关清理结果要及时向社会公开，并于2019年10月31日前报送财政部。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w:t>
      </w:r>
      <w:r>
        <w:rPr>
          <w:rFonts w:hint="eastAsia" w:ascii="黑体" w:hAnsi="宋体" w:eastAsia="黑体" w:cs="黑体"/>
          <w:i w:val="0"/>
          <w:caps w:val="0"/>
          <w:color w:val="333333"/>
          <w:spacing w:val="0"/>
          <w:sz w:val="32"/>
          <w:szCs w:val="32"/>
          <w:bdr w:val="none" w:color="auto" w:sz="0" w:space="0"/>
        </w:rPr>
        <w:t>　二、严格执行公平竞争审查制度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各地区、各部门制定涉及市场主体的政府采购制度办法，要严格执行公平竞争审查制度，充分听取市场主体和相关行业协会商会意见，评估对市场竞争的影响，防止出现排除、限制市场竞争问题。重点审查制度办法是否设置不合理和歧视性的准入条件排斥潜在供应商参与政府采购活动，是否设置没有法律法规依据的行政审批或者具有审批性质的备案，是否违规给予特定供应商优惠待遇等。经审查认为不具有排除、限制竞争效果的，可以颁布实施；具有排除、限制竞争效果的，应当不予出台或者调整至符合相关要求后出台；未经公平竞争审查的，不得出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在政府采购相关制度办法实施过程中，应当定期或者适时评估其对全国统一市场和公平竞争的影响，对妨碍统一市场和公平竞争的，要及时修改完善或者予以废止。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w:t>
      </w:r>
      <w:r>
        <w:rPr>
          <w:rFonts w:hint="eastAsia" w:ascii="黑体" w:hAnsi="宋体" w:eastAsia="黑体" w:cs="黑体"/>
          <w:i w:val="0"/>
          <w:caps w:val="0"/>
          <w:color w:val="333333"/>
          <w:spacing w:val="0"/>
          <w:sz w:val="32"/>
          <w:szCs w:val="32"/>
          <w:bdr w:val="none" w:color="auto" w:sz="0" w:space="0"/>
        </w:rPr>
        <w:t>三、加强政府采购执行管理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优化采购活动办事程序。对于供应商法人代表已经出具委托书的，不得要求供应商法人代表亲自领购采购文件或者到场参加开标、谈判等。对于采购人、采购代理机构可以通过互联网或者相关信息系统查询的信息，不得要求供应商提供。除必要的原件核对外，对于供应商能够在线提供的材料，不得要求供应商同时提供纸质材料。对于供应商依照规定提交各类声明函、承诺函的，不得要求其再提供有关部门出具的相关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细化采购活动执行要求。采购人允许采用分包方式履行合同的，应当在采购文件中明确可以分包履行的具体内容、金额或者比例。采购人、采购代理机构对投标（响应）文件的格式、形式要求应当简化明确，不得因装订、纸张、文件排序等非实质性的格式、形式问题限制和影响供应商投标（响应）。实现电子化采购的，采购人、采购代理机构应当向供应商免费提供电子采购文件；暂未实现电子化采购的，鼓励采购人、采购代理机构向供应商免费提供纸质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规范保证金收取和退还。采购人、采购代理机构应当允许供应商自主选择以支票、汇票、本票、保函等非现金形式缴纳或提交保证金。收取投标（响应）保证金的，采购人、采购代理机构约定的到账（保函提交）截止时间应当与投标（响应）截止时间一致，并按照规定及时退还供应商。收取履约保证金的，应当在采购合同中约定履约保证金退还的方式、时间、条件和不予退还的情形，明确逾期退还履约保证金的违约责任。采购人、采购代理机构不得收取没有法律法规依据的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及时支付采购资金。政府采购合同应当约定资金支付的方式、时间和条件，明确逾期支付资金的违约责任。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完善对供应商的利益损害赔偿和补偿机制。采购人和供应商应当在政府采购合同中明确约定双方的违约责任。对于因采购人原因导致变更、中止或者终止政府采购合同的，采购人应当依照合同约定对供应商受到的损失予以赔偿或者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w:t>
      </w:r>
      <w:r>
        <w:rPr>
          <w:rFonts w:hint="eastAsia" w:ascii="黑体" w:hAnsi="宋体" w:eastAsia="黑体" w:cs="黑体"/>
          <w:i w:val="0"/>
          <w:caps w:val="0"/>
          <w:color w:val="333333"/>
          <w:spacing w:val="0"/>
          <w:sz w:val="32"/>
          <w:szCs w:val="32"/>
          <w:bdr w:val="none" w:color="auto" w:sz="0" w:space="0"/>
        </w:rPr>
        <w:t>四、加快推进电子化政府采购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推进采购项目电子化实施。要加快完善电子化政府采购平台的网上交易功能，实现在线发布采购公告、提供采购文件、提交投标（响应）文件，实行电子开标、电子评审。逐步建立电子化政府采购平台与财政业务、采购单位内部管理等信息系统的衔接，完善和优化合同签订、履约验收、信用评价、用户反馈、提交发票、资金支付等线上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加快实施“互联网+政府采购”行动。积极推进电子化政府采购平台和电子卖场建设，建立健全统一的技术标准和数据规范，逐步实现全国范围内的互联互通，推动与公共资源交易平台数据共享，提升供应商参与政府采购活动的便利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w:t>
      </w:r>
      <w:r>
        <w:rPr>
          <w:rFonts w:hint="eastAsia" w:ascii="黑体" w:hAnsi="宋体" w:eastAsia="黑体" w:cs="黑体"/>
          <w:i w:val="0"/>
          <w:caps w:val="0"/>
          <w:color w:val="333333"/>
          <w:spacing w:val="0"/>
          <w:sz w:val="32"/>
          <w:szCs w:val="32"/>
          <w:bdr w:val="none" w:color="auto" w:sz="0" w:space="0"/>
        </w:rPr>
        <w:t>五、进一步提升政府采购透明度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加强政府采购透明度建设。完善政府采购信息发布平台服务功能。中国政府采购网及地方分网等政府采购信息发布平台应当提供便捷、免费的在线检索服务，向市场主体无偿提供所有依法公开的政府采购信息。推进开标活动对外公开，在保证正常开标秩序的前提下，允许除投标人及其代表之外的其他人员观摩开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推进采购意向公开。采购意向包括主要采购项目、采购内容及需求概况、预算金额、预计采购时间等。为便于供应商提前了解采购信息，各地区、各部门应当创造条件积极推进采购意向公开（涉密信息除外）。自2020年起，选择部分中央部门和地方开展公开采购意向试点。在试点基础上，逐步实现各级预算单位采购意向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w:t>
      </w:r>
      <w:r>
        <w:rPr>
          <w:rFonts w:hint="eastAsia" w:ascii="黑体" w:hAnsi="宋体" w:eastAsia="黑体" w:cs="黑体"/>
          <w:i w:val="0"/>
          <w:caps w:val="0"/>
          <w:color w:val="333333"/>
          <w:spacing w:val="0"/>
          <w:sz w:val="32"/>
          <w:szCs w:val="32"/>
          <w:bdr w:val="none" w:color="auto" w:sz="0" w:space="0"/>
        </w:rPr>
        <w:t>六、完善政府采购质疑投诉和行政裁决机制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畅通供应商质疑投诉渠道。研究建立与“互联网+政府采购”相适应的快速裁决通道，为供应商提供标准统一、高效便捷的维权服务。对供应商提出的质疑和投诉，采购人、采购代理机构和各级财政部门应当依法及时答复和处理。完善质疑答复内部控制制度，有条件的采购人和集中采购机构应当实现政府采购质疑答复岗位与操作执行岗位相分离，进一步健全政府采购质疑投诉处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依法依规实施行政处罚。各级财政部门实施政府采购行政处罚，应当依法保障当事人的告知权、陈述权、申辩权、听证权等，保证程序合法。坚持处罚和教育相结合的原则，正确适用和区分从轻处罚、减轻处罚和不予处罚情形，作出的行政处罚应与违法行为的事实、性质、情节以及社会危害程度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各地区、各部门要充分认识维护政府采购公平竞争市场秩序、优化政府采购营商环境的重要意义，加强组织领导，明确工作责任，周密安排部署，强化监督检查，确保各项要求落实到位。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本通知自2019年9月1日起施行。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财 </w:t>
      </w:r>
      <w:r>
        <w:rPr>
          <w:rFonts w:hint="eastAsia" w:ascii="微软雅黑" w:hAnsi="微软雅黑" w:eastAsia="微软雅黑" w:cs="微软雅黑"/>
          <w:i w:val="0"/>
          <w:caps w:val="0"/>
          <w:color w:val="333333"/>
          <w:spacing w:val="0"/>
          <w:sz w:val="32"/>
          <w:szCs w:val="32"/>
          <w:bdr w:val="none" w:color="auto" w:sz="0" w:space="0"/>
        </w:rPr>
        <w:t> </w:t>
      </w:r>
      <w:r>
        <w:rPr>
          <w:rFonts w:hint="eastAsia" w:ascii="仿宋" w:hAnsi="仿宋" w:eastAsia="仿宋" w:cs="仿宋"/>
          <w:i w:val="0"/>
          <w:caps w:val="0"/>
          <w:color w:val="333333"/>
          <w:spacing w:val="0"/>
          <w:sz w:val="32"/>
          <w:szCs w:val="32"/>
          <w:bdr w:val="none" w:color="auto" w:sz="0" w:space="0"/>
        </w:rPr>
        <w:t>政 </w:t>
      </w:r>
      <w:r>
        <w:rPr>
          <w:rFonts w:hint="eastAsia" w:ascii="微软雅黑" w:hAnsi="微软雅黑" w:eastAsia="微软雅黑" w:cs="微软雅黑"/>
          <w:i w:val="0"/>
          <w:caps w:val="0"/>
          <w:color w:val="333333"/>
          <w:spacing w:val="0"/>
          <w:sz w:val="32"/>
          <w:szCs w:val="32"/>
          <w:bdr w:val="none" w:color="auto" w:sz="0" w:space="0"/>
        </w:rPr>
        <w:t> </w:t>
      </w:r>
      <w:r>
        <w:rPr>
          <w:rFonts w:hint="eastAsia" w:ascii="仿宋" w:hAnsi="仿宋" w:eastAsia="仿宋" w:cs="仿宋"/>
          <w:i w:val="0"/>
          <w:caps w:val="0"/>
          <w:color w:val="333333"/>
          <w:spacing w:val="0"/>
          <w:sz w:val="32"/>
          <w:szCs w:val="32"/>
          <w:bdr w:val="none" w:color="auto" w:sz="0" w:space="0"/>
        </w:rPr>
        <w:t>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rPr>
        <w:t>　　2019年7月26日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文星仿宋">
    <w:altName w:val="宋体"/>
    <w:panose1 w:val="0201060900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8130D"/>
    <w:rsid w:val="648E0733"/>
    <w:rsid w:val="7DF8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2"/>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2019-09-24T07:28:00Z</dcterms:created>
  <dc:creator>hp</dc:creator>
  <cp:lastModifiedBy>玖贰班</cp:lastModifiedBy>
  <dcterms:modified xsi:type="dcterms:W3CDTF">2019-11-05T01:35:41Z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