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ind w:right="0" w:firstLine="964" w:firstLineChars="300"/>
        <w:jc w:val="center"/>
        <w:rPr>
          <w:rFonts w:hint="eastAsia" w:ascii="仿宋_GB2312" w:hAnsi="微软雅黑" w:eastAsia="仿宋_GB2312" w:cs="仿宋_GB2312"/>
          <w:b/>
          <w:bCs/>
          <w:i w:val="0"/>
          <w:iCs w:val="0"/>
          <w:caps w:val="0"/>
          <w:color w:val="333333"/>
          <w:spacing w:val="0"/>
          <w:kern w:val="0"/>
          <w:sz w:val="32"/>
          <w:szCs w:val="32"/>
          <w:u w:val="none"/>
          <w:lang w:val="en-US" w:eastAsia="zh-CN" w:bidi="ar"/>
        </w:rPr>
      </w:pPr>
      <w:r>
        <w:rPr>
          <w:rFonts w:hint="eastAsia" w:ascii="仿宋_GB2312" w:hAnsi="微软雅黑" w:eastAsia="仿宋_GB2312" w:cs="仿宋_GB2312"/>
          <w:b/>
          <w:bCs/>
          <w:i w:val="0"/>
          <w:iCs w:val="0"/>
          <w:caps w:val="0"/>
          <w:color w:val="333333"/>
          <w:spacing w:val="0"/>
          <w:kern w:val="0"/>
          <w:sz w:val="32"/>
          <w:szCs w:val="32"/>
          <w:u w:val="none"/>
          <w:lang w:val="en-US" w:eastAsia="zh-CN" w:bidi="ar"/>
        </w:rPr>
        <w:t>中央生态环境保护督察群众信访举报交办和边督边改公开情况一览表（第二十八批）</w:t>
      </w:r>
    </w:p>
    <w:p>
      <w:pPr>
        <w:keepNext w:val="0"/>
        <w:keepLines w:val="0"/>
        <w:widowControl/>
        <w:suppressLineNumbers w:val="0"/>
        <w:spacing w:before="0" w:beforeAutospacing="0" w:after="0" w:afterAutospacing="0"/>
        <w:ind w:right="0" w:firstLine="630" w:firstLineChars="300"/>
        <w:jc w:val="center"/>
        <w:rPr>
          <w:rFonts w:hint="default" w:ascii="Times New Roman" w:hAnsi="Times New Roman" w:eastAsia="方正仿宋_GBK" w:cs="Times New Roman"/>
          <w:kern w:val="2"/>
          <w:sz w:val="24"/>
          <w:szCs w:val="24"/>
          <w:lang w:val="en-US" w:eastAsia="zh-CN" w:bidi="ar"/>
        </w:rPr>
      </w:pPr>
      <w:r>
        <w:rPr>
          <w:rFonts w:hint="eastAsia" w:ascii="仿宋_GB2312" w:hAnsi="微软雅黑" w:eastAsia="仿宋_GB2312" w:cs="仿宋_GB2312"/>
          <w:b w:val="0"/>
          <w:bCs w:val="0"/>
          <w:i w:val="0"/>
          <w:iCs w:val="0"/>
          <w:caps w:val="0"/>
          <w:color w:val="333333"/>
          <w:spacing w:val="0"/>
          <w:kern w:val="0"/>
          <w:sz w:val="21"/>
          <w:szCs w:val="21"/>
          <w:u w:val="none"/>
          <w:lang w:val="en-US" w:eastAsia="zh-CN" w:bidi="ar"/>
        </w:rPr>
        <w:t>（第二十八批   2025年7月3日）</w:t>
      </w:r>
    </w:p>
    <w:tbl>
      <w:tblPr>
        <w:tblStyle w:val="4"/>
        <w:tblW w:w="499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8"/>
        <w:gridCol w:w="1174"/>
        <w:gridCol w:w="2077"/>
        <w:gridCol w:w="1091"/>
        <w:gridCol w:w="1472"/>
        <w:gridCol w:w="7510"/>
        <w:gridCol w:w="918"/>
        <w:gridCol w:w="1213"/>
        <w:gridCol w:w="3178"/>
        <w:gridCol w:w="1065"/>
        <w:gridCol w:w="13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uppressAutoHyphens/>
              <w:snapToGrid w:val="0"/>
              <w:spacing w:before="0" w:beforeAutospacing="0" w:after="0" w:afterAutospacing="0" w:line="400" w:lineRule="exact"/>
              <w:ind w:left="0" w:right="0"/>
              <w:jc w:val="center"/>
              <w:rPr>
                <w:rFonts w:hint="default" w:ascii="Times New Roman" w:hAnsi="Times New Roman" w:eastAsia="方正仿宋_GBK" w:cs="Times New Roman"/>
                <w:kern w:val="2"/>
                <w:sz w:val="22"/>
                <w:szCs w:val="22"/>
              </w:rPr>
            </w:pPr>
            <w:r>
              <w:rPr>
                <w:rFonts w:hint="eastAsia" w:ascii="方正仿宋_GBK" w:hAnsi="方正仿宋_GBK" w:eastAsia="方正仿宋_GBK" w:cs="方正仿宋_GBK"/>
                <w:kern w:val="2"/>
                <w:sz w:val="22"/>
                <w:szCs w:val="22"/>
                <w:lang w:val="en-US" w:eastAsia="zh-CN" w:bidi="ar"/>
              </w:rPr>
              <w:t>序号</w:t>
            </w:r>
          </w:p>
        </w:tc>
        <w:tc>
          <w:tcPr>
            <w:tcW w:w="270" w:type="pct"/>
            <w:tcBorders>
              <w:top w:val="single" w:color="000000" w:sz="4" w:space="0"/>
              <w:left w:val="nil"/>
              <w:bottom w:val="single" w:color="000000" w:sz="4" w:space="0"/>
              <w:right w:val="single" w:color="000000" w:sz="4" w:space="0"/>
            </w:tcBorders>
            <w:noWrap w:val="0"/>
            <w:vAlign w:val="center"/>
          </w:tcPr>
          <w:p>
            <w:pPr>
              <w:keepNext w:val="0"/>
              <w:keepLines w:val="0"/>
              <w:widowControl w:val="0"/>
              <w:suppressLineNumbers w:val="0"/>
              <w:suppressAutoHyphens/>
              <w:snapToGrid w:val="0"/>
              <w:spacing w:before="0" w:beforeAutospacing="0" w:after="0" w:afterAutospacing="0" w:line="400" w:lineRule="exact"/>
              <w:ind w:left="0" w:right="0"/>
              <w:jc w:val="center"/>
              <w:rPr>
                <w:rFonts w:hint="default" w:ascii="Times New Roman" w:hAnsi="Times New Roman" w:eastAsia="方正仿宋_GBK" w:cs="Times New Roman"/>
                <w:kern w:val="2"/>
                <w:sz w:val="22"/>
                <w:szCs w:val="22"/>
              </w:rPr>
            </w:pPr>
            <w:r>
              <w:rPr>
                <w:rFonts w:hint="eastAsia" w:ascii="方正仿宋_GBK" w:hAnsi="方正仿宋_GBK" w:eastAsia="方正仿宋_GBK" w:cs="方正仿宋_GBK"/>
                <w:kern w:val="2"/>
                <w:sz w:val="22"/>
                <w:szCs w:val="22"/>
                <w:lang w:val="en-US" w:eastAsia="zh-CN" w:bidi="ar"/>
              </w:rPr>
              <w:t>受理</w:t>
            </w:r>
          </w:p>
          <w:p>
            <w:pPr>
              <w:keepNext w:val="0"/>
              <w:keepLines w:val="0"/>
              <w:widowControl w:val="0"/>
              <w:suppressLineNumbers w:val="0"/>
              <w:suppressAutoHyphens/>
              <w:snapToGrid w:val="0"/>
              <w:spacing w:before="0" w:beforeAutospacing="0" w:after="0" w:afterAutospacing="0" w:line="400" w:lineRule="exact"/>
              <w:ind w:left="0" w:right="0"/>
              <w:jc w:val="center"/>
              <w:rPr>
                <w:rFonts w:hint="default" w:ascii="Times New Roman" w:hAnsi="Times New Roman" w:eastAsia="方正仿宋_GBK" w:cs="Times New Roman"/>
                <w:kern w:val="2"/>
                <w:sz w:val="22"/>
                <w:szCs w:val="22"/>
              </w:rPr>
            </w:pPr>
            <w:r>
              <w:rPr>
                <w:rFonts w:hint="eastAsia" w:ascii="方正仿宋_GBK" w:hAnsi="方正仿宋_GBK" w:eastAsia="方正仿宋_GBK" w:cs="方正仿宋_GBK"/>
                <w:kern w:val="2"/>
                <w:sz w:val="22"/>
                <w:szCs w:val="22"/>
                <w:lang w:val="en-US" w:eastAsia="zh-CN" w:bidi="ar"/>
              </w:rPr>
              <w:t>编号</w:t>
            </w:r>
          </w:p>
        </w:tc>
        <w:tc>
          <w:tcPr>
            <w:tcW w:w="477" w:type="pct"/>
            <w:tcBorders>
              <w:top w:val="single" w:color="000000" w:sz="4" w:space="0"/>
              <w:left w:val="nil"/>
              <w:bottom w:val="single" w:color="000000" w:sz="4" w:space="0"/>
              <w:right w:val="single" w:color="000000" w:sz="4" w:space="0"/>
            </w:tcBorders>
            <w:noWrap w:val="0"/>
            <w:vAlign w:val="center"/>
          </w:tcPr>
          <w:p>
            <w:pPr>
              <w:keepNext w:val="0"/>
              <w:keepLines w:val="0"/>
              <w:widowControl w:val="0"/>
              <w:suppressLineNumbers w:val="0"/>
              <w:suppressAutoHyphens/>
              <w:snapToGrid w:val="0"/>
              <w:spacing w:before="0" w:beforeAutospacing="0" w:after="0" w:afterAutospacing="0" w:line="400" w:lineRule="exact"/>
              <w:ind w:left="0" w:right="0"/>
              <w:jc w:val="center"/>
              <w:rPr>
                <w:rFonts w:hint="default" w:ascii="Times New Roman" w:hAnsi="Times New Roman" w:eastAsia="方正仿宋_GBK" w:cs="Times New Roman"/>
                <w:kern w:val="2"/>
                <w:sz w:val="22"/>
                <w:szCs w:val="22"/>
              </w:rPr>
            </w:pPr>
            <w:r>
              <w:rPr>
                <w:rFonts w:hint="eastAsia" w:ascii="方正仿宋_GBK" w:hAnsi="方正仿宋_GBK" w:eastAsia="方正仿宋_GBK" w:cs="方正仿宋_GBK"/>
                <w:kern w:val="2"/>
                <w:sz w:val="22"/>
                <w:szCs w:val="22"/>
                <w:lang w:val="en-US" w:eastAsia="zh-CN" w:bidi="ar"/>
              </w:rPr>
              <w:t>交办问题</w:t>
            </w:r>
          </w:p>
          <w:p>
            <w:pPr>
              <w:keepNext w:val="0"/>
              <w:keepLines w:val="0"/>
              <w:widowControl w:val="0"/>
              <w:suppressLineNumbers w:val="0"/>
              <w:suppressAutoHyphens/>
              <w:snapToGrid w:val="0"/>
              <w:spacing w:before="0" w:beforeAutospacing="0" w:after="0" w:afterAutospacing="0" w:line="400" w:lineRule="exact"/>
              <w:ind w:left="0" w:right="0"/>
              <w:jc w:val="center"/>
              <w:rPr>
                <w:rFonts w:hint="default" w:ascii="Times New Roman" w:hAnsi="Times New Roman" w:eastAsia="方正仿宋_GBK" w:cs="Times New Roman"/>
                <w:kern w:val="2"/>
                <w:sz w:val="22"/>
                <w:szCs w:val="22"/>
              </w:rPr>
            </w:pPr>
            <w:r>
              <w:rPr>
                <w:rFonts w:hint="eastAsia" w:ascii="方正仿宋_GBK" w:hAnsi="方正仿宋_GBK" w:eastAsia="方正仿宋_GBK" w:cs="方正仿宋_GBK"/>
                <w:kern w:val="2"/>
                <w:sz w:val="22"/>
                <w:szCs w:val="22"/>
                <w:lang w:val="en-US" w:eastAsia="zh-CN" w:bidi="ar"/>
              </w:rPr>
              <w:t>基本情况</w:t>
            </w:r>
          </w:p>
        </w:tc>
        <w:tc>
          <w:tcPr>
            <w:tcW w:w="250" w:type="pct"/>
            <w:tcBorders>
              <w:top w:val="single" w:color="000000" w:sz="4" w:space="0"/>
              <w:left w:val="nil"/>
              <w:bottom w:val="single" w:color="000000" w:sz="4" w:space="0"/>
              <w:right w:val="single" w:color="000000" w:sz="4" w:space="0"/>
            </w:tcBorders>
            <w:noWrap w:val="0"/>
            <w:vAlign w:val="center"/>
          </w:tcPr>
          <w:p>
            <w:pPr>
              <w:keepNext w:val="0"/>
              <w:keepLines w:val="0"/>
              <w:widowControl w:val="0"/>
              <w:suppressLineNumbers w:val="0"/>
              <w:suppressAutoHyphens/>
              <w:snapToGrid w:val="0"/>
              <w:spacing w:before="0" w:beforeAutospacing="0" w:after="0" w:afterAutospacing="0" w:line="400" w:lineRule="exact"/>
              <w:ind w:left="0" w:right="0"/>
              <w:jc w:val="center"/>
              <w:rPr>
                <w:rFonts w:hint="default" w:ascii="Times New Roman" w:hAnsi="Times New Roman" w:eastAsia="方正仿宋_GBK" w:cs="Times New Roman"/>
                <w:kern w:val="2"/>
                <w:sz w:val="22"/>
                <w:szCs w:val="22"/>
              </w:rPr>
            </w:pPr>
            <w:r>
              <w:rPr>
                <w:rFonts w:hint="eastAsia" w:ascii="方正仿宋_GBK" w:hAnsi="方正仿宋_GBK" w:eastAsia="方正仿宋_GBK" w:cs="方正仿宋_GBK"/>
                <w:kern w:val="2"/>
                <w:sz w:val="22"/>
                <w:szCs w:val="22"/>
                <w:lang w:val="en-US" w:eastAsia="zh-CN" w:bidi="ar"/>
              </w:rPr>
              <w:t>行政</w:t>
            </w:r>
          </w:p>
          <w:p>
            <w:pPr>
              <w:keepNext w:val="0"/>
              <w:keepLines w:val="0"/>
              <w:widowControl w:val="0"/>
              <w:suppressLineNumbers w:val="0"/>
              <w:suppressAutoHyphens/>
              <w:snapToGrid w:val="0"/>
              <w:spacing w:before="0" w:beforeAutospacing="0" w:after="0" w:afterAutospacing="0" w:line="400" w:lineRule="exact"/>
              <w:ind w:left="0" w:right="0"/>
              <w:jc w:val="center"/>
              <w:rPr>
                <w:rFonts w:hint="default" w:ascii="Times New Roman" w:hAnsi="Times New Roman" w:eastAsia="方正仿宋_GBK" w:cs="Times New Roman"/>
                <w:kern w:val="2"/>
                <w:sz w:val="22"/>
                <w:szCs w:val="22"/>
              </w:rPr>
            </w:pPr>
            <w:r>
              <w:rPr>
                <w:rFonts w:hint="eastAsia" w:ascii="方正仿宋_GBK" w:hAnsi="方正仿宋_GBK" w:eastAsia="方正仿宋_GBK" w:cs="方正仿宋_GBK"/>
                <w:kern w:val="2"/>
                <w:sz w:val="22"/>
                <w:szCs w:val="22"/>
                <w:lang w:val="en-US" w:eastAsia="zh-CN" w:bidi="ar"/>
              </w:rPr>
              <w:t>区域</w:t>
            </w:r>
          </w:p>
        </w:tc>
        <w:tc>
          <w:tcPr>
            <w:tcW w:w="338" w:type="pct"/>
            <w:tcBorders>
              <w:top w:val="single" w:color="000000" w:sz="4" w:space="0"/>
              <w:left w:val="nil"/>
              <w:bottom w:val="single" w:color="000000" w:sz="4" w:space="0"/>
              <w:right w:val="single" w:color="000000" w:sz="4" w:space="0"/>
            </w:tcBorders>
            <w:noWrap w:val="0"/>
            <w:vAlign w:val="center"/>
          </w:tcPr>
          <w:p>
            <w:pPr>
              <w:keepNext w:val="0"/>
              <w:keepLines w:val="0"/>
              <w:widowControl w:val="0"/>
              <w:suppressLineNumbers w:val="0"/>
              <w:suppressAutoHyphens/>
              <w:snapToGrid w:val="0"/>
              <w:spacing w:before="0" w:beforeAutospacing="0" w:after="0" w:afterAutospacing="0" w:line="400" w:lineRule="exact"/>
              <w:ind w:left="0" w:right="0"/>
              <w:jc w:val="center"/>
              <w:rPr>
                <w:rFonts w:hint="default" w:ascii="Times New Roman" w:hAnsi="Times New Roman" w:eastAsia="方正仿宋_GBK" w:cs="Times New Roman"/>
                <w:kern w:val="2"/>
                <w:sz w:val="22"/>
                <w:szCs w:val="22"/>
              </w:rPr>
            </w:pPr>
            <w:r>
              <w:rPr>
                <w:rFonts w:hint="eastAsia" w:ascii="方正仿宋_GBK" w:hAnsi="方正仿宋_GBK" w:eastAsia="方正仿宋_GBK" w:cs="方正仿宋_GBK"/>
                <w:kern w:val="2"/>
                <w:sz w:val="22"/>
                <w:szCs w:val="22"/>
                <w:lang w:val="en-US" w:eastAsia="zh-CN" w:bidi="ar"/>
              </w:rPr>
              <w:t>问题类型</w:t>
            </w:r>
          </w:p>
        </w:tc>
        <w:tc>
          <w:tcPr>
            <w:tcW w:w="1727" w:type="pct"/>
            <w:tcBorders>
              <w:top w:val="single" w:color="000000" w:sz="4" w:space="0"/>
              <w:left w:val="nil"/>
              <w:bottom w:val="single" w:color="000000" w:sz="4" w:space="0"/>
              <w:right w:val="single" w:color="000000" w:sz="4" w:space="0"/>
            </w:tcBorders>
            <w:noWrap w:val="0"/>
            <w:vAlign w:val="center"/>
          </w:tcPr>
          <w:p>
            <w:pPr>
              <w:keepNext w:val="0"/>
              <w:keepLines w:val="0"/>
              <w:widowControl w:val="0"/>
              <w:suppressLineNumbers w:val="0"/>
              <w:suppressAutoHyphens/>
              <w:snapToGrid w:val="0"/>
              <w:spacing w:before="0" w:beforeAutospacing="0" w:after="0" w:afterAutospacing="0" w:line="400" w:lineRule="exact"/>
              <w:ind w:left="0" w:right="0"/>
              <w:jc w:val="center"/>
              <w:rPr>
                <w:rFonts w:hint="default" w:ascii="Times New Roman" w:hAnsi="Times New Roman" w:eastAsia="方正仿宋_GBK" w:cs="Times New Roman"/>
                <w:kern w:val="2"/>
                <w:sz w:val="22"/>
                <w:szCs w:val="22"/>
              </w:rPr>
            </w:pPr>
            <w:r>
              <w:rPr>
                <w:rFonts w:hint="eastAsia" w:ascii="方正仿宋_GBK" w:hAnsi="方正仿宋_GBK" w:eastAsia="方正仿宋_GBK" w:cs="方正仿宋_GBK"/>
                <w:kern w:val="2"/>
                <w:sz w:val="22"/>
                <w:szCs w:val="22"/>
                <w:lang w:val="en-US" w:eastAsia="zh-CN" w:bidi="ar"/>
              </w:rPr>
              <w:t>调查核实情况</w:t>
            </w:r>
          </w:p>
        </w:tc>
        <w:tc>
          <w:tcPr>
            <w:tcW w:w="211" w:type="pct"/>
            <w:tcBorders>
              <w:top w:val="single" w:color="000000" w:sz="4" w:space="0"/>
              <w:left w:val="nil"/>
              <w:bottom w:val="single" w:color="000000" w:sz="4" w:space="0"/>
              <w:right w:val="single" w:color="000000" w:sz="4" w:space="0"/>
            </w:tcBorders>
            <w:noWrap w:val="0"/>
            <w:vAlign w:val="center"/>
          </w:tcPr>
          <w:p>
            <w:pPr>
              <w:keepNext w:val="0"/>
              <w:keepLines w:val="0"/>
              <w:widowControl w:val="0"/>
              <w:suppressLineNumbers w:val="0"/>
              <w:suppressAutoHyphens/>
              <w:snapToGrid w:val="0"/>
              <w:spacing w:before="0" w:beforeAutospacing="0" w:after="0" w:afterAutospacing="0" w:line="400" w:lineRule="exact"/>
              <w:ind w:left="0" w:right="0"/>
              <w:jc w:val="center"/>
              <w:rPr>
                <w:rFonts w:hint="default" w:ascii="Times New Roman" w:hAnsi="Times New Roman" w:eastAsia="方正仿宋_GBK" w:cs="Times New Roman"/>
                <w:kern w:val="2"/>
                <w:sz w:val="22"/>
                <w:szCs w:val="22"/>
              </w:rPr>
            </w:pPr>
            <w:r>
              <w:rPr>
                <w:rFonts w:hint="eastAsia" w:ascii="方正仿宋_GBK" w:hAnsi="方正仿宋_GBK" w:eastAsia="方正仿宋_GBK" w:cs="方正仿宋_GBK"/>
                <w:kern w:val="2"/>
                <w:sz w:val="22"/>
                <w:szCs w:val="22"/>
                <w:lang w:val="en-US" w:eastAsia="zh-CN" w:bidi="ar"/>
              </w:rPr>
              <w:t>是否</w:t>
            </w:r>
          </w:p>
          <w:p>
            <w:pPr>
              <w:keepNext w:val="0"/>
              <w:keepLines w:val="0"/>
              <w:widowControl w:val="0"/>
              <w:suppressLineNumbers w:val="0"/>
              <w:suppressAutoHyphens/>
              <w:snapToGrid w:val="0"/>
              <w:spacing w:before="0" w:beforeAutospacing="0" w:after="0" w:afterAutospacing="0" w:line="400" w:lineRule="exact"/>
              <w:ind w:left="0" w:right="0"/>
              <w:jc w:val="center"/>
              <w:rPr>
                <w:rFonts w:hint="default" w:ascii="Times New Roman" w:hAnsi="Times New Roman" w:eastAsia="方正仿宋_GBK" w:cs="Times New Roman"/>
                <w:kern w:val="2"/>
                <w:sz w:val="22"/>
                <w:szCs w:val="22"/>
              </w:rPr>
            </w:pPr>
            <w:r>
              <w:rPr>
                <w:rFonts w:hint="eastAsia" w:ascii="方正仿宋_GBK" w:hAnsi="方正仿宋_GBK" w:eastAsia="方正仿宋_GBK" w:cs="方正仿宋_GBK"/>
                <w:kern w:val="2"/>
                <w:sz w:val="22"/>
                <w:szCs w:val="22"/>
                <w:lang w:val="en-US" w:eastAsia="zh-CN" w:bidi="ar"/>
              </w:rPr>
              <w:t>属实</w:t>
            </w:r>
          </w:p>
        </w:tc>
        <w:tc>
          <w:tcPr>
            <w:tcW w:w="279" w:type="pct"/>
            <w:tcBorders>
              <w:top w:val="single" w:color="000000" w:sz="4" w:space="0"/>
              <w:left w:val="nil"/>
              <w:bottom w:val="single" w:color="000000" w:sz="4" w:space="0"/>
              <w:right w:val="single" w:color="000000" w:sz="4" w:space="0"/>
            </w:tcBorders>
            <w:noWrap w:val="0"/>
            <w:vAlign w:val="center"/>
          </w:tcPr>
          <w:p>
            <w:pPr>
              <w:keepNext w:val="0"/>
              <w:keepLines w:val="0"/>
              <w:widowControl w:val="0"/>
              <w:suppressLineNumbers w:val="0"/>
              <w:suppressAutoHyphens/>
              <w:snapToGrid w:val="0"/>
              <w:spacing w:before="0" w:beforeAutospacing="0" w:after="0" w:afterAutospacing="0" w:line="400" w:lineRule="exact"/>
              <w:ind w:left="0" w:right="0"/>
              <w:jc w:val="center"/>
              <w:rPr>
                <w:rFonts w:hint="default" w:ascii="Times New Roman" w:hAnsi="Times New Roman" w:eastAsia="方正仿宋_GBK" w:cs="Times New Roman"/>
                <w:kern w:val="2"/>
                <w:sz w:val="22"/>
                <w:szCs w:val="22"/>
              </w:rPr>
            </w:pPr>
            <w:r>
              <w:rPr>
                <w:rFonts w:hint="eastAsia" w:ascii="方正仿宋_GBK" w:hAnsi="方正仿宋_GBK" w:eastAsia="方正仿宋_GBK" w:cs="方正仿宋_GBK"/>
                <w:kern w:val="2"/>
                <w:sz w:val="22"/>
                <w:szCs w:val="22"/>
                <w:lang w:val="en-US" w:eastAsia="zh-CN" w:bidi="ar"/>
              </w:rPr>
              <w:t>办结</w:t>
            </w:r>
          </w:p>
          <w:p>
            <w:pPr>
              <w:keepNext w:val="0"/>
              <w:keepLines w:val="0"/>
              <w:widowControl w:val="0"/>
              <w:suppressLineNumbers w:val="0"/>
              <w:suppressAutoHyphens/>
              <w:snapToGrid w:val="0"/>
              <w:spacing w:before="0" w:beforeAutospacing="0" w:after="0" w:afterAutospacing="0" w:line="400" w:lineRule="exact"/>
              <w:ind w:left="0" w:right="0"/>
              <w:jc w:val="center"/>
              <w:rPr>
                <w:rFonts w:hint="default" w:ascii="Times New Roman" w:hAnsi="Times New Roman" w:eastAsia="方正仿宋_GBK" w:cs="Times New Roman"/>
                <w:kern w:val="2"/>
                <w:sz w:val="22"/>
                <w:szCs w:val="22"/>
              </w:rPr>
            </w:pPr>
            <w:r>
              <w:rPr>
                <w:rFonts w:hint="eastAsia" w:ascii="方正仿宋_GBK" w:hAnsi="方正仿宋_GBK" w:eastAsia="方正仿宋_GBK" w:cs="方正仿宋_GBK"/>
                <w:kern w:val="2"/>
                <w:sz w:val="22"/>
                <w:szCs w:val="22"/>
                <w:lang w:val="en-US" w:eastAsia="zh-CN" w:bidi="ar"/>
              </w:rPr>
              <w:t>目标</w:t>
            </w:r>
          </w:p>
        </w:tc>
        <w:tc>
          <w:tcPr>
            <w:tcW w:w="730" w:type="pct"/>
            <w:tcBorders>
              <w:top w:val="single" w:color="000000" w:sz="4" w:space="0"/>
              <w:left w:val="nil"/>
              <w:bottom w:val="single" w:color="000000" w:sz="4" w:space="0"/>
              <w:right w:val="single" w:color="000000" w:sz="4" w:space="0"/>
            </w:tcBorders>
            <w:noWrap w:val="0"/>
            <w:vAlign w:val="center"/>
          </w:tcPr>
          <w:p>
            <w:pPr>
              <w:keepNext w:val="0"/>
              <w:keepLines w:val="0"/>
              <w:widowControl w:val="0"/>
              <w:suppressLineNumbers w:val="0"/>
              <w:suppressAutoHyphens/>
              <w:snapToGrid w:val="0"/>
              <w:spacing w:before="0" w:beforeAutospacing="0" w:after="0" w:afterAutospacing="0" w:line="400" w:lineRule="exact"/>
              <w:ind w:left="0" w:right="0"/>
              <w:jc w:val="center"/>
              <w:rPr>
                <w:rFonts w:hint="default" w:ascii="Times New Roman" w:hAnsi="Times New Roman" w:eastAsia="方正仿宋_GBK" w:cs="Times New Roman"/>
                <w:kern w:val="2"/>
                <w:sz w:val="22"/>
                <w:szCs w:val="22"/>
              </w:rPr>
            </w:pPr>
            <w:r>
              <w:rPr>
                <w:rFonts w:hint="eastAsia" w:ascii="方正仿宋_GBK" w:hAnsi="方正仿宋_GBK" w:eastAsia="方正仿宋_GBK" w:cs="方正仿宋_GBK"/>
                <w:kern w:val="2"/>
                <w:sz w:val="22"/>
                <w:szCs w:val="22"/>
                <w:lang w:val="en-US" w:eastAsia="zh-CN" w:bidi="ar"/>
              </w:rPr>
              <w:t>处理和整改</w:t>
            </w:r>
          </w:p>
          <w:p>
            <w:pPr>
              <w:keepNext w:val="0"/>
              <w:keepLines w:val="0"/>
              <w:widowControl w:val="0"/>
              <w:suppressLineNumbers w:val="0"/>
              <w:suppressAutoHyphens/>
              <w:snapToGrid w:val="0"/>
              <w:spacing w:before="0" w:beforeAutospacing="0" w:after="0" w:afterAutospacing="0" w:line="400" w:lineRule="exact"/>
              <w:ind w:left="0" w:right="0"/>
              <w:jc w:val="center"/>
              <w:rPr>
                <w:rFonts w:hint="default" w:ascii="Times New Roman" w:hAnsi="Times New Roman" w:eastAsia="方正仿宋_GBK" w:cs="Times New Roman"/>
                <w:kern w:val="2"/>
                <w:sz w:val="22"/>
                <w:szCs w:val="22"/>
              </w:rPr>
            </w:pPr>
            <w:r>
              <w:rPr>
                <w:rFonts w:hint="eastAsia" w:ascii="方正仿宋_GBK" w:hAnsi="方正仿宋_GBK" w:eastAsia="方正仿宋_GBK" w:cs="方正仿宋_GBK"/>
                <w:kern w:val="2"/>
                <w:sz w:val="22"/>
                <w:szCs w:val="22"/>
                <w:lang w:val="en-US" w:eastAsia="zh-CN" w:bidi="ar"/>
              </w:rPr>
              <w:t>情况</w:t>
            </w:r>
          </w:p>
        </w:tc>
        <w:tc>
          <w:tcPr>
            <w:tcW w:w="244" w:type="pct"/>
            <w:tcBorders>
              <w:top w:val="single" w:color="000000" w:sz="4" w:space="0"/>
              <w:left w:val="nil"/>
              <w:bottom w:val="single" w:color="000000" w:sz="4" w:space="0"/>
              <w:right w:val="single" w:color="000000" w:sz="4" w:space="0"/>
            </w:tcBorders>
            <w:noWrap w:val="0"/>
            <w:vAlign w:val="center"/>
          </w:tcPr>
          <w:p>
            <w:pPr>
              <w:keepNext w:val="0"/>
              <w:keepLines w:val="0"/>
              <w:widowControl w:val="0"/>
              <w:suppressLineNumbers w:val="0"/>
              <w:suppressAutoHyphens/>
              <w:snapToGrid w:val="0"/>
              <w:spacing w:before="0" w:beforeAutospacing="0" w:after="0" w:afterAutospacing="0" w:line="400" w:lineRule="exact"/>
              <w:ind w:left="0" w:right="0"/>
              <w:jc w:val="center"/>
              <w:rPr>
                <w:rFonts w:hint="default" w:ascii="Times New Roman" w:hAnsi="Times New Roman" w:eastAsia="方正仿宋_GBK" w:cs="Times New Roman"/>
                <w:kern w:val="2"/>
                <w:sz w:val="22"/>
                <w:szCs w:val="22"/>
              </w:rPr>
            </w:pPr>
            <w:r>
              <w:rPr>
                <w:rFonts w:hint="eastAsia" w:ascii="方正仿宋_GBK" w:hAnsi="方正仿宋_GBK" w:eastAsia="方正仿宋_GBK" w:cs="方正仿宋_GBK"/>
                <w:kern w:val="2"/>
                <w:sz w:val="22"/>
                <w:szCs w:val="22"/>
                <w:lang w:val="en-US" w:eastAsia="zh-CN" w:bidi="ar"/>
              </w:rPr>
              <w:t>是否办结</w:t>
            </w:r>
          </w:p>
        </w:tc>
        <w:tc>
          <w:tcPr>
            <w:tcW w:w="308" w:type="pct"/>
            <w:tcBorders>
              <w:top w:val="single" w:color="000000" w:sz="4" w:space="0"/>
              <w:left w:val="nil"/>
              <w:bottom w:val="single" w:color="000000" w:sz="4" w:space="0"/>
              <w:right w:val="single" w:color="000000" w:sz="4" w:space="0"/>
            </w:tcBorders>
            <w:noWrap w:val="0"/>
            <w:vAlign w:val="center"/>
          </w:tcPr>
          <w:p>
            <w:pPr>
              <w:keepNext w:val="0"/>
              <w:keepLines w:val="0"/>
              <w:widowControl w:val="0"/>
              <w:suppressLineNumbers w:val="0"/>
              <w:suppressAutoHyphens/>
              <w:snapToGrid w:val="0"/>
              <w:spacing w:before="0" w:beforeAutospacing="0" w:after="0" w:afterAutospacing="0" w:line="400" w:lineRule="exact"/>
              <w:ind w:left="0" w:right="0"/>
              <w:jc w:val="center"/>
              <w:rPr>
                <w:rFonts w:hint="eastAsia" w:ascii="方正仿宋_GBK" w:hAnsi="方正仿宋_GBK" w:eastAsia="方正仿宋_GBK" w:cs="方正仿宋_GBK"/>
                <w:kern w:val="2"/>
                <w:sz w:val="22"/>
                <w:szCs w:val="22"/>
                <w:lang w:val="en-US" w:eastAsia="zh-CN" w:bidi="ar"/>
              </w:rPr>
            </w:pPr>
            <w:r>
              <w:rPr>
                <w:rFonts w:hint="eastAsia" w:ascii="方正仿宋_GBK" w:hAnsi="方正仿宋_GBK" w:eastAsia="方正仿宋_GBK" w:cs="方正仿宋_GBK"/>
                <w:kern w:val="2"/>
                <w:sz w:val="22"/>
                <w:szCs w:val="22"/>
                <w:lang w:val="en-US" w:eastAsia="zh-CN" w:bidi="ar"/>
              </w:rPr>
              <w:t>责任人</w:t>
            </w:r>
          </w:p>
          <w:p>
            <w:pPr>
              <w:keepNext w:val="0"/>
              <w:keepLines w:val="0"/>
              <w:widowControl w:val="0"/>
              <w:suppressLineNumbers w:val="0"/>
              <w:suppressAutoHyphens/>
              <w:snapToGrid w:val="0"/>
              <w:spacing w:before="0" w:beforeAutospacing="0" w:after="0" w:afterAutospacing="0" w:line="400" w:lineRule="exact"/>
              <w:ind w:left="0" w:right="0"/>
              <w:jc w:val="center"/>
              <w:rPr>
                <w:rFonts w:hint="default" w:ascii="Times New Roman" w:hAnsi="Times New Roman" w:eastAsia="方正仿宋_GBK" w:cs="Times New Roman"/>
                <w:kern w:val="2"/>
                <w:sz w:val="22"/>
                <w:szCs w:val="22"/>
              </w:rPr>
            </w:pPr>
            <w:r>
              <w:rPr>
                <w:rFonts w:hint="eastAsia" w:ascii="方正仿宋_GBK" w:hAnsi="方正仿宋_GBK" w:eastAsia="方正仿宋_GBK" w:cs="方正仿宋_GBK"/>
                <w:kern w:val="2"/>
                <w:sz w:val="22"/>
                <w:szCs w:val="22"/>
                <w:lang w:val="en-US" w:eastAsia="zh-CN" w:bidi="ar"/>
              </w:rPr>
              <w:t>被处理情况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jc w:val="center"/>
        </w:trPr>
        <w:tc>
          <w:tcPr>
            <w:tcW w:w="1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suppressAutoHyphens/>
              <w:kinsoku/>
              <w:wordWrap/>
              <w:overflowPunct/>
              <w:topLinePunct w:val="0"/>
              <w:autoSpaceDE/>
              <w:autoSpaceDN/>
              <w:bidi w:val="0"/>
              <w:adjustRightInd/>
              <w:snapToGrid w:val="0"/>
              <w:spacing w:before="0" w:beforeAutospacing="0" w:after="0" w:afterAutospacing="0" w:line="200" w:lineRule="exact"/>
              <w:ind w:left="0" w:right="0"/>
              <w:jc w:val="center"/>
              <w:textAlignment w:val="auto"/>
              <w:rPr>
                <w:rFonts w:hint="default"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166</w:t>
            </w:r>
          </w:p>
        </w:tc>
        <w:tc>
          <w:tcPr>
            <w:tcW w:w="270"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D3SD202506230031</w:t>
            </w:r>
          </w:p>
        </w:tc>
        <w:tc>
          <w:tcPr>
            <w:tcW w:w="4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济宁市泗水县苗馆镇东独角村东水库旁养猪场夜间直排污水至道路上，再流入魏村河上流，污染河流，异味扰民。</w:t>
            </w:r>
          </w:p>
        </w:tc>
        <w:tc>
          <w:tcPr>
            <w:tcW w:w="250"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kern w:val="0"/>
                <w:sz w:val="24"/>
                <w:szCs w:val="24"/>
                <w:u w:val="none"/>
                <w:lang w:val="en-US" w:eastAsia="zh-CN" w:bidi="ar"/>
              </w:rPr>
            </w:pPr>
            <w:bookmarkStart w:id="0" w:name="OLE_LINK2"/>
            <w:r>
              <w:rPr>
                <w:rFonts w:hint="eastAsia" w:ascii="仿宋_GB2312" w:hAnsi="仿宋_GB2312" w:eastAsia="仿宋_GB2312" w:cs="仿宋_GB2312"/>
                <w:i w:val="0"/>
                <w:iCs w:val="0"/>
                <w:caps w:val="0"/>
                <w:color w:val="000000"/>
                <w:spacing w:val="0"/>
                <w:sz w:val="24"/>
                <w:szCs w:val="24"/>
                <w:shd w:val="clear" w:fill="FFFFFF"/>
              </w:rPr>
              <w:t>济宁市</w:t>
            </w:r>
            <w:bookmarkEnd w:id="0"/>
          </w:p>
        </w:tc>
        <w:tc>
          <w:tcPr>
            <w:tcW w:w="338"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群众身边的生态环境问题</w:t>
            </w:r>
          </w:p>
        </w:tc>
        <w:tc>
          <w:tcPr>
            <w:tcW w:w="172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6月24日，泗水县政府组织县畜牧兽医事业发展中心、济宁市生态环境局泗水县分局、苗馆镇政府对信访件反映的问题进行了调查核实，有关情况如下：</w:t>
            </w:r>
          </w:p>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1.信访件反映的苗馆镇东独角村村东养猪场实为泗水县德海畜禽养殖有限公司，为规模化养殖场，不在禁养区范围内。该企共建有2座养殖棚，目前生猪存栏量1300头，配套建有1座400立方米粪污收集池和1座120平方米晾粪棚。粪污在收集池发酵后还田利用，晾粪棚粪渣还田利用或外售。现场调查时，该企业正常经营，配套的粪污收集池及晾粪棚正常使用，未发现养殖粪污直排问题，未发现私设暗管偷排粪污情况，企业周边道路也未见粪污排放或倾倒痕迹。调查发现，该企业东20米处有一坑塘，面积约4.5亩，为魏村河源头，坑塘底部有少量存水，魏村河目前处于干涸状态，均无粪污进入。6月24日，济宁市生态环境局泗水县分局对该企业东侧坑塘内积水进行了采样检测，检测结果符合《地表水环境质量标准》（GB 3838-2022）Ⅳ类水质标准。</w:t>
            </w:r>
          </w:p>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2.调查发现，虽然该企业粪污收集池已使用密闭棚封闭，但密闭棚门帘未关合，粪污异味在不利天气情况下，会对周边群众生活造成一定影响。6月24日，济宁市生态环境局泗水县分局委托第三方检验检测机构对该企业无组织臭气浓度进行了采样检测，检测结果符合《畜禽养殖业污染物排放标准》（GB 18596-2001）相关要求。</w:t>
            </w:r>
          </w:p>
        </w:tc>
        <w:tc>
          <w:tcPr>
            <w:tcW w:w="211"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部分属实</w:t>
            </w:r>
          </w:p>
        </w:tc>
        <w:tc>
          <w:tcPr>
            <w:tcW w:w="279"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规范养殖行为，严禁养殖粪污直排外环境，严防养殖异味扰民。</w:t>
            </w:r>
          </w:p>
        </w:tc>
        <w:tc>
          <w:tcPr>
            <w:tcW w:w="730"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泗水县政府责成县畜牧兽医事业发展中心、济宁市生态环境局泗水县分局、苗馆镇政府采取以下措施：</w:t>
            </w:r>
          </w:p>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1.督促泗水县德海畜禽养殖有限公司抓紧问题整改，规范生产经营。该企业立行立改，对粪污收集池密闭棚门帘进行了封闭，并增加了除臭剂喷洒频次。</w:t>
            </w:r>
          </w:p>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2.加强对畜禽养殖企业的帮扶指导和监督管理力度，做好畜禽养殖、粪污规范化处置等的指导，提升粪污资源化利用水平，确保污染防治设施正常运行，污染物达标排放，严防异味扰民。</w:t>
            </w:r>
          </w:p>
        </w:tc>
        <w:tc>
          <w:tcPr>
            <w:tcW w:w="244"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kern w:val="0"/>
                <w:sz w:val="24"/>
                <w:szCs w:val="24"/>
                <w:u w:val="none"/>
                <w:lang w:val="en-US" w:eastAsia="zh-CN" w:bidi="ar"/>
              </w:rPr>
            </w:pPr>
            <w:bookmarkStart w:id="1" w:name="OLE_LINK5"/>
            <w:r>
              <w:rPr>
                <w:rFonts w:hint="eastAsia" w:ascii="仿宋_GB2312" w:hAnsi="仿宋_GB2312" w:eastAsia="仿宋_GB2312" w:cs="仿宋_GB2312"/>
                <w:i w:val="0"/>
                <w:iCs w:val="0"/>
                <w:caps w:val="0"/>
                <w:color w:val="000000"/>
                <w:spacing w:val="0"/>
                <w:kern w:val="0"/>
                <w:sz w:val="24"/>
                <w:szCs w:val="24"/>
                <w:u w:val="none"/>
                <w:lang w:val="en-US" w:eastAsia="zh-CN" w:bidi="ar"/>
              </w:rPr>
              <w:t>已办结</w:t>
            </w:r>
            <w:bookmarkEnd w:id="1"/>
          </w:p>
        </w:tc>
        <w:tc>
          <w:tcPr>
            <w:tcW w:w="308"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9" w:hRule="atLeast"/>
          <w:jc w:val="center"/>
        </w:trPr>
        <w:tc>
          <w:tcPr>
            <w:tcW w:w="1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suppressAutoHyphens/>
              <w:kinsoku/>
              <w:wordWrap/>
              <w:overflowPunct/>
              <w:topLinePunct w:val="0"/>
              <w:autoSpaceDE/>
              <w:autoSpaceDN/>
              <w:bidi w:val="0"/>
              <w:adjustRightInd/>
              <w:snapToGrid w:val="0"/>
              <w:spacing w:before="0" w:beforeAutospacing="0" w:after="0" w:afterAutospacing="0" w:line="200" w:lineRule="exact"/>
              <w:ind w:left="0" w:right="0"/>
              <w:jc w:val="center"/>
              <w:textAlignment w:val="auto"/>
              <w:rPr>
                <w:rFonts w:hint="default"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167</w:t>
            </w:r>
          </w:p>
        </w:tc>
        <w:tc>
          <w:tcPr>
            <w:tcW w:w="270"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D3SD202506230044</w:t>
            </w:r>
          </w:p>
        </w:tc>
        <w:tc>
          <w:tcPr>
            <w:tcW w:w="4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济宁市梁山县韩垓镇郭仓村东南角多家养殖场异味扰民。</w:t>
            </w:r>
          </w:p>
        </w:tc>
        <w:tc>
          <w:tcPr>
            <w:tcW w:w="250"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kern w:val="0"/>
                <w:sz w:val="24"/>
                <w:szCs w:val="24"/>
                <w:u w:val="none"/>
                <w:lang w:val="en-US" w:eastAsia="zh-CN" w:bidi="ar"/>
              </w:rPr>
            </w:pPr>
            <w:bookmarkStart w:id="2" w:name="OLE_LINK1"/>
            <w:r>
              <w:rPr>
                <w:rFonts w:hint="eastAsia" w:ascii="仿宋_GB2312" w:hAnsi="仿宋_GB2312" w:eastAsia="仿宋_GB2312" w:cs="仿宋_GB2312"/>
                <w:i w:val="0"/>
                <w:iCs w:val="0"/>
                <w:caps w:val="0"/>
                <w:color w:val="000000"/>
                <w:spacing w:val="0"/>
                <w:sz w:val="24"/>
                <w:szCs w:val="24"/>
                <w:shd w:val="clear" w:fill="FFFFFF"/>
              </w:rPr>
              <w:t>济宁市</w:t>
            </w:r>
            <w:bookmarkEnd w:id="2"/>
          </w:p>
        </w:tc>
        <w:tc>
          <w:tcPr>
            <w:tcW w:w="338"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ascii="仿宋_GB2312" w:hAnsi="宋体" w:eastAsia="仿宋_GB2312" w:cs="仿宋_GB2312"/>
                <w:i w:val="0"/>
                <w:iCs w:val="0"/>
                <w:caps w:val="0"/>
                <w:color w:val="000000"/>
                <w:spacing w:val="0"/>
                <w:sz w:val="24"/>
                <w:szCs w:val="24"/>
              </w:rPr>
              <w:t>群众身边的生态环境问题</w:t>
            </w:r>
          </w:p>
        </w:tc>
        <w:tc>
          <w:tcPr>
            <w:tcW w:w="172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6月24日，梁山县政府组织县畜牧兽医事业发展中心、韩垓镇政府对信访件反映的问题进行了调查核实，有关情况如下：</w:t>
            </w:r>
          </w:p>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1.信访件反映的梁山县韩垓镇郭仓村东南角，共有4家养殖户。其中2家肉牛养殖户、1家家禽养殖户、1家生猪养殖户，均不属于规模化养殖，均不在禁养区内。其中，刘某某肉牛养殖户建有2个养殖棚，现存栏肉牛78头，配建有1个70立方米污水池和1个80平方米储粪棚，养殖粪污清运用于自种耕地还田和蚯蚓养殖；王某某肉牛养殖户建有1个养殖棚，现存栏肉牛27头，采用发酵床养殖，每2天铺撒一次辅料，养殖粪污清运用于自种耕地还田；家禽养殖户现散养红玉肉鸡约100羽、雏鸡约500羽、鹅苗约150只，养殖粪污经发酵后清运至自种耕地还田。生猪养殖户已于2022年因市场行情停养，目前养殖设施闲置。</w:t>
            </w:r>
          </w:p>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2.经调查了解，2家肉牛养殖户、1家家禽养殖户存在粪污清理不及时、除臭剂喷洒不到位现象，产生的异味会对周边群众生活造成一定影响。</w:t>
            </w:r>
          </w:p>
        </w:tc>
        <w:tc>
          <w:tcPr>
            <w:tcW w:w="211"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ascii="仿宋_GB2312" w:hAnsi="宋体" w:eastAsia="仿宋_GB2312" w:cs="仿宋_GB2312"/>
                <w:i w:val="0"/>
                <w:iCs w:val="0"/>
                <w:caps w:val="0"/>
                <w:color w:val="000000"/>
                <w:spacing w:val="0"/>
                <w:sz w:val="24"/>
                <w:szCs w:val="24"/>
              </w:rPr>
              <w:t>部分属实</w:t>
            </w:r>
          </w:p>
        </w:tc>
        <w:tc>
          <w:tcPr>
            <w:tcW w:w="279"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落实整改措施，规范养殖，严防异味扰民。</w:t>
            </w:r>
          </w:p>
        </w:tc>
        <w:tc>
          <w:tcPr>
            <w:tcW w:w="730"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梁山县政府责成县畜牧兽医事业发展中心、韩垓镇政府采取以下措施:</w:t>
            </w:r>
          </w:p>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1.督促3家养殖户及时清理养殖粪污，及时喷洒除臭剂，减少养殖异味对周边环境的影响。</w:t>
            </w:r>
          </w:p>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2.加强对畜禽养殖户的帮扶指导和监督管理，切实提升畜禽粪污资源化利用水平，确保污染防治设施正常运行。</w:t>
            </w:r>
          </w:p>
        </w:tc>
        <w:tc>
          <w:tcPr>
            <w:tcW w:w="244"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kern w:val="0"/>
                <w:sz w:val="24"/>
                <w:szCs w:val="24"/>
                <w:u w:val="none"/>
                <w:lang w:val="en-US" w:eastAsia="zh-CN" w:bidi="ar"/>
              </w:rPr>
            </w:pPr>
            <w:bookmarkStart w:id="3" w:name="OLE_LINK7"/>
            <w:r>
              <w:rPr>
                <w:rFonts w:hint="eastAsia" w:ascii="仿宋_GB2312" w:hAnsi="仿宋_GB2312" w:eastAsia="仿宋_GB2312" w:cs="仿宋_GB2312"/>
                <w:i w:val="0"/>
                <w:iCs w:val="0"/>
                <w:caps w:val="0"/>
                <w:color w:val="000000"/>
                <w:spacing w:val="0"/>
                <w:kern w:val="0"/>
                <w:sz w:val="24"/>
                <w:szCs w:val="24"/>
                <w:u w:val="none"/>
                <w:lang w:val="en-US" w:eastAsia="zh-CN" w:bidi="ar"/>
              </w:rPr>
              <w:t>已办结</w:t>
            </w:r>
            <w:bookmarkEnd w:id="3"/>
          </w:p>
        </w:tc>
        <w:tc>
          <w:tcPr>
            <w:tcW w:w="308"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9" w:hRule="atLeast"/>
          <w:jc w:val="center"/>
        </w:trPr>
        <w:tc>
          <w:tcPr>
            <w:tcW w:w="1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suppressAutoHyphens/>
              <w:kinsoku/>
              <w:wordWrap/>
              <w:overflowPunct/>
              <w:topLinePunct w:val="0"/>
              <w:autoSpaceDE/>
              <w:autoSpaceDN/>
              <w:bidi w:val="0"/>
              <w:adjustRightInd/>
              <w:snapToGrid w:val="0"/>
              <w:spacing w:before="0" w:beforeAutospacing="0" w:after="0" w:afterAutospacing="0" w:line="200" w:lineRule="exact"/>
              <w:ind w:left="0" w:right="0"/>
              <w:jc w:val="center"/>
              <w:textAlignment w:val="auto"/>
              <w:rPr>
                <w:rFonts w:hint="default"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168</w:t>
            </w:r>
          </w:p>
        </w:tc>
        <w:tc>
          <w:tcPr>
            <w:tcW w:w="270"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X3SD202506230127</w:t>
            </w:r>
          </w:p>
        </w:tc>
        <w:tc>
          <w:tcPr>
            <w:tcW w:w="4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济宁市兖州区兴隆庄街道冠远科技公司（原青钢焦化厂，金谷路99号）停产后土壤和地下水污染未开展修复治理。</w:t>
            </w:r>
          </w:p>
        </w:tc>
        <w:tc>
          <w:tcPr>
            <w:tcW w:w="250"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sz w:val="24"/>
                <w:szCs w:val="24"/>
                <w:shd w:val="clear" w:fill="FFFFFF"/>
              </w:rPr>
            </w:pPr>
            <w:bookmarkStart w:id="4" w:name="OLE_LINK3"/>
            <w:r>
              <w:rPr>
                <w:rFonts w:hint="eastAsia" w:ascii="仿宋_GB2312" w:hAnsi="仿宋_GB2312" w:eastAsia="仿宋_GB2312" w:cs="仿宋_GB2312"/>
                <w:i w:val="0"/>
                <w:iCs w:val="0"/>
                <w:caps w:val="0"/>
                <w:color w:val="000000"/>
                <w:spacing w:val="0"/>
                <w:sz w:val="24"/>
                <w:szCs w:val="24"/>
                <w:shd w:val="clear" w:fill="FFFFFF"/>
              </w:rPr>
              <w:t>济宁市</w:t>
            </w:r>
            <w:bookmarkEnd w:id="4"/>
          </w:p>
        </w:tc>
        <w:tc>
          <w:tcPr>
            <w:tcW w:w="338"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涉及公共利益的生态环境问题</w:t>
            </w:r>
          </w:p>
        </w:tc>
        <w:tc>
          <w:tcPr>
            <w:tcW w:w="172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6月24日，济宁市政府组织兖州区政府、市生态环境局对信访件反映的问题进行了调查核实，有关情况如下：</w:t>
            </w:r>
          </w:p>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1.信访件反映的“济宁市兖州区兴隆庄街道冠远科技公司”实际为原山东冠远能源科技开发有限公司，其前身为青岛钢铁集团兖州焦化厂，位于兖州区大安镇工业园内。该公司于2016年10月全面关闭，2021年对生产装置、建构筑物等进行了拆除。2023年1月，该地块按照相关规定要求纳入省建设用地土壤污染风险管控和修复名录。同年，该地块纳入全国优先监管地块名录。</w:t>
            </w:r>
          </w:p>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2.目前，该地块使用权人暂未实施污染地块修复工程，已按照要求实施管控，地块内设有制度管控警示牌，限制无关人员进入，地块周边围墙完好。济宁市生态环境局兖州区分局每月对该地块进行监管，核查管控措施落实情况，均未发现异常。</w:t>
            </w:r>
          </w:p>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3.2025年5月，济宁市生态环境局兖州区分局委托第三方检测检验机构对该地块周边环境空气和地下水开展检测，结果显示，未出现易迁移污染物超标。6月9日至24日，调查组多次实地查看发现，该地块内设置的制度管控警示牌和地块周边围墙均完好，未发现与修复管控无关的活动。</w:t>
            </w:r>
          </w:p>
        </w:tc>
        <w:tc>
          <w:tcPr>
            <w:tcW w:w="211"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ascii="仿宋_GB2312" w:hAnsi="宋体" w:eastAsia="仿宋_GB2312" w:cs="仿宋_GB2312"/>
                <w:i w:val="0"/>
                <w:iCs w:val="0"/>
                <w:caps w:val="0"/>
                <w:color w:val="000000"/>
                <w:spacing w:val="0"/>
                <w:sz w:val="24"/>
                <w:szCs w:val="24"/>
              </w:rPr>
            </w:pPr>
            <w:r>
              <w:rPr>
                <w:rFonts w:ascii="仿宋_GB2312" w:hAnsi="宋体" w:eastAsia="仿宋_GB2312" w:cs="仿宋_GB2312"/>
                <w:i w:val="0"/>
                <w:iCs w:val="0"/>
                <w:caps w:val="0"/>
                <w:color w:val="000000"/>
                <w:spacing w:val="0"/>
                <w:sz w:val="24"/>
                <w:szCs w:val="24"/>
              </w:rPr>
              <w:t>属实</w:t>
            </w:r>
          </w:p>
        </w:tc>
        <w:tc>
          <w:tcPr>
            <w:tcW w:w="279"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强化污染地块监管，加大治理力度，确保土壤安全。</w:t>
            </w:r>
          </w:p>
        </w:tc>
        <w:tc>
          <w:tcPr>
            <w:tcW w:w="730"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hint="eastAsia"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济宁市政府责成兖州区政府、市生态环境局采取以下措施：</w:t>
            </w:r>
          </w:p>
          <w:p>
            <w:pPr>
              <w:keepNext w:val="0"/>
              <w:keepLines w:val="0"/>
              <w:widowControl/>
              <w:suppressLineNumbers w:val="0"/>
              <w:spacing w:before="0" w:beforeAutospacing="0" w:after="0" w:afterAutospacing="0"/>
              <w:ind w:left="0" w:leftChars="0" w:right="0" w:rightChars="0"/>
              <w:jc w:val="both"/>
              <w:rPr>
                <w:rFonts w:hint="eastAsia"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1.持续强化对该地块的监督检查巡查力度，确保各项管控措施落实到位。</w:t>
            </w:r>
          </w:p>
          <w:p>
            <w:pPr>
              <w:keepNext w:val="0"/>
              <w:keepLines w:val="0"/>
              <w:widowControl/>
              <w:suppressLineNumbers w:val="0"/>
              <w:spacing w:before="0" w:beforeAutospacing="0" w:after="0" w:afterAutospacing="0"/>
              <w:ind w:left="0" w:leftChars="0" w:right="0" w:rightChars="0"/>
              <w:jc w:val="both"/>
              <w:rPr>
                <w:rFonts w:hint="eastAsia"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2.持续开展环境监测，确保生态环境安全。</w:t>
            </w:r>
          </w:p>
          <w:p>
            <w:pPr>
              <w:keepNext w:val="0"/>
              <w:keepLines w:val="0"/>
              <w:widowControl/>
              <w:suppressLineNumbers w:val="0"/>
              <w:spacing w:before="0" w:beforeAutospacing="0" w:after="0" w:afterAutospacing="0"/>
              <w:ind w:left="0" w:leftChars="0" w:right="0" w:rightChars="0"/>
              <w:jc w:val="both"/>
              <w:rPr>
                <w:rFonts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3.制定完善修复方案，争取政策支持，待条件成熟后，适时启动该污染地块修复工程。</w:t>
            </w:r>
          </w:p>
        </w:tc>
        <w:tc>
          <w:tcPr>
            <w:tcW w:w="244"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仿宋_GB2312"/>
                <w:i w:val="0"/>
                <w:iCs w:val="0"/>
                <w:caps w:val="0"/>
                <w:color w:val="000000"/>
                <w:spacing w:val="0"/>
                <w:sz w:val="24"/>
                <w:szCs w:val="24"/>
                <w:shd w:val="clear" w:fill="FFFFFF"/>
                <w:lang w:val="en-US" w:eastAsia="zh-CN"/>
              </w:rPr>
            </w:pPr>
            <w:bookmarkStart w:id="5" w:name="OLE_LINK9"/>
            <w:r>
              <w:rPr>
                <w:rFonts w:hint="eastAsia" w:ascii="仿宋_GB2312" w:hAnsi="宋体" w:eastAsia="仿宋_GB2312" w:cs="仿宋_GB2312"/>
                <w:i w:val="0"/>
                <w:iCs w:val="0"/>
                <w:caps w:val="0"/>
                <w:color w:val="000000"/>
                <w:spacing w:val="0"/>
                <w:sz w:val="24"/>
                <w:szCs w:val="24"/>
                <w:shd w:val="clear" w:fill="FFFFFF"/>
                <w:lang w:val="en-US" w:eastAsia="zh-CN"/>
              </w:rPr>
              <w:t>阶段性办结</w:t>
            </w:r>
            <w:bookmarkEnd w:id="5"/>
          </w:p>
        </w:tc>
        <w:tc>
          <w:tcPr>
            <w:tcW w:w="308"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9" w:hRule="atLeast"/>
          <w:jc w:val="center"/>
        </w:trPr>
        <w:tc>
          <w:tcPr>
            <w:tcW w:w="1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suppressAutoHyphens/>
              <w:kinsoku/>
              <w:wordWrap/>
              <w:overflowPunct/>
              <w:topLinePunct w:val="0"/>
              <w:autoSpaceDE/>
              <w:autoSpaceDN/>
              <w:bidi w:val="0"/>
              <w:adjustRightInd/>
              <w:snapToGrid w:val="0"/>
              <w:spacing w:before="0" w:beforeAutospacing="0" w:after="0" w:afterAutospacing="0" w:line="200" w:lineRule="exact"/>
              <w:ind w:left="0" w:right="0"/>
              <w:jc w:val="center"/>
              <w:textAlignment w:val="auto"/>
              <w:rPr>
                <w:rFonts w:hint="default" w:ascii="仿宋_GB2312" w:hAnsi="仿宋_GB2312" w:eastAsia="仿宋_GB2312" w:cs="仿宋_GB2312"/>
                <w:kern w:val="2"/>
                <w:sz w:val="24"/>
                <w:szCs w:val="24"/>
                <w:lang w:val="en-US" w:eastAsia="zh-CN"/>
              </w:rPr>
            </w:pPr>
            <w:bookmarkStart w:id="6" w:name="OLE_LINK6" w:colFirst="3" w:colLast="4"/>
            <w:r>
              <w:rPr>
                <w:rFonts w:hint="eastAsia" w:ascii="仿宋_GB2312" w:hAnsi="仿宋_GB2312" w:eastAsia="仿宋_GB2312" w:cs="仿宋_GB2312"/>
                <w:kern w:val="2"/>
                <w:sz w:val="24"/>
                <w:szCs w:val="24"/>
                <w:lang w:val="en-US" w:eastAsia="zh-CN"/>
              </w:rPr>
              <w:t>169</w:t>
            </w:r>
          </w:p>
        </w:tc>
        <w:tc>
          <w:tcPr>
            <w:tcW w:w="270"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X3SD202506230136</w:t>
            </w:r>
          </w:p>
        </w:tc>
        <w:tc>
          <w:tcPr>
            <w:tcW w:w="4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hint="eastAsia"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济宁市高新区洸河街道如意洸府河大桥、火炬路与太白路跨线高架桥两座桥无隔音降噪设施，噪声扰民。</w:t>
            </w:r>
          </w:p>
        </w:tc>
        <w:tc>
          <w:tcPr>
            <w:tcW w:w="250"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sz w:val="24"/>
                <w:szCs w:val="24"/>
                <w:shd w:val="clear" w:fill="FFFFFF"/>
              </w:rPr>
            </w:pPr>
            <w:r>
              <w:rPr>
                <w:rFonts w:hint="eastAsia" w:ascii="仿宋_GB2312" w:hAnsi="仿宋_GB2312" w:eastAsia="仿宋_GB2312" w:cs="仿宋_GB2312"/>
                <w:i w:val="0"/>
                <w:iCs w:val="0"/>
                <w:caps w:val="0"/>
                <w:color w:val="000000"/>
                <w:spacing w:val="0"/>
                <w:sz w:val="24"/>
                <w:szCs w:val="24"/>
                <w:shd w:val="clear" w:fill="FFFFFF"/>
              </w:rPr>
              <w:t>济宁市</w:t>
            </w:r>
          </w:p>
        </w:tc>
        <w:tc>
          <w:tcPr>
            <w:tcW w:w="338"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ascii="仿宋_GB2312" w:hAnsi="宋体" w:eastAsia="仿宋_GB2312" w:cs="仿宋_GB2312"/>
                <w:i w:val="0"/>
                <w:iCs w:val="0"/>
                <w:caps w:val="0"/>
                <w:color w:val="000000"/>
                <w:spacing w:val="0"/>
                <w:sz w:val="24"/>
                <w:szCs w:val="24"/>
              </w:rPr>
            </w:pPr>
            <w:bookmarkStart w:id="7" w:name="OLE_LINK8"/>
            <w:r>
              <w:rPr>
                <w:rFonts w:ascii="仿宋_GB2312" w:hAnsi="宋体" w:eastAsia="仿宋_GB2312" w:cs="仿宋_GB2312"/>
                <w:i w:val="0"/>
                <w:iCs w:val="0"/>
                <w:caps w:val="0"/>
                <w:color w:val="000000"/>
                <w:spacing w:val="0"/>
                <w:sz w:val="24"/>
                <w:szCs w:val="24"/>
              </w:rPr>
              <w:t>群众身边的生态环境问题</w:t>
            </w:r>
            <w:bookmarkEnd w:id="7"/>
          </w:p>
        </w:tc>
        <w:tc>
          <w:tcPr>
            <w:tcW w:w="172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6月24日，济宁市政府组织市城市管理局、市住房和城乡建设局、市公安局对信访件反映的问题进行了调查核实，有关情况如下：</w:t>
            </w:r>
          </w:p>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1.信访件反映的如意洸府河大桥全长1831米，为双向六车道东西向斜拉桥。该大桥2008年3月开工建设，2011年8月建成通车，由市城市管理局管理养护。如意洸府河大桥在建设时已按照规划方案及相关要求，在造成噪声污染的重点部位设置了降噪伸缩缝。在日常运行中，采取限制车速、禁止鸣笛等措施减少震动，降低噪声。现场调查时，该桥正常通车，车流量较大，产生的交通噪声会对附近居民生活造成一定影响。</w:t>
            </w:r>
          </w:p>
          <w:p>
            <w:pPr>
              <w:keepNext w:val="0"/>
              <w:keepLines w:val="0"/>
              <w:widowControl/>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2.信访件反映的火炬路与太白路跨线高架桥全长1360米，北起太白楼路以北，向南连续跨越太白楼路、世通物流铁路专用线、日菏铁路，在香港路前接地。该大桥2019年1月开工建设，同年9月建成通车，目前该跨线桥处于运营期，由建设公司进行养护管理，市住房和城乡建设局监督指导。火炬路跨线高架桥在建设时已按照规划方案及相关要求在敏感区域路段设置了降噪伸缩缝、防撞隔音墙、减速禁鸣提示牌等。现场调查时，该桥正常通车，因其为主城区南北交通干线，车流量大，产生的交通噪声会对桥两侧居民生活造成一定影响。</w:t>
            </w:r>
          </w:p>
        </w:tc>
        <w:tc>
          <w:tcPr>
            <w:tcW w:w="211"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部分属实</w:t>
            </w:r>
          </w:p>
        </w:tc>
        <w:tc>
          <w:tcPr>
            <w:tcW w:w="279"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综合施策，降低噪声影响，减少噪声扰民。</w:t>
            </w:r>
          </w:p>
        </w:tc>
        <w:tc>
          <w:tcPr>
            <w:tcW w:w="730"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hint="eastAsia"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济宁市政府责成市城市管理局、市住房和城乡建设局、市公安局采取以下措施：</w:t>
            </w:r>
          </w:p>
          <w:p>
            <w:pPr>
              <w:keepNext w:val="0"/>
              <w:keepLines w:val="0"/>
              <w:widowControl/>
              <w:suppressLineNumbers w:val="0"/>
              <w:spacing w:before="0" w:beforeAutospacing="0" w:after="0" w:afterAutospacing="0"/>
              <w:ind w:left="0" w:leftChars="0" w:right="0" w:rightChars="0"/>
              <w:jc w:val="both"/>
              <w:rPr>
                <w:rFonts w:hint="eastAsia"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1.加强部门联合，探讨增加垂直绿化等方式，实现生态降噪。</w:t>
            </w:r>
          </w:p>
          <w:p>
            <w:pPr>
              <w:keepNext w:val="0"/>
              <w:keepLines w:val="0"/>
              <w:widowControl/>
              <w:suppressLineNumbers w:val="0"/>
              <w:spacing w:before="0" w:beforeAutospacing="0" w:after="0" w:afterAutospacing="0"/>
              <w:ind w:left="0" w:leftChars="0" w:right="0" w:rightChars="0"/>
              <w:jc w:val="both"/>
              <w:rPr>
                <w:rFonts w:hint="eastAsia"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2.调整环卫作业车辆作业时段，避开噪声敏感时段，避免道路保洁作业噪声扰民。</w:t>
            </w:r>
          </w:p>
          <w:p>
            <w:pPr>
              <w:keepNext w:val="0"/>
              <w:keepLines w:val="0"/>
              <w:widowControl/>
              <w:suppressLineNumbers w:val="0"/>
              <w:spacing w:before="0" w:beforeAutospacing="0" w:after="0" w:afterAutospacing="0"/>
              <w:ind w:left="0" w:leftChars="0" w:right="0" w:rightChars="0"/>
              <w:jc w:val="both"/>
              <w:rPr>
                <w:rFonts w:hint="eastAsia"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3.加强日常巡检，发现桥面问题及时处理，减轻车辆胎噪影响。</w:t>
            </w:r>
          </w:p>
          <w:p>
            <w:pPr>
              <w:keepNext w:val="0"/>
              <w:keepLines w:val="0"/>
              <w:widowControl/>
              <w:suppressLineNumbers w:val="0"/>
              <w:spacing w:before="0" w:beforeAutospacing="0" w:after="0" w:afterAutospacing="0"/>
              <w:ind w:left="0" w:leftChars="0" w:right="0" w:rightChars="0"/>
              <w:jc w:val="both"/>
              <w:rPr>
                <w:rFonts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4.加大对如意洸府河大桥、火炬路与太白路跨线高架桥巡查力度，严查超速、违规鸣笛等交通违法行为，减轻交通噪声对周边居民生活的影响。</w:t>
            </w:r>
          </w:p>
        </w:tc>
        <w:tc>
          <w:tcPr>
            <w:tcW w:w="244"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shd w:val="clear" w:fill="FFFFFF"/>
                <w:lang w:val="en-US" w:eastAsia="zh-CN"/>
              </w:rPr>
              <w:t>阶段性办结</w:t>
            </w:r>
          </w:p>
        </w:tc>
        <w:tc>
          <w:tcPr>
            <w:tcW w:w="308"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9" w:hRule="atLeast"/>
          <w:jc w:val="center"/>
        </w:trPr>
        <w:tc>
          <w:tcPr>
            <w:tcW w:w="1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suppressAutoHyphens/>
              <w:kinsoku/>
              <w:wordWrap/>
              <w:overflowPunct/>
              <w:topLinePunct w:val="0"/>
              <w:autoSpaceDE/>
              <w:autoSpaceDN/>
              <w:bidi w:val="0"/>
              <w:adjustRightInd/>
              <w:snapToGrid w:val="0"/>
              <w:spacing w:before="0" w:beforeAutospacing="0" w:after="0" w:afterAutospacing="0" w:line="200" w:lineRule="exact"/>
              <w:ind w:left="0" w:right="0"/>
              <w:jc w:val="center"/>
              <w:textAlignment w:val="auto"/>
              <w:rPr>
                <w:rFonts w:hint="default"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170</w:t>
            </w:r>
          </w:p>
        </w:tc>
        <w:tc>
          <w:tcPr>
            <w:tcW w:w="270"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X3SD202506230163</w:t>
            </w:r>
          </w:p>
        </w:tc>
        <w:tc>
          <w:tcPr>
            <w:tcW w:w="4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济宁市曲阜市防山镇存在多个环境问题：1.席家村存在土地被破坏后非法采砂情况。2.纪庄村北山存在非法开采“岩石沙”情况，开采深度达十几米。3.席家村村南防洪堤被破坏。</w:t>
            </w:r>
          </w:p>
        </w:tc>
        <w:tc>
          <w:tcPr>
            <w:tcW w:w="250"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sz w:val="24"/>
                <w:szCs w:val="24"/>
                <w:shd w:val="clear" w:fill="FFFFFF"/>
              </w:rPr>
            </w:pPr>
            <w:r>
              <w:rPr>
                <w:rFonts w:hint="eastAsia" w:ascii="仿宋_GB2312" w:hAnsi="仿宋_GB2312" w:eastAsia="仿宋_GB2312" w:cs="仿宋_GB2312"/>
                <w:i w:val="0"/>
                <w:iCs w:val="0"/>
                <w:caps w:val="0"/>
                <w:color w:val="000000"/>
                <w:spacing w:val="0"/>
                <w:sz w:val="24"/>
                <w:szCs w:val="24"/>
                <w:shd w:val="clear" w:fill="FFFFFF"/>
              </w:rPr>
              <w:t>济宁市</w:t>
            </w:r>
          </w:p>
        </w:tc>
        <w:tc>
          <w:tcPr>
            <w:tcW w:w="338"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ascii="仿宋_GB2312" w:hAnsi="宋体" w:eastAsia="仿宋_GB2312" w:cs="仿宋_GB2312"/>
                <w:i w:val="0"/>
                <w:iCs w:val="0"/>
                <w:caps w:val="0"/>
                <w:color w:val="000000"/>
                <w:spacing w:val="0"/>
                <w:sz w:val="24"/>
                <w:szCs w:val="24"/>
              </w:rPr>
            </w:pPr>
            <w:r>
              <w:rPr>
                <w:rFonts w:ascii="仿宋_GB2312" w:hAnsi="宋体" w:eastAsia="仿宋_GB2312" w:cs="仿宋_GB2312"/>
                <w:i w:val="0"/>
                <w:iCs w:val="0"/>
                <w:caps w:val="0"/>
                <w:color w:val="000000"/>
                <w:spacing w:val="0"/>
                <w:sz w:val="24"/>
                <w:szCs w:val="24"/>
              </w:rPr>
              <w:t>群众身边的生态环境问题</w:t>
            </w:r>
          </w:p>
        </w:tc>
        <w:tc>
          <w:tcPr>
            <w:tcW w:w="172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hint="eastAsia"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6月24日至25日，曲阜市政府组织市自然资源和规划局、市水务局、防山镇政府对信访件反映的问题进行了调查核实，有关情况如下：</w:t>
            </w:r>
          </w:p>
          <w:p>
            <w:pPr>
              <w:keepNext w:val="0"/>
              <w:keepLines w:val="0"/>
              <w:widowControl/>
              <w:suppressLineNumbers w:val="0"/>
              <w:spacing w:before="0" w:beforeAutospacing="0" w:after="0" w:afterAutospacing="0"/>
              <w:ind w:left="0" w:leftChars="0" w:right="0" w:rightChars="0"/>
              <w:jc w:val="both"/>
              <w:rPr>
                <w:rFonts w:hint="eastAsia"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1.信访件反映的席家村位于曲阜市防山镇中部。现场调查未在席家村范围内发现非法采砂情况，未发现采挖砂石痕迹，也未发现可疑运输车辆。经了解，2020年5月，席家村张某某以本村修路为由，在未取得采矿许可证的情况下，组织部分村民在席家村东南河滩地内非法采砂约2300立方米，破坏河滩地约3亩。2022年12月，曲阜市人民法院对张某某等涉嫌非法采矿案等进行了判决。目前，该区域土地已平整，种植了中药材等作物。</w:t>
            </w:r>
          </w:p>
          <w:p>
            <w:pPr>
              <w:keepNext w:val="0"/>
              <w:keepLines w:val="0"/>
              <w:widowControl/>
              <w:suppressLineNumbers w:val="0"/>
              <w:spacing w:before="0" w:beforeAutospacing="0" w:after="0" w:afterAutospacing="0"/>
              <w:ind w:left="0" w:leftChars="0" w:right="0" w:rightChars="0"/>
              <w:jc w:val="both"/>
              <w:rPr>
                <w:rFonts w:hint="eastAsia"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2.信访件反映的纪庄北山实际为防山。经查，防山东部有能矿（曲阜）矿业有限公司防山矿一家矿山企业。该矿于2020年12月2日首次获得采矿许可证，2024年5月因市场行情原因停产至今。同时，调查发现，2020年初，曲阜铭鑫建设安装服务有限公司在未取得临时用地审批手续的情况下，曾在防山西部违规取土，用于京台高速拓宽项目建设，两处取土点取土面积共约50亩，其中，南侧取土深度约0.5米，北侧取土深度约6～7米。2024年8月30日，曲阜市自然资源和规划局已对该企业违法行为进行了行政处罚。2021年11月该区域完成复垦，复垦后的土地已移交给纪庄村村民委员会耕种。目前，该复垦土地种植了花生等农作物。进一步调查发现，防山南侧曾有一处历史遗留废弃矿坑，面积为79亩。2018年12月，该矿坑被曲阜市政府列为历史遗留工矿废弃地复垦利用试点项目。2022年12月，复垦土地移交给纪庄村村民委员会。2023年4月，该项目通过了县级自然资源部门的验收。目前，该复垦土地种植了花生，无非法开采痕迹。此外，防山西侧为纪庄村农田灌溉塘坝，未发现非法开采行为。</w:t>
            </w:r>
          </w:p>
          <w:p>
            <w:pPr>
              <w:keepNext w:val="0"/>
              <w:keepLines w:val="0"/>
              <w:widowControl/>
              <w:suppressLineNumbers w:val="0"/>
              <w:spacing w:before="0" w:beforeAutospacing="0" w:after="0" w:afterAutospacing="0"/>
              <w:ind w:left="0" w:leftChars="0" w:right="0" w:rightChars="0"/>
              <w:jc w:val="both"/>
              <w:rPr>
                <w:rFonts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3.信访件反映的席家村村南防洪堤实为尚家河老堤，位于席家村村南150米、尚家河以北100米，该土堤目前不在河道管理范围以内。现场调查未发现该土堤破坏痕迹。该土堤正南方约100米为尚家河，查看河道上下游，也未发现破坏堤防情形。</w:t>
            </w:r>
          </w:p>
        </w:tc>
        <w:tc>
          <w:tcPr>
            <w:tcW w:w="211"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仿宋_GB2312"/>
                <w:i w:val="0"/>
                <w:iCs w:val="0"/>
                <w:caps w:val="0"/>
                <w:color w:val="000000"/>
                <w:spacing w:val="0"/>
                <w:sz w:val="24"/>
                <w:szCs w:val="24"/>
                <w:lang w:val="en-US" w:eastAsia="zh-CN"/>
              </w:rPr>
            </w:pPr>
            <w:r>
              <w:rPr>
                <w:rFonts w:hint="eastAsia" w:ascii="仿宋_GB2312" w:hAnsi="宋体" w:eastAsia="仿宋_GB2312" w:cs="仿宋_GB2312"/>
                <w:i w:val="0"/>
                <w:iCs w:val="0"/>
                <w:caps w:val="0"/>
                <w:color w:val="000000"/>
                <w:spacing w:val="0"/>
                <w:sz w:val="24"/>
                <w:szCs w:val="24"/>
                <w:lang w:val="en-US" w:eastAsia="zh-CN"/>
              </w:rPr>
              <w:t>部分</w:t>
            </w:r>
            <w:r>
              <w:rPr>
                <w:rFonts w:ascii="仿宋_GB2312" w:hAnsi="宋体" w:eastAsia="仿宋_GB2312" w:cs="仿宋_GB2312"/>
                <w:i w:val="0"/>
                <w:iCs w:val="0"/>
                <w:caps w:val="0"/>
                <w:color w:val="000000"/>
                <w:spacing w:val="0"/>
                <w:sz w:val="24"/>
                <w:szCs w:val="24"/>
              </w:rPr>
              <w:t>属实</w:t>
            </w:r>
          </w:p>
        </w:tc>
        <w:tc>
          <w:tcPr>
            <w:tcW w:w="279"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加强日常巡查，严厉打击非法开采和破坏河道等违法行为。</w:t>
            </w:r>
          </w:p>
        </w:tc>
        <w:tc>
          <w:tcPr>
            <w:tcW w:w="730"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hint="eastAsia"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曲阜市政府责成市自然资源和规划局、市水务局、防山镇政府采取以下措施：</w:t>
            </w:r>
          </w:p>
          <w:p>
            <w:pPr>
              <w:keepNext w:val="0"/>
              <w:keepLines w:val="0"/>
              <w:widowControl/>
              <w:suppressLineNumbers w:val="0"/>
              <w:spacing w:before="0" w:beforeAutospacing="0" w:after="0" w:afterAutospacing="0"/>
              <w:ind w:left="0" w:leftChars="0" w:right="0" w:rightChars="0"/>
              <w:jc w:val="both"/>
              <w:rPr>
                <w:rFonts w:hint="eastAsia"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1.加大巡查力度，严厉打击非法开采、破坏河道等违法行为。</w:t>
            </w:r>
          </w:p>
          <w:p>
            <w:pPr>
              <w:keepNext w:val="0"/>
              <w:keepLines w:val="0"/>
              <w:widowControl/>
              <w:suppressLineNumbers w:val="0"/>
              <w:spacing w:before="0" w:beforeAutospacing="0" w:after="0" w:afterAutospacing="0"/>
              <w:ind w:left="0" w:leftChars="0" w:right="0" w:rightChars="0"/>
              <w:jc w:val="both"/>
              <w:rPr>
                <w:rFonts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2.落实监管责任，管护好复垦土地，维护好村民合法权益。</w:t>
            </w:r>
          </w:p>
        </w:tc>
        <w:tc>
          <w:tcPr>
            <w:tcW w:w="244"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仿宋_GB2312"/>
                <w:i w:val="0"/>
                <w:iCs w:val="0"/>
                <w:caps w:val="0"/>
                <w:color w:val="000000"/>
                <w:spacing w:val="0"/>
                <w:sz w:val="24"/>
                <w:szCs w:val="24"/>
                <w:lang w:val="en-US" w:eastAsia="zh-CN"/>
              </w:rPr>
            </w:pPr>
            <w:r>
              <w:rPr>
                <w:rFonts w:hint="eastAsia" w:ascii="仿宋_GB2312" w:hAnsi="宋体" w:eastAsia="仿宋_GB2312" w:cs="仿宋_GB2312"/>
                <w:i w:val="0"/>
                <w:iCs w:val="0"/>
                <w:caps w:val="0"/>
                <w:color w:val="000000"/>
                <w:spacing w:val="0"/>
                <w:sz w:val="24"/>
                <w:szCs w:val="24"/>
                <w:lang w:val="en-US" w:eastAsia="zh-CN"/>
              </w:rPr>
              <w:t>已办结</w:t>
            </w:r>
          </w:p>
        </w:tc>
        <w:tc>
          <w:tcPr>
            <w:tcW w:w="308"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9" w:hRule="atLeast"/>
          <w:jc w:val="center"/>
        </w:trPr>
        <w:tc>
          <w:tcPr>
            <w:tcW w:w="1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suppressAutoHyphens/>
              <w:kinsoku/>
              <w:wordWrap/>
              <w:overflowPunct/>
              <w:topLinePunct w:val="0"/>
              <w:autoSpaceDE/>
              <w:autoSpaceDN/>
              <w:bidi w:val="0"/>
              <w:adjustRightInd/>
              <w:snapToGrid w:val="0"/>
              <w:spacing w:before="0" w:beforeAutospacing="0" w:after="0" w:afterAutospacing="0" w:line="200" w:lineRule="exact"/>
              <w:ind w:left="0" w:right="0"/>
              <w:jc w:val="center"/>
              <w:textAlignment w:val="auto"/>
              <w:rPr>
                <w:rFonts w:hint="default"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171</w:t>
            </w:r>
          </w:p>
        </w:tc>
        <w:tc>
          <w:tcPr>
            <w:tcW w:w="270"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X3SD202506230180</w:t>
            </w:r>
          </w:p>
        </w:tc>
        <w:tc>
          <w:tcPr>
            <w:tcW w:w="4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济宁市任城区运河路新街市房改办宿舍居民小区200多平方米花坛绿地被破坏。</w:t>
            </w:r>
          </w:p>
        </w:tc>
        <w:tc>
          <w:tcPr>
            <w:tcW w:w="250"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sz w:val="24"/>
                <w:szCs w:val="24"/>
                <w:shd w:val="clear" w:fill="FFFFFF"/>
              </w:rPr>
            </w:pPr>
            <w:r>
              <w:rPr>
                <w:rFonts w:hint="eastAsia" w:ascii="仿宋_GB2312" w:hAnsi="仿宋_GB2312" w:eastAsia="仿宋_GB2312" w:cs="仿宋_GB2312"/>
                <w:i w:val="0"/>
                <w:iCs w:val="0"/>
                <w:caps w:val="0"/>
                <w:color w:val="000000"/>
                <w:spacing w:val="0"/>
                <w:sz w:val="24"/>
                <w:szCs w:val="24"/>
                <w:shd w:val="clear" w:fill="FFFFFF"/>
              </w:rPr>
              <w:t>济宁市</w:t>
            </w:r>
          </w:p>
        </w:tc>
        <w:tc>
          <w:tcPr>
            <w:tcW w:w="338"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ascii="仿宋_GB2312" w:hAnsi="宋体" w:eastAsia="仿宋_GB2312" w:cs="仿宋_GB2312"/>
                <w:i w:val="0"/>
                <w:iCs w:val="0"/>
                <w:caps w:val="0"/>
                <w:color w:val="000000"/>
                <w:spacing w:val="0"/>
                <w:sz w:val="24"/>
                <w:szCs w:val="24"/>
              </w:rPr>
            </w:pPr>
            <w:r>
              <w:rPr>
                <w:rFonts w:ascii="仿宋_GB2312" w:hAnsi="宋体" w:eastAsia="仿宋_GB2312" w:cs="仿宋_GB2312"/>
                <w:i w:val="0"/>
                <w:iCs w:val="0"/>
                <w:caps w:val="0"/>
                <w:color w:val="000000"/>
                <w:spacing w:val="0"/>
                <w:sz w:val="24"/>
                <w:szCs w:val="24"/>
              </w:rPr>
              <w:t>群众身边的生态环境问题</w:t>
            </w:r>
          </w:p>
        </w:tc>
        <w:tc>
          <w:tcPr>
            <w:tcW w:w="172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hint="eastAsia" w:ascii="仿宋_GB2312" w:hAnsi="宋体" w:eastAsia="仿宋_GB2312" w:cs="仿宋_GB2312"/>
                <w:i w:val="0"/>
                <w:iCs w:val="0"/>
                <w:caps w:val="0"/>
                <w:color w:val="000000"/>
                <w:spacing w:val="0"/>
                <w:sz w:val="23"/>
                <w:szCs w:val="23"/>
              </w:rPr>
            </w:pPr>
            <w:r>
              <w:rPr>
                <w:rFonts w:hint="eastAsia" w:ascii="仿宋_GB2312" w:hAnsi="宋体" w:eastAsia="仿宋_GB2312" w:cs="仿宋_GB2312"/>
                <w:i w:val="0"/>
                <w:iCs w:val="0"/>
                <w:caps w:val="0"/>
                <w:color w:val="000000"/>
                <w:spacing w:val="0"/>
                <w:sz w:val="23"/>
                <w:szCs w:val="23"/>
              </w:rPr>
              <w:t>6月24日，任城区政府组织区自然资源局、区综合行政执法局、区住房和城乡建设局、阜桥街道办事处对信访件反映的问题进行了调查核实，有关情况如下：</w:t>
            </w:r>
          </w:p>
          <w:p>
            <w:pPr>
              <w:keepNext w:val="0"/>
              <w:keepLines w:val="0"/>
              <w:widowControl/>
              <w:suppressLineNumbers w:val="0"/>
              <w:spacing w:before="0" w:beforeAutospacing="0" w:after="0" w:afterAutospacing="0"/>
              <w:ind w:left="0" w:leftChars="0" w:right="0" w:rightChars="0"/>
              <w:jc w:val="both"/>
              <w:rPr>
                <w:rFonts w:hint="eastAsia" w:ascii="仿宋_GB2312" w:hAnsi="宋体" w:eastAsia="仿宋_GB2312" w:cs="仿宋_GB2312"/>
                <w:i w:val="0"/>
                <w:iCs w:val="0"/>
                <w:caps w:val="0"/>
                <w:color w:val="000000"/>
                <w:spacing w:val="0"/>
                <w:sz w:val="23"/>
                <w:szCs w:val="23"/>
              </w:rPr>
            </w:pPr>
            <w:r>
              <w:rPr>
                <w:rFonts w:hint="eastAsia" w:ascii="仿宋_GB2312" w:hAnsi="宋体" w:eastAsia="仿宋_GB2312" w:cs="仿宋_GB2312"/>
                <w:i w:val="0"/>
                <w:iCs w:val="0"/>
                <w:caps w:val="0"/>
                <w:color w:val="000000"/>
                <w:spacing w:val="0"/>
                <w:sz w:val="23"/>
                <w:szCs w:val="23"/>
              </w:rPr>
              <w:t>1.信访件反映的运河路新街市房改办宿舍居民小区，位于任城区阜桥街道运河路东新街2号，建于1992年，共有18户住户，其中一楼3户，二楼以上15户。现场调查发现，该小区南侧公共土地面积约462平方米，其中的一道距离楼体7米的铁栅栏墙将该处土地分隔成两部分，铁栅栏墙与楼体间形成的院落面积约182平方米，铁栅栏墙南侧地面硬化区域面积约280平方米，铁栅栏墙与楼体间形成的院落内种植了树木蔬菜。</w:t>
            </w:r>
          </w:p>
          <w:p>
            <w:pPr>
              <w:keepNext w:val="0"/>
              <w:keepLines w:val="0"/>
              <w:widowControl/>
              <w:suppressLineNumbers w:val="0"/>
              <w:spacing w:before="0" w:beforeAutospacing="0" w:after="0" w:afterAutospacing="0"/>
              <w:ind w:left="0" w:leftChars="0" w:right="0" w:rightChars="0"/>
              <w:jc w:val="both"/>
              <w:rPr>
                <w:rFonts w:hint="eastAsia" w:ascii="仿宋_GB2312" w:hAnsi="宋体" w:eastAsia="仿宋_GB2312" w:cs="仿宋_GB2312"/>
                <w:i w:val="0"/>
                <w:iCs w:val="0"/>
                <w:caps w:val="0"/>
                <w:color w:val="000000"/>
                <w:spacing w:val="0"/>
                <w:sz w:val="23"/>
                <w:szCs w:val="23"/>
              </w:rPr>
            </w:pPr>
            <w:r>
              <w:rPr>
                <w:rFonts w:hint="eastAsia" w:ascii="仿宋_GB2312" w:hAnsi="宋体" w:eastAsia="仿宋_GB2312" w:cs="仿宋_GB2312"/>
                <w:i w:val="0"/>
                <w:iCs w:val="0"/>
                <w:caps w:val="0"/>
                <w:color w:val="000000"/>
                <w:spacing w:val="0"/>
                <w:sz w:val="23"/>
                <w:szCs w:val="23"/>
              </w:rPr>
              <w:t>2.调阅该小区宗地（位置）图、地籍图及部分住户房屋分层分户平面图、不动产证、土地证等资料，均未载明该公共土地为绿化用地。经调查，小区住户对该公共土地利用方式一直存在争议。一部分住户主张“铁栅栏墙北侧是公共绿地，不应该被私自圈占”，为此多次信访；一部分住户主张“铁栅栏墙是开发单位依据地籍图建设的公共建筑物，是一道必不可少的安全隔离墙”，拒不退让。2019年9月，在阜桥街道办事处牵头协商调解下，该小区全体住户就楼前院落及空地使用达成了一致，制定了以“拆除原铁栅栏墙，在离楼体4米的位置垒一道砖混防护隔离墙，砖墙南侧空地规划出18个车位的停车场”为主要内容的改造方案，并签字确认。但在后期施工时双方又发生分歧，导致无法按照原方案继续施工，随即恢复原貌。2021年以来，阜桥街道办事处多次联合有关部门、单位召集双方沟通协调，但均未达成一致。</w:t>
            </w:r>
          </w:p>
          <w:p>
            <w:pPr>
              <w:keepNext w:val="0"/>
              <w:keepLines w:val="0"/>
              <w:widowControl/>
              <w:suppressLineNumbers w:val="0"/>
              <w:spacing w:before="0" w:beforeAutospacing="0" w:after="0" w:afterAutospacing="0"/>
              <w:ind w:left="0" w:leftChars="0" w:right="0" w:rightChars="0"/>
              <w:jc w:val="both"/>
              <w:rPr>
                <w:rFonts w:ascii="仿宋_GB2312" w:hAnsi="宋体" w:eastAsia="仿宋_GB2312" w:cs="仿宋_GB2312"/>
                <w:i w:val="0"/>
                <w:iCs w:val="0"/>
                <w:caps w:val="0"/>
                <w:color w:val="000000"/>
                <w:spacing w:val="0"/>
                <w:sz w:val="23"/>
                <w:szCs w:val="23"/>
              </w:rPr>
            </w:pPr>
            <w:r>
              <w:rPr>
                <w:rFonts w:hint="eastAsia" w:ascii="仿宋_GB2312" w:hAnsi="宋体" w:eastAsia="仿宋_GB2312" w:cs="仿宋_GB2312"/>
                <w:i w:val="0"/>
                <w:iCs w:val="0"/>
                <w:caps w:val="0"/>
                <w:color w:val="000000"/>
                <w:spacing w:val="0"/>
                <w:sz w:val="23"/>
                <w:szCs w:val="23"/>
              </w:rPr>
              <w:t>3.6月29日，任城区政府针对此信访件反映的问题召开专题会议并组织现场办公，形成了以确定土地权属为前提、以打造宜居环境为核心的问题解决路线。</w:t>
            </w:r>
          </w:p>
        </w:tc>
        <w:tc>
          <w:tcPr>
            <w:tcW w:w="211"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仿宋_GB2312"/>
                <w:i w:val="0"/>
                <w:iCs w:val="0"/>
                <w:caps w:val="0"/>
                <w:color w:val="000000"/>
                <w:spacing w:val="0"/>
                <w:sz w:val="24"/>
                <w:szCs w:val="24"/>
                <w:lang w:val="en-US" w:eastAsia="zh-CN"/>
              </w:rPr>
            </w:pPr>
            <w:r>
              <w:rPr>
                <w:rFonts w:hint="eastAsia" w:ascii="仿宋_GB2312" w:hAnsi="宋体" w:eastAsia="仿宋_GB2312" w:cs="仿宋_GB2312"/>
                <w:i w:val="0"/>
                <w:iCs w:val="0"/>
                <w:caps w:val="0"/>
                <w:color w:val="000000"/>
                <w:spacing w:val="0"/>
                <w:sz w:val="24"/>
                <w:szCs w:val="24"/>
                <w:lang w:val="en-US" w:eastAsia="zh-CN"/>
              </w:rPr>
              <w:t>部分</w:t>
            </w:r>
            <w:r>
              <w:rPr>
                <w:rFonts w:ascii="仿宋_GB2312" w:hAnsi="宋体" w:eastAsia="仿宋_GB2312" w:cs="仿宋_GB2312"/>
                <w:i w:val="0"/>
                <w:iCs w:val="0"/>
                <w:caps w:val="0"/>
                <w:color w:val="000000"/>
                <w:spacing w:val="0"/>
                <w:sz w:val="24"/>
                <w:szCs w:val="24"/>
              </w:rPr>
              <w:t>属实</w:t>
            </w:r>
          </w:p>
        </w:tc>
        <w:tc>
          <w:tcPr>
            <w:tcW w:w="279"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确定土地权属，明确权利关系；做好群众工作，推进矛盾化解。</w:t>
            </w:r>
          </w:p>
        </w:tc>
        <w:tc>
          <w:tcPr>
            <w:tcW w:w="730"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both"/>
              <w:rPr>
                <w:rFonts w:hint="eastAsia"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任城区政府责成区自然资源局、区综合行政执法局、区住房和城乡建设局、阜桥街道办事处采取以下措施：</w:t>
            </w:r>
          </w:p>
          <w:p>
            <w:pPr>
              <w:keepNext w:val="0"/>
              <w:keepLines w:val="0"/>
              <w:widowControl/>
              <w:suppressLineNumbers w:val="0"/>
              <w:spacing w:before="0" w:beforeAutospacing="0" w:after="0" w:afterAutospacing="0"/>
              <w:ind w:left="0" w:leftChars="0" w:right="0" w:rightChars="0"/>
              <w:jc w:val="both"/>
              <w:rPr>
                <w:rFonts w:hint="eastAsia"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1.由区自然资源局确定运河路新街市房改办宿舍居民小区土地权属及四至范围。</w:t>
            </w:r>
          </w:p>
          <w:p>
            <w:pPr>
              <w:keepNext w:val="0"/>
              <w:keepLines w:val="0"/>
              <w:widowControl/>
              <w:suppressLineNumbers w:val="0"/>
              <w:spacing w:before="0" w:beforeAutospacing="0" w:after="0" w:afterAutospacing="0"/>
              <w:ind w:left="0" w:leftChars="0" w:right="0" w:rightChars="0"/>
              <w:jc w:val="both"/>
              <w:rPr>
                <w:rFonts w:ascii="仿宋_GB2312" w:hAnsi="宋体" w:eastAsia="仿宋_GB2312" w:cs="仿宋_GB2312"/>
                <w:i w:val="0"/>
                <w:iCs w:val="0"/>
                <w:caps w:val="0"/>
                <w:color w:val="000000"/>
                <w:spacing w:val="0"/>
                <w:sz w:val="24"/>
                <w:szCs w:val="24"/>
              </w:rPr>
            </w:pPr>
            <w:r>
              <w:rPr>
                <w:rFonts w:hint="eastAsia" w:ascii="仿宋_GB2312" w:hAnsi="宋体" w:eastAsia="仿宋_GB2312" w:cs="仿宋_GB2312"/>
                <w:i w:val="0"/>
                <w:iCs w:val="0"/>
                <w:caps w:val="0"/>
                <w:color w:val="000000"/>
                <w:spacing w:val="0"/>
                <w:sz w:val="24"/>
                <w:szCs w:val="24"/>
              </w:rPr>
              <w:t>2.依据土地权属，在征求相关利害关系人意见的基础上，制定合法合理的整改方案，明确整改措施和责任单位，确保整改成效。</w:t>
            </w:r>
          </w:p>
        </w:tc>
        <w:tc>
          <w:tcPr>
            <w:tcW w:w="244"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ascii="仿宋_GB2312" w:hAnsi="宋体" w:eastAsia="仿宋_GB2312" w:cs="仿宋_GB2312"/>
                <w:i w:val="0"/>
                <w:iCs w:val="0"/>
                <w:caps w:val="0"/>
                <w:color w:val="000000"/>
                <w:spacing w:val="0"/>
                <w:sz w:val="24"/>
                <w:szCs w:val="24"/>
              </w:rPr>
            </w:pPr>
            <w:r>
              <w:rPr>
                <w:rFonts w:ascii="仿宋_GB2312" w:hAnsi="宋体" w:eastAsia="仿宋_GB2312" w:cs="仿宋_GB2312"/>
                <w:i w:val="0"/>
                <w:iCs w:val="0"/>
                <w:caps w:val="0"/>
                <w:color w:val="000000"/>
                <w:spacing w:val="0"/>
                <w:sz w:val="24"/>
                <w:szCs w:val="24"/>
              </w:rPr>
              <w:t>阶段性办结</w:t>
            </w:r>
          </w:p>
        </w:tc>
        <w:tc>
          <w:tcPr>
            <w:tcW w:w="308"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i w:val="0"/>
                <w:iCs w:val="0"/>
                <w:caps w:val="0"/>
                <w:color w:val="000000"/>
                <w:spacing w:val="0"/>
                <w:kern w:val="0"/>
                <w:sz w:val="24"/>
                <w:szCs w:val="24"/>
                <w:u w:val="none"/>
                <w:lang w:val="en-US" w:eastAsia="zh-CN" w:bidi="ar"/>
              </w:rPr>
            </w:pPr>
            <w:r>
              <w:rPr>
                <w:rFonts w:hint="eastAsia" w:ascii="仿宋_GB2312" w:hAnsi="仿宋_GB2312" w:eastAsia="仿宋_GB2312" w:cs="仿宋_GB2312"/>
                <w:i w:val="0"/>
                <w:iCs w:val="0"/>
                <w:caps w:val="0"/>
                <w:color w:val="000000"/>
                <w:spacing w:val="0"/>
                <w:kern w:val="0"/>
                <w:sz w:val="24"/>
                <w:szCs w:val="24"/>
                <w:u w:val="none"/>
                <w:lang w:val="en-US" w:eastAsia="zh-CN" w:bidi="ar"/>
              </w:rPr>
              <w:t>无</w:t>
            </w:r>
          </w:p>
        </w:tc>
      </w:tr>
      <w:bookmarkEnd w:id="6"/>
    </w:tbl>
    <w:p>
      <w:bookmarkStart w:id="8" w:name="_GoBack"/>
      <w:bookmarkEnd w:id="8"/>
      <w:r>
        <w:rPr>
          <w:rFonts w:hint="eastAsia" w:ascii="方正仿宋简体" w:hAnsi="方正仿宋简体" w:eastAsia="方正仿宋简体" w:cs="方正仿宋简体"/>
          <w:kern w:val="2"/>
          <w:sz w:val="24"/>
          <w:szCs w:val="24"/>
          <w:lang w:val="en-US" w:eastAsia="zh-CN" w:bidi="ar"/>
        </w:rPr>
        <w:t>注：问题类型包括群众身边的生态环境问题、涉及公共利益的生态环境问题、涉及规划政策方面问题、涉及邻避效应问题、涉及利益纠纷问题。</w:t>
      </w:r>
    </w:p>
    <w:sectPr>
      <w:pgSz w:w="23811" w:h="16838" w:orient="landscape"/>
      <w:pgMar w:top="1417" w:right="1134" w:bottom="1417"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7A"/>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Noto Sans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lYzAxNWI4ZDAwOTJhZmUwNjZmNDFkMDU3OTRjYmQifQ=="/>
    <w:docVar w:name="KSO_WPS_MARK_KEY" w:val="1d17aee1-3853-411b-af98-43dd03858ce7"/>
  </w:docVars>
  <w:rsids>
    <w:rsidRoot w:val="32534DA6"/>
    <w:rsid w:val="01410053"/>
    <w:rsid w:val="03D34B25"/>
    <w:rsid w:val="047659FE"/>
    <w:rsid w:val="04AE4312"/>
    <w:rsid w:val="0900410E"/>
    <w:rsid w:val="093A7BD7"/>
    <w:rsid w:val="0BA17A99"/>
    <w:rsid w:val="0F721BE3"/>
    <w:rsid w:val="1003053A"/>
    <w:rsid w:val="10C20C76"/>
    <w:rsid w:val="11F72B09"/>
    <w:rsid w:val="1347361C"/>
    <w:rsid w:val="14602C66"/>
    <w:rsid w:val="154F3251"/>
    <w:rsid w:val="171347E8"/>
    <w:rsid w:val="18A64941"/>
    <w:rsid w:val="1B662EBC"/>
    <w:rsid w:val="1C9176B6"/>
    <w:rsid w:val="1DA418BB"/>
    <w:rsid w:val="1EF00D9C"/>
    <w:rsid w:val="1F3D1A0F"/>
    <w:rsid w:val="1FB16FBB"/>
    <w:rsid w:val="1FE65F6B"/>
    <w:rsid w:val="201250C1"/>
    <w:rsid w:val="222B575F"/>
    <w:rsid w:val="24C22E1A"/>
    <w:rsid w:val="25F023F1"/>
    <w:rsid w:val="26B5751A"/>
    <w:rsid w:val="274176DD"/>
    <w:rsid w:val="274938F5"/>
    <w:rsid w:val="280A1BB7"/>
    <w:rsid w:val="280F2743"/>
    <w:rsid w:val="2AF4293A"/>
    <w:rsid w:val="2B221566"/>
    <w:rsid w:val="2C474D12"/>
    <w:rsid w:val="2D172103"/>
    <w:rsid w:val="2E1D483F"/>
    <w:rsid w:val="2EE440F0"/>
    <w:rsid w:val="2FEB68F0"/>
    <w:rsid w:val="304260B6"/>
    <w:rsid w:val="32534DA6"/>
    <w:rsid w:val="33F64577"/>
    <w:rsid w:val="362C4EB0"/>
    <w:rsid w:val="367B1A45"/>
    <w:rsid w:val="37C66B78"/>
    <w:rsid w:val="39E906DA"/>
    <w:rsid w:val="3C88561B"/>
    <w:rsid w:val="400A670E"/>
    <w:rsid w:val="4012098A"/>
    <w:rsid w:val="41044DC1"/>
    <w:rsid w:val="41D37CA5"/>
    <w:rsid w:val="42187DAE"/>
    <w:rsid w:val="441819D6"/>
    <w:rsid w:val="44AB6CB7"/>
    <w:rsid w:val="4599483E"/>
    <w:rsid w:val="484F022F"/>
    <w:rsid w:val="4920614A"/>
    <w:rsid w:val="49A04D48"/>
    <w:rsid w:val="4A304B2F"/>
    <w:rsid w:val="4AF03B91"/>
    <w:rsid w:val="4C115F9A"/>
    <w:rsid w:val="4E3D203E"/>
    <w:rsid w:val="4E3E09E4"/>
    <w:rsid w:val="507B7E86"/>
    <w:rsid w:val="510439B9"/>
    <w:rsid w:val="51A64FF5"/>
    <w:rsid w:val="51A907D1"/>
    <w:rsid w:val="523C0D41"/>
    <w:rsid w:val="52E920F9"/>
    <w:rsid w:val="5329665B"/>
    <w:rsid w:val="548341FB"/>
    <w:rsid w:val="54F47E52"/>
    <w:rsid w:val="57420D26"/>
    <w:rsid w:val="577B0720"/>
    <w:rsid w:val="581B3E6F"/>
    <w:rsid w:val="58EF7663"/>
    <w:rsid w:val="5A080073"/>
    <w:rsid w:val="5AAC50E0"/>
    <w:rsid w:val="5B610563"/>
    <w:rsid w:val="5EB43249"/>
    <w:rsid w:val="5ED76E2E"/>
    <w:rsid w:val="60773101"/>
    <w:rsid w:val="616E7593"/>
    <w:rsid w:val="61FA54F8"/>
    <w:rsid w:val="63F0603D"/>
    <w:rsid w:val="651F640A"/>
    <w:rsid w:val="657A4CF5"/>
    <w:rsid w:val="66B8278B"/>
    <w:rsid w:val="66EB6D01"/>
    <w:rsid w:val="67CD1F14"/>
    <w:rsid w:val="69DF102E"/>
    <w:rsid w:val="6C224890"/>
    <w:rsid w:val="6F011A46"/>
    <w:rsid w:val="702E0619"/>
    <w:rsid w:val="709149A6"/>
    <w:rsid w:val="72357E6C"/>
    <w:rsid w:val="72F079F1"/>
    <w:rsid w:val="73B87EF2"/>
    <w:rsid w:val="746D7236"/>
    <w:rsid w:val="77A13C43"/>
    <w:rsid w:val="787B3DF9"/>
    <w:rsid w:val="7A880C8F"/>
    <w:rsid w:val="7A9D05D5"/>
    <w:rsid w:val="7C6678A7"/>
    <w:rsid w:val="7D2376B5"/>
    <w:rsid w:val="7DA10A0F"/>
    <w:rsid w:val="7E1062FF"/>
    <w:rsid w:val="7EAB116C"/>
    <w:rsid w:val="7F647FD1"/>
    <w:rsid w:val="7FB946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style>
  <w:style w:type="paragraph" w:styleId="3">
    <w:name w:val="Normal (Web)"/>
    <w:basedOn w:val="1"/>
    <w:qFormat/>
    <w:uiPriority w:val="0"/>
    <w:pPr>
      <w:widowControl w:val="0"/>
      <w:spacing w:beforeAutospacing="1" w:after="100" w:afterAutospacing="1"/>
      <w:jc w:val="left"/>
    </w:pPr>
    <w:rPr>
      <w:rFonts w:ascii="等线" w:hAnsi="等线" w:eastAsia="等线" w:cs="Times New Roman"/>
      <w:kern w:val="0"/>
      <w:sz w:val="24"/>
      <w:szCs w:val="22"/>
      <w:lang w:val="en-US" w:eastAsia="zh-CN" w:bidi="ar-SA"/>
    </w:rPr>
  </w:style>
  <w:style w:type="character" w:styleId="6">
    <w:name w:val="Emphasis"/>
    <w:basedOn w:val="5"/>
    <w:qFormat/>
    <w:uiPriority w:val="0"/>
    <w:rPr>
      <w:i/>
    </w:rPr>
  </w:style>
  <w:style w:type="paragraph" w:customStyle="1" w:styleId="7">
    <w:name w:val="正文缩进1"/>
    <w:next w:val="2"/>
    <w:qFormat/>
    <w:uiPriority w:val="0"/>
    <w:pPr>
      <w:widowControl w:val="0"/>
      <w:ind w:firstLine="42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10140</Words>
  <Characters>10743</Characters>
  <Lines>0</Lines>
  <Paragraphs>0</Paragraphs>
  <TotalTime>1</TotalTime>
  <ScaleCrop>false</ScaleCrop>
  <LinksUpToDate>false</LinksUpToDate>
  <CharactersWithSpaces>10750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2025-05-29T07:35:00Z</dcterms:created>
  <dc:creator>看清所以看轻</dc:creator>
  <cp:lastModifiedBy>乔宇</cp:lastModifiedBy>
  <cp:lastPrinted>2025-06-05T02:37:00Z</cp:lastPrinted>
  <dcterms:modified xsi:type="dcterms:W3CDTF">2025-07-03T08:40:52Z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0E84ECF379344F2DB788232836C9683E</vt:lpwstr>
  </property>
  <property fmtid="{D5CDD505-2E9C-101B-9397-08002B2CF9AE}" pid="4" name="KSOTemplateDocerSaveRecord">
    <vt:lpwstr>eyJoZGlkIjoiOTg2ZTMwMjU0ZjcwNDk4MDFkODMwNjdiOTAyMWIzMjUiLCJ1c2VySWQiOiIxNDc5NTc2MTkxIn0=</vt:lpwstr>
  </property>
</Properties>
</file>