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eastAsia="仿宋_GB2312"/>
          <w:b/>
          <w:bCs/>
          <w:sz w:val="32"/>
          <w:szCs w:val="32"/>
        </w:rPr>
      </w:pPr>
    </w:p>
    <w:p>
      <w:pPr>
        <w:spacing w:line="540" w:lineRule="exact"/>
        <w:rPr>
          <w:rFonts w:hint="eastAsia" w:ascii="仿宋_GB2312" w:eastAsia="仿宋_GB2312"/>
          <w:b/>
          <w:bCs/>
          <w:sz w:val="32"/>
          <w:szCs w:val="32"/>
        </w:rPr>
      </w:pPr>
    </w:p>
    <w:p>
      <w:pPr>
        <w:spacing w:line="540" w:lineRule="exact"/>
        <w:rPr>
          <w:rFonts w:hint="eastAsia" w:ascii="仿宋_GB2312" w:eastAsia="仿宋_GB2312"/>
          <w:b/>
          <w:bCs/>
          <w:sz w:val="32"/>
          <w:szCs w:val="32"/>
        </w:rPr>
      </w:pPr>
    </w:p>
    <w:p>
      <w:pPr>
        <w:spacing w:line="540" w:lineRule="exact"/>
        <w:rPr>
          <w:rFonts w:hint="eastAsia" w:ascii="仿宋_GB2312" w:eastAsia="仿宋_GB2312"/>
          <w:b/>
          <w:bCs/>
          <w:sz w:val="32"/>
          <w:szCs w:val="32"/>
        </w:rPr>
      </w:pPr>
    </w:p>
    <w:p>
      <w:pPr>
        <w:spacing w:line="540" w:lineRule="exact"/>
        <w:rPr>
          <w:rFonts w:hint="eastAsia" w:ascii="仿宋_GB2312" w:eastAsia="仿宋_GB2312"/>
          <w:b/>
          <w:bCs/>
          <w:sz w:val="32"/>
          <w:szCs w:val="32"/>
        </w:rPr>
      </w:pPr>
    </w:p>
    <w:p>
      <w:pPr>
        <w:spacing w:line="540" w:lineRule="exact"/>
        <w:rPr>
          <w:rFonts w:hint="eastAsia" w:ascii="仿宋_GB2312" w:eastAsia="仿宋_GB2312"/>
          <w:b/>
          <w:bCs/>
          <w:sz w:val="32"/>
          <w:szCs w:val="32"/>
        </w:rPr>
      </w:pPr>
    </w:p>
    <w:p>
      <w:pPr>
        <w:spacing w:line="540" w:lineRule="exact"/>
        <w:rPr>
          <w:rFonts w:hint="eastAsia" w:ascii="仿宋_GB2312" w:eastAsia="仿宋_GB2312"/>
          <w:b/>
          <w:bCs/>
          <w:sz w:val="32"/>
          <w:szCs w:val="32"/>
        </w:rPr>
      </w:pPr>
    </w:p>
    <w:p>
      <w:pPr>
        <w:spacing w:line="540" w:lineRule="exact"/>
        <w:jc w:val="center"/>
        <w:rPr>
          <w:rFonts w:hint="eastAsia" w:ascii="仿宋_GB2312" w:eastAsia="仿宋_GB2312"/>
          <w:b/>
          <w:bCs/>
          <w:sz w:val="32"/>
          <w:szCs w:val="32"/>
        </w:rPr>
      </w:pPr>
      <w:r>
        <w:rPr>
          <w:rFonts w:hint="eastAsia" w:ascii="仿宋_GB2312" w:eastAsia="仿宋_GB2312"/>
          <w:b/>
          <w:bCs/>
          <w:sz w:val="32"/>
          <w:szCs w:val="32"/>
          <w:lang w:eastAsia="zh-CN"/>
        </w:rPr>
        <w:t>济</w:t>
      </w:r>
      <w:r>
        <w:rPr>
          <w:rFonts w:hint="eastAsia" w:ascii="仿宋_GB2312" w:eastAsia="仿宋_GB2312"/>
          <w:b/>
          <w:bCs/>
          <w:sz w:val="32"/>
          <w:szCs w:val="32"/>
          <w:lang w:val="en-US" w:eastAsia="zh-CN"/>
        </w:rPr>
        <w:t>工</w:t>
      </w:r>
      <w:r>
        <w:rPr>
          <w:rFonts w:hint="eastAsia" w:ascii="仿宋_GB2312" w:eastAsia="仿宋_GB2312"/>
          <w:b/>
          <w:bCs/>
          <w:sz w:val="32"/>
          <w:szCs w:val="32"/>
        </w:rPr>
        <w:t>信字〔20</w:t>
      </w:r>
      <w:r>
        <w:rPr>
          <w:rFonts w:hint="eastAsia" w:ascii="仿宋_GB2312" w:eastAsia="仿宋_GB2312"/>
          <w:b/>
          <w:bCs/>
          <w:sz w:val="32"/>
          <w:szCs w:val="32"/>
          <w:lang w:val="en-US" w:eastAsia="zh-CN"/>
        </w:rPr>
        <w:t>21</w:t>
      </w:r>
      <w:r>
        <w:rPr>
          <w:rFonts w:hint="eastAsia" w:ascii="仿宋_GB2312" w:eastAsia="仿宋_GB2312"/>
          <w:b/>
          <w:bCs/>
          <w:sz w:val="32"/>
          <w:szCs w:val="32"/>
        </w:rPr>
        <w:t>〕</w:t>
      </w:r>
      <w:r>
        <w:rPr>
          <w:rFonts w:hint="eastAsia" w:ascii="仿宋_GB2312" w:eastAsia="仿宋_GB2312"/>
          <w:b/>
          <w:bCs/>
          <w:sz w:val="32"/>
          <w:szCs w:val="32"/>
          <w:lang w:val="en-US" w:eastAsia="zh-CN"/>
        </w:rPr>
        <w:t>74</w:t>
      </w:r>
      <w:bookmarkStart w:id="0" w:name="_GoBack"/>
      <w:bookmarkEnd w:id="0"/>
      <w:r>
        <w:rPr>
          <w:rFonts w:hint="eastAsia" w:ascii="仿宋_GB2312" w:eastAsia="仿宋_GB2312"/>
          <w:b/>
          <w:bCs/>
          <w:sz w:val="32"/>
          <w:szCs w:val="32"/>
        </w:rPr>
        <w:t>号</w:t>
      </w:r>
    </w:p>
    <w:p>
      <w:pPr>
        <w:spacing w:line="540" w:lineRule="exact"/>
        <w:jc w:val="center"/>
        <w:rPr>
          <w:rFonts w:hint="eastAsia" w:ascii="仿宋_GB2312" w:eastAsia="仿宋_GB2312"/>
          <w:b/>
          <w:bCs/>
          <w:sz w:val="32"/>
          <w:szCs w:val="32"/>
        </w:rPr>
      </w:pPr>
    </w:p>
    <w:p>
      <w:pPr>
        <w:spacing w:line="540" w:lineRule="exact"/>
        <w:jc w:val="center"/>
        <w:rPr>
          <w:rFonts w:hint="eastAsia" w:ascii="仿宋_GB2312" w:eastAsia="仿宋_GB2312"/>
          <w:b/>
          <w:bCs/>
          <w:sz w:val="32"/>
          <w:szCs w:val="32"/>
        </w:rPr>
      </w:pPr>
    </w:p>
    <w:p>
      <w:pPr>
        <w:keepNext w:val="0"/>
        <w:keepLines w:val="0"/>
        <w:pageBreakBefore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关于山东联诚精密制造股份有限公司</w:t>
      </w:r>
    </w:p>
    <w:p>
      <w:pPr>
        <w:keepNext w:val="0"/>
        <w:keepLines w:val="0"/>
        <w:pageBreakBefore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工业强基工程“先进高效机电耦合驱动系统”</w:t>
      </w:r>
    </w:p>
    <w:p>
      <w:pPr>
        <w:keepNext w:val="0"/>
        <w:keepLines w:val="0"/>
        <w:pageBreakBefore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rPr>
        <w:t>项目</w:t>
      </w:r>
      <w:r>
        <w:rPr>
          <w:rFonts w:hint="eastAsia" w:ascii="方正小标宋简体" w:hAnsi="方正小标宋简体" w:eastAsia="方正小标宋简体" w:cs="方正小标宋简体"/>
          <w:b/>
          <w:bCs/>
          <w:sz w:val="36"/>
          <w:szCs w:val="36"/>
          <w:lang w:val="en-US" w:eastAsia="zh-CN"/>
        </w:rPr>
        <w:t>投资情况的报告</w:t>
      </w:r>
    </w:p>
    <w:p>
      <w:pPr>
        <w:keepNext w:val="0"/>
        <w:keepLines w:val="0"/>
        <w:pageBreakBefore w:val="0"/>
        <w:kinsoku/>
        <w:wordWrap/>
        <w:overflowPunct/>
        <w:topLinePunct w:val="0"/>
        <w:bidi w:val="0"/>
        <w:snapToGrid/>
        <w:spacing w:line="600" w:lineRule="exact"/>
        <w:jc w:val="center"/>
        <w:textAlignment w:val="auto"/>
        <w:rPr>
          <w:rFonts w:hint="default" w:ascii="方正小标宋简体" w:hAnsi="方正小标宋简体" w:eastAsia="方正小标宋简体" w:cs="方正小标宋简体"/>
          <w:b/>
          <w:bCs/>
          <w:sz w:val="36"/>
          <w:szCs w:val="36"/>
          <w:lang w:val="en-US" w:eastAsia="zh-CN"/>
        </w:rPr>
      </w:pPr>
    </w:p>
    <w:p>
      <w:pPr>
        <w:keepNext w:val="0"/>
        <w:keepLines w:val="0"/>
        <w:pageBreakBefore w:val="0"/>
        <w:kinsoku/>
        <w:wordWrap/>
        <w:overflowPunct/>
        <w:topLinePunct w:val="0"/>
        <w:bidi w:val="0"/>
        <w:snapToGrid/>
        <w:spacing w:line="60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山东省工业和信息化厅</w:t>
      </w:r>
      <w:r>
        <w:rPr>
          <w:rFonts w:hint="eastAsia" w:ascii="仿宋_GB2312" w:hAnsi="仿宋_GB2312" w:eastAsia="仿宋_GB2312" w:cs="仿宋_GB2312"/>
          <w:b/>
          <w:bCs/>
          <w:sz w:val="32"/>
          <w:szCs w:val="32"/>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0" w:afterAutospacing="0" w:line="600" w:lineRule="exact"/>
        <w:ind w:left="0" w:right="0"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0"/>
          <w:sz w:val="32"/>
          <w:szCs w:val="32"/>
          <w:lang w:val="en-US" w:eastAsia="zh-CN" w:bidi="ar"/>
        </w:rPr>
        <w:t>山东联诚精密制造股份有限公司强基工程“先进高效机电耦合驱动系统”项目已申请终止，工信部组织的项目验收专家于2021年5月完成了对该项目的审计，现将项目有关情况报告如下：</w:t>
      </w:r>
    </w:p>
    <w:p>
      <w:pPr>
        <w:pStyle w:val="4"/>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line="600" w:lineRule="exact"/>
        <w:ind w:leftChars="0" w:right="0" w:rightChars="0" w:firstLine="643" w:firstLineChars="200"/>
        <w:jc w:val="both"/>
        <w:textAlignment w:val="auto"/>
        <w:rPr>
          <w:rFonts w:hint="eastAsia" w:ascii="黑体" w:hAnsi="黑体" w:eastAsia="黑体" w:cs="黑体"/>
          <w:b/>
          <w:bCs/>
          <w:sz w:val="32"/>
          <w:szCs w:val="32"/>
          <w:lang w:val="en-US"/>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lang w:eastAsia="zh-CN"/>
        </w:rPr>
        <w:t>项目基本情况</w:t>
      </w:r>
    </w:p>
    <w:p>
      <w:pPr>
        <w:keepNext w:val="0"/>
        <w:keepLines w:val="0"/>
        <w:pageBreakBefore w:val="0"/>
        <w:kinsoku/>
        <w:wordWrap/>
        <w:overflowPunct/>
        <w:topLinePunct w:val="0"/>
        <w:bidi w:val="0"/>
        <w:snapToGrid/>
        <w:spacing w:line="60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山东联诚精密制造股份有限公司位于山东省济宁市兖州工业园区，是深交所上市公司，目前下辖6家参股、控股企业，资产规模17亿元，员工1800余人，是国家高新技术企业，中国铸造百强企业。公司年产各种机械零部件1500万件，广泛应用于汽车、商用车、工程机械、液压机械等领域。</w:t>
      </w:r>
    </w:p>
    <w:p>
      <w:pPr>
        <w:keepNext w:val="0"/>
        <w:keepLines w:val="0"/>
        <w:pageBreakBefore w:val="0"/>
        <w:kinsoku/>
        <w:wordWrap/>
        <w:overflowPunct/>
        <w:topLinePunct w:val="0"/>
        <w:bidi w:val="0"/>
        <w:snapToGrid/>
        <w:spacing w:line="600" w:lineRule="exact"/>
        <w:ind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0"/>
          <w:sz w:val="32"/>
          <w:szCs w:val="32"/>
          <w:lang w:val="en-US" w:eastAsia="zh-CN" w:bidi="ar"/>
        </w:rPr>
        <w:t>该公司研发的汽车混合动力高效机电耦合驱动系统（ePVT），拥有独立自主的知识产权，成功突破了日本丰田、美国通用等国外的专利壁垒，开发出了具有自主知识产权的多模动力分流型混合动力变速器。该产品可有效替代传统汽车变速器，实现油电动力的智能输出控制。国际权威汽车技术服务公司FEV和IAV，对该产品的节油减排能力、传动效率、动力性能以及市场化前景给予高度评价。</w:t>
      </w:r>
    </w:p>
    <w:p>
      <w:pPr>
        <w:keepNext w:val="0"/>
        <w:keepLines w:val="0"/>
        <w:pageBreakBefore w:val="0"/>
        <w:widowControl/>
        <w:suppressLineNumbers w:val="0"/>
        <w:kinsoku/>
        <w:wordWrap/>
        <w:overflowPunct/>
        <w:topLinePunct w:val="0"/>
        <w:bidi w:val="0"/>
        <w:snapToGrid/>
        <w:spacing w:beforeAutospacing="0" w:after="0" w:afterAutospacing="0" w:line="600" w:lineRule="exact"/>
        <w:ind w:left="0" w:right="0"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0"/>
          <w:sz w:val="32"/>
          <w:szCs w:val="32"/>
          <w:lang w:val="en-US" w:eastAsia="zh-CN" w:bidi="ar"/>
        </w:rPr>
        <w:t>该项目于2015年8月以公司控股子公司--山东联诚汽车混合动力科技有限公司在山东省发改委登记备案，计划总投资3.5亿元，形成年产5万台新能源汽车混合动力变速器系统的生产能力。公司于2016年6月参加了由国家工信部组织的“2016年工业强基工程”公开招标，并以第一名的成绩中标，中标项目为“节能与新能源汽车先进高效机电耦合驱动系统”。</w:t>
      </w:r>
    </w:p>
    <w:p>
      <w:pPr>
        <w:keepNext w:val="0"/>
        <w:keepLines w:val="0"/>
        <w:pageBreakBefore w:val="0"/>
        <w:widowControl/>
        <w:suppressLineNumbers w:val="0"/>
        <w:kinsoku/>
        <w:wordWrap/>
        <w:overflowPunct/>
        <w:topLinePunct w:val="0"/>
        <w:bidi w:val="0"/>
        <w:snapToGrid/>
        <w:spacing w:beforeAutospacing="0" w:after="0" w:afterAutospacing="0" w:line="600" w:lineRule="exact"/>
        <w:ind w:left="0" w:right="0" w:firstLine="643" w:firstLineChars="200"/>
        <w:jc w:val="both"/>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kern w:val="0"/>
          <w:sz w:val="32"/>
          <w:szCs w:val="32"/>
          <w:lang w:val="en-US" w:eastAsia="zh-CN" w:bidi="ar"/>
        </w:rPr>
        <w:t>从2016年到2019年1月，山东联诚在该项目的研发、设备购置、厂房建设等投资2亿多元（含税），实现了纯电驱动、油电混合驱动、固定速比驱动、平稳模式切换和发动机启-停等设计功能；机电耦合驱动系统节油优势明显并具有良好的驾驶性能，达到工信部对该项目的输入扭矩≥200Nm、输出扭矩≥2200Nm、系统功率密度＞1.5kW/kg、纯电工况下最高机械传递效率达到96%、混合动力工况下节油率＞30%等技术要求，2017年8月9日，该科技成果被山东省科学技术情报研究院以“混合动力车辆用新型动力分流机电混合动力系统”收录（编号：2014ZZCX04301）；该项目和广汽、上汽大众、德国IAV和苏州吉孚动力进行了积极的技术合作，并取得了6项中国发明专利、2项美国发明专利、1项国际PCT（国际）申请、1项在审中国发明专利，1项在审欧洲发明专利，发表论文3篇。</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0" w:afterAutospacing="0" w:line="600" w:lineRule="exact"/>
        <w:ind w:left="0" w:right="0" w:firstLine="643" w:firstLineChars="200"/>
        <w:jc w:val="both"/>
        <w:textAlignment w:val="auto"/>
        <w:rPr>
          <w:rFonts w:hint="default" w:ascii="黑体" w:hAnsi="黑体" w:eastAsia="黑体" w:cs="黑体"/>
          <w:b/>
          <w:bCs/>
          <w:sz w:val="32"/>
          <w:szCs w:val="32"/>
          <w:highlight w:val="none"/>
          <w:lang w:val="en-US"/>
        </w:rPr>
      </w:pPr>
      <w:r>
        <w:rPr>
          <w:rFonts w:hint="eastAsia" w:ascii="黑体" w:hAnsi="黑体" w:eastAsia="黑体" w:cs="黑体"/>
          <w:b/>
          <w:bCs/>
          <w:kern w:val="0"/>
          <w:sz w:val="32"/>
          <w:szCs w:val="32"/>
          <w:highlight w:val="none"/>
          <w:lang w:val="en-US" w:eastAsia="zh-CN" w:bidi="ar"/>
        </w:rPr>
        <w:t>二、建设主体情况</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0" w:afterAutospacing="0" w:line="600" w:lineRule="exact"/>
        <w:ind w:left="0" w:right="0" w:firstLine="643" w:firstLineChars="200"/>
        <w:jc w:val="both"/>
        <w:textAlignment w:val="auto"/>
        <w:rPr>
          <w:rFonts w:hint="eastAsia" w:ascii="仿宋_GB2312" w:hAnsi="仿宋_GB2312" w:eastAsia="仿宋_GB2312" w:cs="仿宋_GB2312"/>
          <w:b/>
          <w:bCs/>
          <w:sz w:val="32"/>
          <w:szCs w:val="32"/>
          <w:highlight w:val="none"/>
          <w:lang w:val="en-US"/>
        </w:rPr>
      </w:pPr>
      <w:r>
        <w:rPr>
          <w:rFonts w:hint="eastAsia" w:ascii="仿宋_GB2312" w:hAnsi="仿宋_GB2312" w:eastAsia="仿宋_GB2312" w:cs="仿宋_GB2312"/>
          <w:b/>
          <w:bCs/>
          <w:kern w:val="0"/>
          <w:sz w:val="32"/>
          <w:szCs w:val="32"/>
          <w:lang w:val="en-US" w:eastAsia="zh-CN" w:bidi="ar"/>
        </w:rPr>
        <w:t>山东联诚精密制造股份有限公司按照产品生产的不同类别成立了全资子公司山东联诚机电科技有限公司（从事铸铁零部件的生产）、全资子公司山东联诚汽车零部件有限公司（从事铸铝零部件的生产）及控股55%的山东联诚汽车混合动力科技有限公司（专门从事混合动力技术的研发），所有子公司都在联诚工业园内。在该项目的开发过程中，全资子公司——山东联诚机电科技有限公司为该项目购置设备2158.71万元、山东联诚汽车零件有限公司购置设备682.31万元，控股子公司汽车混合动力投入研发1461.29万元。</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0" w:afterAutospacing="0" w:line="600" w:lineRule="exact"/>
        <w:ind w:left="0" w:right="0" w:firstLine="643" w:firstLineChars="200"/>
        <w:jc w:val="both"/>
        <w:textAlignment w:val="auto"/>
        <w:rPr>
          <w:rFonts w:hint="default" w:ascii="黑体" w:hAnsi="黑体" w:eastAsia="黑体" w:cs="黑体"/>
          <w:b/>
          <w:bCs/>
          <w:sz w:val="32"/>
          <w:szCs w:val="32"/>
          <w:highlight w:val="none"/>
          <w:lang w:val="en-US"/>
        </w:rPr>
      </w:pPr>
      <w:r>
        <w:rPr>
          <w:rFonts w:hint="eastAsia" w:ascii="黑体" w:hAnsi="黑体" w:eastAsia="黑体" w:cs="黑体"/>
          <w:b/>
          <w:bCs/>
          <w:kern w:val="0"/>
          <w:sz w:val="32"/>
          <w:szCs w:val="32"/>
          <w:highlight w:val="none"/>
          <w:lang w:val="en-US" w:eastAsia="zh-CN" w:bidi="ar"/>
        </w:rPr>
        <w:t>三、项目投资情况</w:t>
      </w:r>
    </w:p>
    <w:p>
      <w:pPr>
        <w:keepNext w:val="0"/>
        <w:keepLines w:val="0"/>
        <w:pageBreakBefore w:val="0"/>
        <w:widowControl/>
        <w:suppressLineNumbers w:val="0"/>
        <w:kinsoku/>
        <w:wordWrap/>
        <w:overflowPunct/>
        <w:topLinePunct w:val="0"/>
        <w:bidi w:val="0"/>
        <w:snapToGrid/>
        <w:spacing w:beforeAutospacing="0" w:after="0" w:afterAutospacing="0" w:line="600" w:lineRule="exact"/>
        <w:ind w:left="0" w:right="0" w:firstLine="643"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中标后，山东联诚按照该项目的总体发展要求做了周密部署，从2016年到2019年1月，山东联诚在该项目上投入了1981万元研发经费，支付利息238.42万元，购买相关设备15545.54万元，并投资3074.71万元建成了3万多平方米的厂房，连同中标前期的投资，联诚在该项目上总计投资为22522万元。并形成了一系列科技成果，完成了五台原型样机的研发及制造。</w:t>
      </w:r>
    </w:p>
    <w:p>
      <w:pPr>
        <w:keepNext w:val="0"/>
        <w:keepLines w:val="0"/>
        <w:pageBreakBefore w:val="0"/>
        <w:widowControl/>
        <w:suppressLineNumbers w:val="0"/>
        <w:kinsoku/>
        <w:wordWrap/>
        <w:overflowPunct/>
        <w:topLinePunct w:val="0"/>
        <w:bidi w:val="0"/>
        <w:snapToGrid/>
        <w:spacing w:beforeAutospacing="0" w:after="0" w:afterAutospacing="0" w:line="600" w:lineRule="exact"/>
        <w:ind w:left="0" w:right="0" w:firstLine="643"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工信部组织的项目验收专家在对联诚公司的审计过程中，核减掉了2000多万元购买设备的增值税，并对全资子公司及前期投入的未与计算，核定投资额为11223.08万元。我们认为，根据签订的合同，该项目总计投资额为35000万元，其中前期投资5000万元，后期投资30000万元，根据项目总投资额给予配套5000万元财政支持，第一批拨付了3478万元，前期投资计算在总投资和配套金额内，企业在其项目期间投入到其子公司及前期投入都应该算为项目投资。加上其全资子公司机电科技购置设备2158.71万元、汽车零件购置设备682.31万元，控股子公司汽车混合动力投入的1461.29万元，合计投资15525.39万元（含税额：17331.86万元），连同前期投资4633.97万元，该项目总计投资额为20159.36万元</w:t>
      </w:r>
    </w:p>
    <w:p>
      <w:pPr>
        <w:keepNext w:val="0"/>
        <w:keepLines w:val="0"/>
        <w:pageBreakBefore w:val="0"/>
        <w:widowControl/>
        <w:suppressLineNumbers w:val="0"/>
        <w:kinsoku/>
        <w:wordWrap/>
        <w:overflowPunct/>
        <w:topLinePunct w:val="0"/>
        <w:bidi w:val="0"/>
        <w:snapToGrid/>
        <w:spacing w:beforeAutospacing="0" w:after="0" w:afterAutospacing="0" w:line="600" w:lineRule="exact"/>
        <w:ind w:left="0" w:right="0" w:firstLine="643" w:firstLineChars="200"/>
        <w:jc w:val="both"/>
        <w:textAlignment w:val="auto"/>
        <w:rPr>
          <w:rFonts w:hint="eastAsia" w:ascii="仿宋_GB2312" w:hAnsi="仿宋_GB2312" w:eastAsia="仿宋_GB2312" w:cs="仿宋_GB2312"/>
          <w:b/>
          <w:bCs/>
          <w:color w:val="2B2B2B"/>
          <w:sz w:val="32"/>
          <w:szCs w:val="32"/>
          <w:shd w:val="clear" w:color="auto" w:fill="FFFFFF"/>
        </w:rPr>
      </w:pPr>
      <w:r>
        <w:rPr>
          <w:rFonts w:hint="eastAsia" w:ascii="仿宋_GB2312" w:hAnsi="仿宋_GB2312" w:eastAsia="仿宋_GB2312" w:cs="仿宋_GB2312"/>
          <w:b/>
          <w:bCs/>
          <w:kern w:val="0"/>
          <w:sz w:val="32"/>
          <w:szCs w:val="32"/>
          <w:lang w:val="en-US" w:eastAsia="zh-CN" w:bidi="ar"/>
        </w:rPr>
        <w:t xml:space="preserve"> 鉴于该项目取得了较好的科技成果，完成了工信部的技术要求，并完成了总体投资2亿多元（含该项目前期投资），特恳请保留工信部拨付的专项资金用于企业的发展。        </w:t>
      </w:r>
      <w:r>
        <w:rPr>
          <w:rFonts w:hint="eastAsia" w:ascii="仿宋_GB2312" w:hAnsi="仿宋_GB2312" w:eastAsia="仿宋_GB2312" w:cs="仿宋_GB2312"/>
          <w:b/>
          <w:bCs/>
          <w:color w:val="2B2B2B"/>
          <w:sz w:val="32"/>
          <w:szCs w:val="32"/>
          <w:shd w:val="clear" w:color="auto" w:fill="FFFFFF"/>
        </w:rPr>
        <w:t xml:space="preserve">       </w:t>
      </w:r>
    </w:p>
    <w:p>
      <w:pPr>
        <w:keepNext w:val="0"/>
        <w:keepLines w:val="0"/>
        <w:pageBreakBefore w:val="0"/>
        <w:kinsoku/>
        <w:wordWrap/>
        <w:overflowPunct/>
        <w:topLinePunct w:val="0"/>
        <w:bidi w:val="0"/>
        <w:snapToGrid/>
        <w:spacing w:line="600" w:lineRule="exact"/>
        <w:ind w:left="229" w:right="229"/>
        <w:jc w:val="both"/>
        <w:textAlignment w:val="auto"/>
        <w:rPr>
          <w:rFonts w:hint="eastAsia" w:ascii="仿宋_GB2312" w:hAnsi="仿宋_GB2312" w:eastAsia="仿宋_GB2312" w:cs="仿宋_GB2312"/>
          <w:b/>
          <w:bCs/>
          <w:color w:val="2B2B2B"/>
          <w:sz w:val="32"/>
          <w:szCs w:val="32"/>
          <w:shd w:val="clear" w:color="auto" w:fill="FFFFFF"/>
        </w:rPr>
      </w:pPr>
    </w:p>
    <w:p>
      <w:pPr>
        <w:keepNext w:val="0"/>
        <w:keepLines w:val="0"/>
        <w:pageBreakBefore w:val="0"/>
        <w:kinsoku/>
        <w:wordWrap/>
        <w:overflowPunct/>
        <w:topLinePunct w:val="0"/>
        <w:bidi w:val="0"/>
        <w:snapToGrid/>
        <w:spacing w:line="600" w:lineRule="exact"/>
        <w:ind w:left="229" w:right="229"/>
        <w:jc w:val="both"/>
        <w:textAlignment w:val="auto"/>
        <w:rPr>
          <w:rFonts w:hint="eastAsia" w:ascii="仿宋_GB2312" w:hAnsi="仿宋_GB2312" w:eastAsia="仿宋_GB2312" w:cs="仿宋_GB2312"/>
          <w:b/>
          <w:bCs/>
          <w:color w:val="2B2B2B"/>
          <w:sz w:val="32"/>
          <w:szCs w:val="32"/>
          <w:shd w:val="clear" w:color="auto" w:fill="FFFFFF"/>
          <w:lang w:eastAsia="zh-CN"/>
        </w:rPr>
      </w:pPr>
      <w:r>
        <w:rPr>
          <w:rFonts w:hint="eastAsia" w:ascii="仿宋_GB2312" w:hAnsi="仿宋_GB2312" w:eastAsia="仿宋_GB2312" w:cs="仿宋_GB2312"/>
          <w:b/>
          <w:bCs/>
          <w:color w:val="2B2B2B"/>
          <w:sz w:val="32"/>
          <w:szCs w:val="32"/>
          <w:shd w:val="clear" w:color="auto" w:fill="FFFFFF"/>
        </w:rPr>
        <w:t xml:space="preserve">                    </w:t>
      </w:r>
      <w:r>
        <w:rPr>
          <w:rFonts w:hint="eastAsia" w:ascii="仿宋_GB2312" w:hAnsi="仿宋_GB2312" w:eastAsia="仿宋_GB2312" w:cs="仿宋_GB2312"/>
          <w:b/>
          <w:bCs/>
          <w:color w:val="2B2B2B"/>
          <w:sz w:val="32"/>
          <w:szCs w:val="32"/>
          <w:shd w:val="clear" w:color="auto" w:fill="FFFFFF"/>
          <w:lang w:val="en-US" w:eastAsia="zh-CN"/>
        </w:rPr>
        <w:t xml:space="preserve">       </w:t>
      </w:r>
      <w:r>
        <w:rPr>
          <w:rFonts w:hint="eastAsia" w:ascii="仿宋_GB2312" w:hAnsi="仿宋_GB2312" w:eastAsia="仿宋_GB2312" w:cs="仿宋_GB2312"/>
          <w:b/>
          <w:bCs/>
          <w:color w:val="2B2B2B"/>
          <w:sz w:val="32"/>
          <w:szCs w:val="32"/>
          <w:shd w:val="clear" w:color="auto" w:fill="FFFFFF"/>
          <w:lang w:eastAsia="zh-CN"/>
        </w:rPr>
        <w:t>济宁市工业和信息化局</w:t>
      </w:r>
    </w:p>
    <w:p>
      <w:pPr>
        <w:keepNext w:val="0"/>
        <w:keepLines w:val="0"/>
        <w:pageBreakBefore w:val="0"/>
        <w:kinsoku/>
        <w:wordWrap/>
        <w:overflowPunct/>
        <w:topLinePunct w:val="0"/>
        <w:bidi w:val="0"/>
        <w:snapToGrid/>
        <w:spacing w:line="600" w:lineRule="exact"/>
        <w:ind w:left="229" w:right="229"/>
        <w:jc w:val="both"/>
        <w:textAlignment w:val="auto"/>
        <w:rPr>
          <w:rFonts w:hint="eastAsia" w:ascii="仿宋_GB2312" w:hAnsi="仿宋_GB2312" w:eastAsia="仿宋_GB2312" w:cs="仿宋_GB2312"/>
          <w:b/>
          <w:bCs/>
          <w:kern w:val="0"/>
          <w:sz w:val="32"/>
          <w:szCs w:val="32"/>
          <w:highlight w:val="none"/>
          <w:lang w:val="en-US" w:eastAsia="zh-CN" w:bidi="ar"/>
        </w:rPr>
      </w:pPr>
      <w:r>
        <w:rPr>
          <w:rFonts w:hint="eastAsia" w:ascii="仿宋_GB2312" w:hAnsi="仿宋_GB2312" w:eastAsia="仿宋_GB2312" w:cs="仿宋_GB2312"/>
          <w:b/>
          <w:bCs/>
          <w:color w:val="2B2B2B"/>
          <w:sz w:val="32"/>
          <w:szCs w:val="32"/>
          <w:shd w:val="clear" w:color="auto" w:fill="FFFFFF"/>
        </w:rPr>
        <w:t xml:space="preserve">          </w:t>
      </w:r>
      <w:r>
        <w:rPr>
          <w:rFonts w:hint="eastAsia" w:ascii="仿宋_GB2312" w:hAnsi="仿宋_GB2312" w:eastAsia="仿宋_GB2312" w:cs="仿宋_GB2312"/>
          <w:b/>
          <w:bCs/>
          <w:kern w:val="0"/>
          <w:sz w:val="32"/>
          <w:szCs w:val="32"/>
          <w:highlight w:val="none"/>
          <w:lang w:val="en-US" w:eastAsia="zh-CN" w:bidi="ar"/>
        </w:rPr>
        <w:t xml:space="preserve">                    2021年9月3日</w:t>
      </w:r>
    </w:p>
    <w:p>
      <w:pPr>
        <w:keepNext w:val="0"/>
        <w:keepLines w:val="0"/>
        <w:pageBreakBefore w:val="0"/>
        <w:kinsoku/>
        <w:wordWrap/>
        <w:overflowPunct/>
        <w:topLinePunct w:val="0"/>
        <w:bidi w:val="0"/>
        <w:snapToGrid/>
        <w:spacing w:line="60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bidi w:val="0"/>
        <w:snapToGrid/>
        <w:spacing w:line="600" w:lineRule="exact"/>
        <w:jc w:val="both"/>
        <w:textAlignment w:val="auto"/>
        <w:rPr>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308EA"/>
    <w:rsid w:val="02441A7B"/>
    <w:rsid w:val="08A820CE"/>
    <w:rsid w:val="1BA94B09"/>
    <w:rsid w:val="283C3EEC"/>
    <w:rsid w:val="2B907EBC"/>
    <w:rsid w:val="30A756A6"/>
    <w:rsid w:val="64696524"/>
    <w:rsid w:val="7A830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msolistparagraph"/>
    <w:basedOn w:val="1"/>
    <w:qFormat/>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2021-09-03T04:04:00Z</dcterms:created>
  <dc:creator>Administrator</dc:creator>
  <cp:lastModifiedBy>Administrator</cp:lastModifiedBy>
  <cp:lastPrinted>2021-09-03T05:47:48Z</cp:lastPrinted>
  <dcterms:modified xsi:type="dcterms:W3CDTF">2021-09-03T05:51:13Z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CA706D239336474BA8EF32AD3E996101</vt:lpwstr>
  </property>
</Properties>
</file>