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  <w:t>济宁市住房公积金管理中心文件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368300</wp:posOffset>
                </wp:positionV>
                <wp:extent cx="55340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29pt;height:0.05pt;width:435.75pt;z-index:251662336;mso-width-relative:page;mso-height-relative:page;" filled="f" stroked="t" coordsize="21600,21600" o:gfxdata="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Gmfgq1gAAAAcBAAAPAAAAAAAAAAEAIAAAADgAAABkcnMvZG93bnJldi54bWxQSwEC&#10;FAAUAAAACACHTuJANIDeB+ABAACcAwAADgAAAAAAAAABACAAAAA7AQAAZHJzL2Uyb0RvYy54bWxQ&#10;SwUGAAAAAAYABgBZAQAAj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济住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〔20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关于印发《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年工作要点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各科室、分支机构：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 xml:space="preserve">    《济宁市住房公积金管理中心20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年工作要点》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已经中心党组会议研究通过，现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印发给你们，请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遵照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济宁市住房公积金管理中心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140" w:firstLineChars="16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20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济宁市住房公积金管理中心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年工作要点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年，我市住房公积金管理工作的总体思路是：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以习近平新时代中国特色社会主义思想为指导，深入贯彻党的二十大和二十届二中、三中全会精神，坚持稳中求进工作总基调，完整、准确、全面贯彻新发展理念，</w:t>
      </w:r>
      <w:r>
        <w:rPr>
          <w:rFonts w:ascii="Times New Roman" w:hAnsi="Times New Roman" w:eastAsia="方正黑体简体" w:cs="Times New Roman"/>
          <w:b/>
          <w:i w:val="0"/>
          <w:caps w:val="0"/>
          <w:color w:val="auto"/>
          <w:spacing w:val="0"/>
          <w:sz w:val="32"/>
          <w:szCs w:val="32"/>
          <w:u w:val="none"/>
        </w:rPr>
        <w:t>锚定</w:t>
      </w:r>
      <w:r>
        <w:rPr>
          <w:rFonts w:hint="default" w:ascii="Times New Roman" w:hAnsi="Times New Roman" w:eastAsia="方正黑体简体" w:cs="Times New Roman"/>
          <w:b/>
          <w:i w:val="0"/>
          <w:caps w:val="0"/>
          <w:color w:val="auto"/>
          <w:spacing w:val="0"/>
          <w:sz w:val="32"/>
          <w:szCs w:val="32"/>
          <w:u w:val="none"/>
        </w:rPr>
        <w:t>“走在前、</w:t>
      </w:r>
      <w:r>
        <w:rPr>
          <w:rFonts w:hint="default" w:ascii="Times New Roman" w:hAnsi="Times New Roman" w:eastAsia="方正黑体简体" w:cs="Times New Roman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勇争先</w:t>
      </w:r>
      <w:r>
        <w:rPr>
          <w:rFonts w:hint="default" w:ascii="Times New Roman" w:hAnsi="Times New Roman" w:eastAsia="方正黑体简体" w:cs="Times New Roman"/>
          <w:b/>
          <w:i w:val="0"/>
          <w:caps w:val="0"/>
          <w:color w:val="auto"/>
          <w:spacing w:val="0"/>
          <w:sz w:val="32"/>
          <w:szCs w:val="32"/>
          <w:u w:val="none"/>
        </w:rPr>
        <w:t>”，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全力支持缴存人基本住房需求，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深化党建引领，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突出抓好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归集扩面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政策支撑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政务服务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风险防控、队伍建设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等重点工作，充分发挥住房公积金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制度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在构建房地产发展新模式、保障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改善民生、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提振住房领域消费等方面的重要作用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，为</w:t>
      </w: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u w:val="none"/>
        </w:rPr>
        <w:t>奋力推动中国式现代化济宁实践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eastAsia="zh-CN"/>
        </w:rPr>
        <w:t>主要业务指标确定为：全年归集住房公积金132.65亿元，新增缴存人数4万人；住房公积金贷款逾期率控制在0.15‰以内。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在全面从严治党上持续用力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牢固树立抓好党建就是最大政绩的理念，以更高站位、更大力度、更硬举措提高基层党建工作质效。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1.坚持旗帜鲜明讲政治。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</w:rPr>
        <w:t>深入学习习近平新时代中国特色社会主义思想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</w:rPr>
        <w:t>以实际行动坚定拥护“两个确立”、坚决做到“两个维护”。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严格落实意识形态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和保密工作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责任制，</w:t>
      </w:r>
      <w:r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全面贯彻总体国家安全观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2.打造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清廉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公积金。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开展深入贯彻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中央八项规定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精神学习教育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，持续纠治群众身边不正之风和腐败问题，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加强党员干部八小时外监督管理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。推进党纪学习教育常态化长效化，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开展好“纪法教育进家庭·廉洁传承清廉好家风”等活动，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深化拓展廉洁文化品牌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，持续扩大廉洁文化影响力。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争创全国文明单位。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学习贯彻习近平文化思想，纵深推动优秀传统文化融入党员干部日常行为规范，提炼特色、亮点，擦亮单位文化建设品牌，打造活力机关。突出行业特点，搭建活动载体，开展丰富多彩的文明创建活动，全力争创“全国文明单位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在抓扩面惠民生上持续用力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结合全市工业经济“头号工程”和城镇化战略，在提升归集扩面精度、广度、力度上出实招、用实力、求实效，推动归集扩面实现新突破。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住房公积金扩面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精度。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摸清已交养老保险未缴存住房公积金单位底数，争取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关部门支持，进一步扩大住房公积金制度覆盖面。摸清非公企业经营状况，“一企一策”上门服务，推动有条件的非公企业开户建缴。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2.优化灵活就业人员缴存使用政策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参照灵活就业人员试点城市做法，优化完善灵活就业人员缴存使用制度，促进更多新市民、青年人享受优惠政策。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3.持续规范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住房公积金缴存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修订住房公积金归集业务实施细则，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进一步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加强住房公积金缴存管理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，更好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维护职工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合法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4.加强住房领域促消费宣传。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开展住房公积金政策“五进”（进大集、进商超、进景区、进社区、进银行）集中宣传活动，提升政策宣传广度和深度。开展住房公积金政策“宣传月”系列活动，召开年度报告解读及促消费政策有关情况新闻发布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在发挥</w:t>
      </w: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政策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支撑作用上持续用力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加强形势研判和制度研究，丰富支持房地产市场止跌回稳政策“工具箱”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打好政策“组合拳”。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优化住房消费支持政策。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发挥住房公积金制度逆周期调节作用，深入实施差别化信贷政策，以满足职工购房贷款需求为原则，支持“好房子”建设，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优化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“商转公”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办理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，放大住房公积金政策效能。完成存量贷款利率调整工作，减轻职工还贷负担。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助力“白名单”项目扩围增效。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落实国家、省、市“保交房”各项工作部署，在满足房地产项目合理融资需求上发挥住房公积金“指挥棒”作用，促进“白名单”项目扩围增效。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加强缴存人租房保障。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强化重点群体保障，推动多子女家庭按实际房租提取、新市民青年人按月缴存额全额提取等政策落地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见效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，更好支持缴存人租房安居。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4.支持缴存人提升个人消费能力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。强化政企合作，科学运用住房公积金数据信息，联合银行推出个人消费贷、信用贷等公积金专属金融信贷产品。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在提升政务服务效能上持续用力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坚持以人民为中心发展理念，持续培育内涵丰富、特色鲜明、健康向上的行业文化，推动线上线下服务水平提升，切实提高人民群众获得感。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1.提升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线上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业务办理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便捷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度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完成</w:t>
      </w:r>
      <w:r>
        <w:rPr>
          <w:rFonts w:hint="eastAsia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省级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第三批18个政务服务事项标准化系统改造和接入，实现全部住房公积金政务服务事项“全上网、进中台、统一办”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2.落实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线下服务标准。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落实住建部《住房公积金服务标准》，完善服务标准化场所，进一步规范业务流程、人员管理、服务形象。持续优化跨省通办、亮码可办工作流程，为缴存职工提供更加优质服务。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3.提高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诉求解决规范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化水平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进一步规范信访工作流程和答复内容，提升各渠道群众诉求办理工作质效。倡树“执法就是服务”理念，注重运用行政调解化解纠纷。常态化开展12329热线通话质量质检，确保热线高效运行。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推进贷款购房“一件事”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按照住建部深化“高效办成一件事”的实施意见要求，依托现有“一件事”工作基础，结合新系统开发，推动贷款“一件事”落地实施，实现贷款审批、抵押登记等事项一站式集成办理。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5.完成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电力行业住房公积金属地化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调整接收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。落实省住房城乡建设厅、省财政厅要求，对接济南住房公积金中心及国网山东电力，于5月底前完成电力行业住房公积金属地化调整工作。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6" w:lineRule="exact"/>
        <w:ind w:left="0" w:leftChars="0" w:firstLine="643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6.提升系统和数据支撑能力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。按照住房城乡建设部《关于加快住房公积金数字化发展的指导意见》（建金〔2022〕82号）及管委会有关要求，借鉴上级部门和外地中心经验做法，开展新一代住房公积金业务系统建设工作。对接全国住房公积金公共服务平台“灵活就业人员”业务模块，打通异地线上办理使用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在坚决守牢一排底线上持续用力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以高度负责的态度，切实增强责任意识和安全意识，落实落细风险防控各项工作，牢牢守住资金安全底线。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持续推进体检评估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课题试点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按照课题项目计划，稳步推进体检评估指标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u w:val="none"/>
          <w:lang w:val="en-US" w:eastAsia="zh-CN"/>
        </w:rPr>
        <w:t>试用、指导服务、成果分析各项工作，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突出结果运用，为全面提升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住房公积金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体检评估工作科学性实用性贡献济宁力量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进一步加强贷款管理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。坚持问题导向，积极回应职工诉求，完善“商转公”操作流程，扩大银行合作范围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结合工作实际，修订贷款管理实施细则，提升贷款业务规范化操作水平。调整完善借款合同条款，有效防范法律风险。根据房地产调控总体要求，优化开发企业、楼盘备案制度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健全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逾期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管理体系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制定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逾期贷款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催收操作规程，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推行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差异化贷后管理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措施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。创新服务方式，加强灵活就业人员贷后管理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。梳理中心逾期处置手段，学习外地市做法，健全逾期管理“工具箱”，进一步完善呆账核销制度。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4.定期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开展业务风险稽查。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依托全国住房公积金监管服务平台，及时发现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并定期排除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风险隐患和薄弱环节。常态化开展业务稽查、检测，压实责任，全力推进整改。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强化资金运行监管。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加强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受托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银行风险管理，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健全完善资金运作机制，提升精细化管理水平，保障住房公积金保值增值。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6.</w:t>
      </w:r>
      <w:r>
        <w:rPr>
          <w:rFonts w:hint="eastAsia" w:ascii="Times New Roman" w:hAnsi="Times New Roman" w:eastAsia="方正楷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开展“行政执法标准建设年”行动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。总结中心行政执法典型案例，学习外地市做法，梳理涉法涉诉文件目录，制定执法格式文本。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在建设高素质干部队伍上持续用力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坚持把从严管理监督和激励担当作为统一起来，树立正确的选人用人导向，打造优秀干部队伍。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加强作风激励。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树立正确选人用人导向，加强对党忠诚教育，关注平时表现，树立先进典型，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持续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增强干部队伍活力。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提升干部素质。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按照“缺什么补什么、需要什么培训什么”的原则，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专家授课、业务培训等方式，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不断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提升干部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素质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能力。深入开展与新疆昌吉州住房公积金管理中心“结对子”活动，通过互派跟学、驻点深学，实现业务共进、工作互促。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强化日常监督。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强化干部教育管理监督，重点了解干部思想、工作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情况，对苗头性、倾向性问题早发现、早提醒。做好新时代党的统一战线工作。实行出国（境）证件集中管理制度，杜绝违规经商办企业等情况发生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4.开展调查研究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。发扬创新精神，大兴调查研究之风，深入实际督导调研，摸清真实情况，找准问题症结，研究思路对策，提高决策水平。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80" w:lineRule="exact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31115</wp:posOffset>
                </wp:positionV>
                <wp:extent cx="557974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pt;margin-top:2.45pt;height:0.05pt;width:439.35pt;z-index:251661312;mso-width-relative:page;mso-height-relative:page;" filled="f" stroked="t" coordsize="21600,21600" o:gfxdata="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Y0fpLWAAAABQEAAA8AAAAAAAAAAQAgAAAAOAAAAGRycy9kb3ducmV2LnhtbFBLAQIU&#10;ABQAAAAIAIdO4kA83Fm43wEAAJwDAAAOAAAAAAAAAAEAIAAAADs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422910</wp:posOffset>
                </wp:positionV>
                <wp:extent cx="5579745" cy="825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79745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33.3pt;height:0.65pt;width:439.35pt;z-index:251660288;mso-width-relative:page;mso-height-relative:page;" filled="f" stroked="t" coordsize="21600,21600" o:gfxdata="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65NIn1AAAAAcBAAAPAAAAAAAAAAEAIAAAADgAAABkcnMvZG93bnJldi54&#10;bWxQSwECFAAUAAAACACHTuJAoGjzDOgBAACqAwAADgAAAAAAAAABACAAAAA5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济宁市住房公积金管理中心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综合科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20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871" w:right="1531" w:bottom="187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A606C"/>
    <w:multiLevelType w:val="singleLevel"/>
    <w:tmpl w:val="4FBA606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61A8"/>
    <w:rsid w:val="008E75E9"/>
    <w:rsid w:val="022801F7"/>
    <w:rsid w:val="04C2531F"/>
    <w:rsid w:val="05244BFD"/>
    <w:rsid w:val="05447D91"/>
    <w:rsid w:val="05CE3D19"/>
    <w:rsid w:val="05DE4D6C"/>
    <w:rsid w:val="0680784A"/>
    <w:rsid w:val="06A63008"/>
    <w:rsid w:val="08283516"/>
    <w:rsid w:val="08F77EE1"/>
    <w:rsid w:val="094F0B56"/>
    <w:rsid w:val="0ADA631B"/>
    <w:rsid w:val="0DCD7CD3"/>
    <w:rsid w:val="0F123FD3"/>
    <w:rsid w:val="0F571BF0"/>
    <w:rsid w:val="0F960D63"/>
    <w:rsid w:val="10093870"/>
    <w:rsid w:val="10420333"/>
    <w:rsid w:val="11334D3F"/>
    <w:rsid w:val="11551E3D"/>
    <w:rsid w:val="15FA17C7"/>
    <w:rsid w:val="16F30DFC"/>
    <w:rsid w:val="170B3DBA"/>
    <w:rsid w:val="17B67791"/>
    <w:rsid w:val="194D30C5"/>
    <w:rsid w:val="1A0746AF"/>
    <w:rsid w:val="1AB308B4"/>
    <w:rsid w:val="1BB455A6"/>
    <w:rsid w:val="1C0555CA"/>
    <w:rsid w:val="1C362480"/>
    <w:rsid w:val="1D7B166A"/>
    <w:rsid w:val="1DA73D67"/>
    <w:rsid w:val="1DBF239C"/>
    <w:rsid w:val="1E4726A6"/>
    <w:rsid w:val="1E504C92"/>
    <w:rsid w:val="1E8A584A"/>
    <w:rsid w:val="1F206F8C"/>
    <w:rsid w:val="1FE74AC2"/>
    <w:rsid w:val="212226FC"/>
    <w:rsid w:val="22056D2B"/>
    <w:rsid w:val="23931E1C"/>
    <w:rsid w:val="257F27A2"/>
    <w:rsid w:val="257F6C45"/>
    <w:rsid w:val="268134AE"/>
    <w:rsid w:val="269C696A"/>
    <w:rsid w:val="27C264BF"/>
    <w:rsid w:val="27E528EE"/>
    <w:rsid w:val="27E97800"/>
    <w:rsid w:val="2B9406E5"/>
    <w:rsid w:val="2CCA11F0"/>
    <w:rsid w:val="2DE657F8"/>
    <w:rsid w:val="2E4722CA"/>
    <w:rsid w:val="2EEF13B7"/>
    <w:rsid w:val="307D5CB3"/>
    <w:rsid w:val="32CE1293"/>
    <w:rsid w:val="338F38F5"/>
    <w:rsid w:val="33F20C86"/>
    <w:rsid w:val="340C240B"/>
    <w:rsid w:val="346F344C"/>
    <w:rsid w:val="35B012BD"/>
    <w:rsid w:val="370C5E5F"/>
    <w:rsid w:val="37244536"/>
    <w:rsid w:val="398B750F"/>
    <w:rsid w:val="3A626EDE"/>
    <w:rsid w:val="3A924CB9"/>
    <w:rsid w:val="3AEA18C1"/>
    <w:rsid w:val="3BD038FF"/>
    <w:rsid w:val="3BFF18CD"/>
    <w:rsid w:val="3EF913BF"/>
    <w:rsid w:val="3EFBB274"/>
    <w:rsid w:val="3FF82B23"/>
    <w:rsid w:val="403E6F65"/>
    <w:rsid w:val="41A450F3"/>
    <w:rsid w:val="423D2543"/>
    <w:rsid w:val="42F97BDF"/>
    <w:rsid w:val="443656D3"/>
    <w:rsid w:val="451755E3"/>
    <w:rsid w:val="451F52E6"/>
    <w:rsid w:val="46C93D6D"/>
    <w:rsid w:val="48256F32"/>
    <w:rsid w:val="48AD7615"/>
    <w:rsid w:val="491744FF"/>
    <w:rsid w:val="49406D5F"/>
    <w:rsid w:val="4B6D116B"/>
    <w:rsid w:val="4BC6472C"/>
    <w:rsid w:val="4D23793D"/>
    <w:rsid w:val="4D840C7E"/>
    <w:rsid w:val="4D91770D"/>
    <w:rsid w:val="501E2BBB"/>
    <w:rsid w:val="50280666"/>
    <w:rsid w:val="505D273E"/>
    <w:rsid w:val="51B0447B"/>
    <w:rsid w:val="523017F8"/>
    <w:rsid w:val="5458720B"/>
    <w:rsid w:val="554320E9"/>
    <w:rsid w:val="572D320F"/>
    <w:rsid w:val="57B95737"/>
    <w:rsid w:val="58B33CCF"/>
    <w:rsid w:val="5DBC521F"/>
    <w:rsid w:val="5DD954B7"/>
    <w:rsid w:val="66406591"/>
    <w:rsid w:val="666F3ACC"/>
    <w:rsid w:val="669C305C"/>
    <w:rsid w:val="67211D98"/>
    <w:rsid w:val="67AE7B43"/>
    <w:rsid w:val="67FF08E1"/>
    <w:rsid w:val="680B7C11"/>
    <w:rsid w:val="69501E7B"/>
    <w:rsid w:val="69E0319E"/>
    <w:rsid w:val="6BAC3191"/>
    <w:rsid w:val="6C3E084D"/>
    <w:rsid w:val="6D8F5658"/>
    <w:rsid w:val="6E0A7350"/>
    <w:rsid w:val="6F335515"/>
    <w:rsid w:val="6F481423"/>
    <w:rsid w:val="6FE261A8"/>
    <w:rsid w:val="71B44B4E"/>
    <w:rsid w:val="731A751C"/>
    <w:rsid w:val="75C25F6C"/>
    <w:rsid w:val="769F0CF9"/>
    <w:rsid w:val="794D4BB1"/>
    <w:rsid w:val="7B072192"/>
    <w:rsid w:val="7B6060A6"/>
    <w:rsid w:val="7DC508D5"/>
    <w:rsid w:val="7FC40652"/>
    <w:rsid w:val="BF5F5336"/>
    <w:rsid w:val="CFC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560" w:firstLineChars="200"/>
    </w:pPr>
    <w:rPr>
      <w:rFonts w:ascii="MS Sans Serif" w:hAnsi="MS Sans Serif" w:eastAsia="仿宋_GB2312" w:cs="Arial"/>
      <w:color w:val="000000"/>
      <w:sz w:val="28"/>
      <w:szCs w:val="28"/>
    </w:rPr>
  </w:style>
  <w:style w:type="paragraph" w:styleId="5">
    <w:name w:val="Body Text First Indent 2"/>
    <w:basedOn w:val="4"/>
    <w:next w:val="6"/>
    <w:qFormat/>
    <w:uiPriority w:val="99"/>
    <w:pPr>
      <w:ind w:firstLine="420" w:firstLineChars="200"/>
    </w:pPr>
  </w:style>
  <w:style w:type="paragraph" w:styleId="6">
    <w:name w:val="Body Text First Indent"/>
    <w:basedOn w:val="3"/>
    <w:next w:val="1"/>
    <w:qFormat/>
    <w:uiPriority w:val="99"/>
    <w:pPr>
      <w:widowControl/>
      <w:spacing w:line="606" w:lineRule="atLeast"/>
      <w:ind w:firstLine="420" w:firstLineChars="100"/>
      <w:textAlignment w:val="baseline"/>
    </w:pPr>
    <w:rPr>
      <w:rFonts w:ascii="Times New Roman" w:hAnsi="Times New Roman" w:eastAsia="仿宋_GB2312"/>
      <w:b/>
      <w:color w:val="000000"/>
      <w:kern w:val="0"/>
      <w:sz w:val="31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3195</Words>
  <Characters>3264</Characters>
  <Lines>0</Lines>
  <Paragraphs>0</Paragraphs>
  <TotalTime>5</TotalTime>
  <ScaleCrop>false</ScaleCrop>
  <LinksUpToDate>false</LinksUpToDate>
  <CharactersWithSpaces>3302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2022-01-09T15:18:00Z</dcterms:created>
  <dc:creator>dlraba</dc:creator>
  <cp:lastModifiedBy>thtf</cp:lastModifiedBy>
  <cp:lastPrinted>2025-04-17T16:45:00Z</cp:lastPrinted>
  <dcterms:modified xsi:type="dcterms:W3CDTF">2025-04-21T14:08:38Z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FCE5F299D6F34CC5A48888B8DE74C8CE</vt:lpwstr>
  </property>
  <property fmtid="{D5CDD505-2E9C-101B-9397-08002B2CF9AE}" pid="4" name="KSOSaveFontToCloudKey">
    <vt:lpwstr>1171029550_btnclosed</vt:lpwstr>
  </property>
</Properties>
</file>