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方正黑体简体" w:hAnsi="文星标宋" w:eastAsia="方正黑体简体" w:cs="文星标宋"/>
          <w:b/>
          <w:color w:val="auto"/>
          <w:sz w:val="32"/>
          <w:szCs w:val="32"/>
        </w:rPr>
      </w:pPr>
      <w:r>
        <w:rPr>
          <w:rFonts w:hint="eastAsia" w:ascii="方正黑体简体" w:hAnsi="文星标宋" w:eastAsia="方正黑体简体" w:cs="文星标宋"/>
          <w:b/>
          <w:color w:val="auto"/>
          <w:sz w:val="32"/>
          <w:szCs w:val="32"/>
        </w:rPr>
        <w:t>JNCR—2024—0010001</w:t>
      </w:r>
    </w:p>
    <w:p>
      <w:pPr>
        <w:spacing w:line="600" w:lineRule="exact"/>
        <w:jc w:val="center"/>
        <w:rPr>
          <w:rFonts w:ascii="方正仿宋简体" w:hAnsi="文星标宋" w:eastAsia="文星标宋" w:cs="文星标宋"/>
          <w:color w:val="FF0000"/>
          <w:sz w:val="28"/>
          <w:szCs w:val="28"/>
        </w:rPr>
      </w:pPr>
    </w:p>
    <w:tbl>
      <w:tblPr>
        <w:tblStyle w:val="6"/>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仿宋简体" w:hAnsi="文星标宋" w:eastAsia="方正小标宋简体" w:cs="方正小标宋简体"/>
                <w:b/>
                <w:color w:val="FF0000"/>
                <w:sz w:val="120"/>
                <w:szCs w:val="120"/>
              </w:rPr>
            </w:pPr>
            <w:bookmarkStart w:id="0" w:name="print1"/>
            <w:r>
              <w:rPr>
                <w:rFonts w:hint="eastAsia" w:ascii="方正仿宋简体" w:hAnsi="文星标宋" w:eastAsia="方正小标宋简体" w:cs="方正小标宋简体"/>
                <w:b/>
                <w:color w:val="FF0000"/>
                <w:w w:val="70"/>
                <w:sz w:val="120"/>
                <w:szCs w:val="120"/>
                <w:lang w:bidi="ar"/>
              </w:rPr>
              <w:t>济宁市人民政府文件</w:t>
            </w:r>
            <w:bookmarkEnd w:id="0"/>
          </w:p>
        </w:tc>
      </w:tr>
    </w:tbl>
    <w:p>
      <w:pPr>
        <w:spacing w:line="400" w:lineRule="exact"/>
        <w:jc w:val="center"/>
        <w:rPr>
          <w:rFonts w:ascii="方正仿宋简体"/>
        </w:rPr>
      </w:pPr>
    </w:p>
    <w:p>
      <w:pPr>
        <w:spacing w:line="400" w:lineRule="exact"/>
        <w:jc w:val="center"/>
        <w:rPr>
          <w:rFonts w:ascii="方正仿宋简体"/>
        </w:rPr>
      </w:pPr>
    </w:p>
    <w:p>
      <w:pPr>
        <w:jc w:val="center"/>
        <w:rPr>
          <w:rFonts w:ascii="方正仿宋简体" w:hAnsi="仿宋_GB2312" w:eastAsia="仿宋_GB2312" w:cs="仿宋_GB2312"/>
          <w:b/>
        </w:rPr>
      </w:pPr>
      <w:r>
        <w:rPr>
          <w:rFonts w:hint="eastAsia" w:ascii="方正仿宋简体" w:hAnsi="文星仿宋" w:eastAsia="方正仿宋简体" w:cs="方正仿宋简体"/>
          <w:b/>
          <w:sz w:val="32"/>
          <w:szCs w:val="32"/>
          <w:lang w:bidi="ar"/>
        </w:rPr>
        <w:t>济政发〔2024〕</w:t>
      </w:r>
      <w:r>
        <w:rPr>
          <w:rFonts w:ascii="方正仿宋简体" w:hAnsi="文星仿宋" w:eastAsia="方正仿宋简体" w:cs="方正仿宋简体"/>
          <w:b/>
          <w:sz w:val="32"/>
          <w:szCs w:val="32"/>
          <w:lang w:bidi="ar"/>
        </w:rPr>
        <w:t>5</w:t>
      </w:r>
      <w:r>
        <w:rPr>
          <w:rFonts w:hint="eastAsia" w:ascii="方正仿宋简体" w:hAnsi="文星仿宋" w:eastAsia="方正仿宋简体" w:cs="方正仿宋简体"/>
          <w:b/>
          <w:sz w:val="32"/>
          <w:szCs w:val="32"/>
          <w:lang w:bidi="ar"/>
        </w:rPr>
        <w:t>号</w:t>
      </w:r>
    </w:p>
    <w:p>
      <w:pPr>
        <w:spacing w:line="600" w:lineRule="exact"/>
        <w:jc w:val="center"/>
        <w:rPr>
          <w:rFonts w:ascii="方正仿宋简体" w:hAnsi="文星仿宋" w:eastAsia="方正小标宋简体" w:cs="方正小标宋简体"/>
          <w:b/>
          <w:color w:val="FF0000"/>
          <w:sz w:val="44"/>
          <w:szCs w:val="44"/>
        </w:rPr>
      </w:pPr>
      <w:r>
        <w:rPr>
          <w:rFonts w:ascii="方正仿宋简体"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3pt;margin-top:7.95pt;height:0pt;width:439.35pt;z-index:251659264;mso-width-relative:page;mso-height-relative:page;" filled="f" stroked="t" coordsize="21600,21600" o:gfxdata="UEsFBgAAAAAAAAAAAAAAAAAAAAAAAFBLAwQKAAAAAACHTuJAAAAAAAAAAAAAAAAABAAAAGRycy9Q SwMEFAAAAAgAh07iQKJlcBLVAAAABwEAAA8AAABkcnMvZG93bnJldi54bWxNj8FOwzAQRO9I/IO1 SNyoU1TaNMSpEBKc4NBSDtyceIkD8Tqy3ST8PYs4wHFmVjNvy93sejFiiJ0nBctFBgKp8aajVsHx 5eEqBxGTJqN7T6jgCyPsqvOzUhfGT7TH8ZBawSUUC63ApjQUUsbGotNx4Qckzt59cDqxDK00QU9c 7np5nWVr6XRHvGD1gPcWm8/DySlYPb3WwxTs23H/OG+2OE/j88edUpcXy+wWRMI5/R3DDz6jQ8VM tT+RiaJXsOZPEts3WxAc5/lqA6L+NWRVyv/81TdQSwMEFAAAAAgAh07iQMWFMfTRAQAAzgMAAA4A AABkcnMvZTJvRG9jLnhtbK1TTW/bMAy9D9h/EHRfnAbtVhhxemiaXYotwLYfwEh0LEBfENU4+fej 5DTduksO80GmJPKR75FaPhydFQdMZILv5M1sLgV6FbTx+07++rn5dC8FZfAabPDYyROSfFh9/LAc Y4uLMASrMQkG8dSOsZNDzrFtGlIDOqBZiOj5sg/JQeZt2jc6wcjozjaL+fxzM4akYwoKifh0PV3K M2K6BjD0vVG4DurFoc8TakILmSnRYCLJVa2271Hl731PmIXtJDPNdeUkbO/K2qyW0O4TxMGocwlw TQnvODkwnpNeoNaQQbwk8w+UMyoFCn2eqeCaiUhVhFnczN9p82OAiJULS03xIjr9P1j17bBNwuhO LqTw4Ljhz8ajuC3KjJFadnj023TeUdymQvPYJ1f+TEAcq5qni5p4zELx4d3d/Zw/KdTrXfMWGBPl rxicKEYnLees+sHhmTInY9dXl5LHejHysC6+VDzgseu53QztIpdOfl+DKVijN8baEkJpv3u0SRyA W7/Z1FIm4L/cSpY10DD51atpKAYE/eS1yKfIonh+C7LU4FBLYZGfTrEYENoMxl7jyZysZ2pF1knI Yu2CPlV96zm3uZI/j2SZoz/3NfrtGa5+A1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KJlcBLVAAAA BwEAAA8AAAAAAAAAAQAgAAAAOAAAAGRycy9kb3ducmV2LnhtbFBLAQIUABQAAAAIAIdO4kDFhTH0 0QEAAM4DAAAOAAAAAAAAAAEAIAAAADoBAABkcnMvZTJvRG9jLnhtbFBLBQYAAAAABgAGAFkBAAB9 BQAAAAA= ">
                <v:fill on="f" focussize="0,0"/>
                <v:stroke weight="1pt" color="#FF0000" joinstyle="round"/>
                <v:imagedata o:title=""/>
                <o:lock v:ext="edit" aspectratio="f"/>
              </v:line>
            </w:pict>
          </mc:Fallback>
        </mc:AlternateContent>
      </w:r>
    </w:p>
    <w:p>
      <w:pPr>
        <w:spacing w:line="600" w:lineRule="exact"/>
        <w:jc w:val="center"/>
        <w:rPr>
          <w:rFonts w:ascii="方正仿宋简体" w:hAnsi="文星仿宋" w:eastAsia="方正小标宋简体" w:cs="方正小标宋简体"/>
          <w:b/>
          <w:color w:val="000000"/>
          <w:sz w:val="44"/>
          <w:szCs w:val="44"/>
        </w:rPr>
      </w:pPr>
    </w:p>
    <w:p>
      <w:pPr>
        <w:tabs>
          <w:tab w:val="left" w:pos="8730"/>
        </w:tabs>
        <w:spacing w:line="500" w:lineRule="exact"/>
        <w:ind w:right="-6"/>
        <w:jc w:val="center"/>
        <w:rPr>
          <w:rFonts w:ascii="方正仿宋简体" w:hAnsi="方正小标宋简体" w:eastAsia="方正小标宋简体" w:cs="方正小标宋简体"/>
          <w:b/>
          <w:color w:val="000000"/>
          <w:spacing w:val="40"/>
          <w:sz w:val="44"/>
          <w:szCs w:val="44"/>
        </w:rPr>
      </w:pPr>
      <w:bookmarkStart w:id="1" w:name="标题"/>
      <w:bookmarkEnd w:id="1"/>
      <w:r>
        <w:rPr>
          <w:rFonts w:hint="eastAsia" w:ascii="方正仿宋简体" w:hAnsi="方正小标宋简体" w:eastAsia="方正小标宋简体" w:cs="方正小标宋简体"/>
          <w:b/>
          <w:spacing w:val="40"/>
          <w:sz w:val="44"/>
          <w:szCs w:val="44"/>
          <w:lang w:bidi="ar"/>
        </w:rPr>
        <w:t>济宁市人民政</w:t>
      </w:r>
      <w:r>
        <w:rPr>
          <w:rFonts w:hint="eastAsia" w:ascii="方正仿宋简体" w:hAnsi="方正小标宋简体" w:eastAsia="方正小标宋简体" w:cs="方正小标宋简体"/>
          <w:b/>
          <w:sz w:val="44"/>
          <w:szCs w:val="44"/>
          <w:lang w:bidi="ar"/>
        </w:rPr>
        <w:t>府</w:t>
      </w:r>
    </w:p>
    <w:p>
      <w:pPr>
        <w:spacing w:line="500" w:lineRule="exact"/>
        <w:jc w:val="center"/>
        <w:rPr>
          <w:rFonts w:ascii="方正仿宋简体" w:hAnsi="文星仿宋" w:eastAsia="方正小标宋简体" w:cs="方正小标宋简体"/>
          <w:b/>
          <w:sz w:val="44"/>
          <w:szCs w:val="44"/>
          <w:lang w:bidi="ar"/>
        </w:rPr>
      </w:pPr>
      <w:bookmarkStart w:id="2" w:name="BKsubject"/>
      <w:r>
        <w:rPr>
          <w:rFonts w:hint="eastAsia" w:ascii="方正仿宋简体" w:hAnsi="文星仿宋" w:eastAsia="方正小标宋简体" w:cs="方正小标宋简体"/>
          <w:b/>
          <w:sz w:val="44"/>
          <w:szCs w:val="44"/>
          <w:lang w:bidi="ar"/>
        </w:rPr>
        <w:t>关于印发《济宁市压煤村庄搬迁补偿</w:t>
      </w:r>
    </w:p>
    <w:p>
      <w:pPr>
        <w:spacing w:line="500" w:lineRule="exact"/>
        <w:jc w:val="center"/>
        <w:rPr>
          <w:rFonts w:ascii="方正仿宋简体" w:hAnsi="文星仿宋" w:eastAsia="方正小标宋简体" w:cs="方正小标宋简体"/>
          <w:b/>
          <w:sz w:val="44"/>
          <w:szCs w:val="44"/>
        </w:rPr>
      </w:pPr>
      <w:r>
        <w:rPr>
          <w:rFonts w:hint="eastAsia" w:ascii="方正仿宋简体" w:hAnsi="文星仿宋" w:eastAsia="方正小标宋简体" w:cs="方正小标宋简体"/>
          <w:b/>
          <w:sz w:val="44"/>
          <w:szCs w:val="44"/>
          <w:lang w:bidi="ar"/>
        </w:rPr>
        <w:t>安置办法</w:t>
      </w:r>
      <w:bookmarkEnd w:id="2"/>
      <w:r>
        <w:rPr>
          <w:rFonts w:hint="eastAsia" w:ascii="方正仿宋简体" w:hAnsi="文星仿宋" w:eastAsia="方正小标宋简体" w:cs="方正小标宋简体"/>
          <w:b/>
          <w:sz w:val="44"/>
          <w:szCs w:val="44"/>
          <w:lang w:bidi="ar"/>
        </w:rPr>
        <w:t>》的通知</w:t>
      </w:r>
    </w:p>
    <w:p>
      <w:pPr>
        <w:spacing w:line="500" w:lineRule="exact"/>
        <w:rPr>
          <w:rFonts w:ascii="方正仿宋简体" w:hAnsi="文星仿宋" w:eastAsia="方正仿宋简体" w:cs="方正仿宋简体"/>
          <w:b/>
          <w:color w:val="000000"/>
        </w:rPr>
      </w:pPr>
    </w:p>
    <w:p>
      <w:pPr>
        <w:spacing w:line="500" w:lineRule="exact"/>
        <w:rPr>
          <w:rFonts w:ascii="方正仿宋简体" w:hAnsi="方正仿宋简体" w:eastAsia="方正仿宋简体" w:cs="方正仿宋简体"/>
          <w:b/>
        </w:rPr>
      </w:pPr>
      <w:r>
        <w:rPr>
          <w:rFonts w:hint="eastAsia" w:ascii="方正仿宋简体" w:hAnsi="方正仿宋简体" w:eastAsia="方正仿宋简体" w:cs="方正仿宋简体"/>
          <w:b/>
          <w:sz w:val="32"/>
          <w:szCs w:val="32"/>
          <w:lang w:bidi="ar"/>
        </w:rPr>
        <w:t>各县（市、区）人民政府，济宁高新区、太白湖新区、济宁经济技术开发区管委会，市政府各部门，各大企业，各高等院校：</w:t>
      </w:r>
    </w:p>
    <w:p>
      <w:pPr>
        <w:spacing w:line="500" w:lineRule="exact"/>
        <w:ind w:firstLine="642"/>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2"/>
          <w:sz w:val="32"/>
          <w:szCs w:val="32"/>
          <w:lang w:bidi="ar"/>
        </w:rPr>
        <w:t>现将《</w:t>
      </w:r>
      <w:r>
        <w:rPr>
          <w:rFonts w:hint="eastAsia" w:ascii="方正仿宋简体" w:hAnsi="文星仿宋" w:eastAsia="方正仿宋简体" w:cs="方正仿宋简体"/>
          <w:b/>
          <w:sz w:val="32"/>
          <w:szCs w:val="32"/>
          <w:lang w:bidi="ar"/>
        </w:rPr>
        <w:t>济宁市压煤村庄搬迁补偿安置办法</w:t>
      </w:r>
      <w:r>
        <w:rPr>
          <w:rFonts w:hint="eastAsia" w:ascii="方正仿宋简体" w:hAnsi="方正仿宋简体" w:eastAsia="方正仿宋简体" w:cs="方正仿宋简体"/>
          <w:b/>
          <w:spacing w:val="-2"/>
          <w:sz w:val="32"/>
          <w:szCs w:val="32"/>
          <w:lang w:bidi="ar"/>
        </w:rPr>
        <w:t>》印发给你们，请认真贯彻执行。</w:t>
      </w:r>
    </w:p>
    <w:p>
      <w:pPr>
        <w:spacing w:line="520" w:lineRule="exact"/>
        <w:ind w:firstLine="641"/>
        <w:rPr>
          <w:rFonts w:ascii="方正仿宋简体" w:hAnsi="方正仿宋简体" w:eastAsia="方正仿宋简体" w:cs="方正仿宋简体"/>
          <w:b/>
          <w:spacing w:val="6"/>
          <w:sz w:val="32"/>
          <w:szCs w:val="32"/>
        </w:rPr>
      </w:pPr>
    </w:p>
    <w:p>
      <w:pPr>
        <w:spacing w:line="520" w:lineRule="exact"/>
        <w:ind w:firstLine="641"/>
        <w:rPr>
          <w:rFonts w:ascii="方正仿宋简体" w:hAnsi="方正仿宋简体" w:eastAsia="方正仿宋简体" w:cs="方正仿宋简体"/>
          <w:b/>
          <w:spacing w:val="6"/>
          <w:sz w:val="32"/>
          <w:szCs w:val="32"/>
        </w:rPr>
      </w:pPr>
    </w:p>
    <w:p>
      <w:pPr>
        <w:spacing w:line="520" w:lineRule="exact"/>
        <w:ind w:firstLine="641"/>
        <w:rPr>
          <w:rFonts w:ascii="方正仿宋简体" w:hAnsi="方正仿宋简体" w:eastAsia="方正仿宋简体" w:cs="方正仿宋简体"/>
          <w:b/>
          <w:spacing w:val="6"/>
          <w:sz w:val="32"/>
          <w:szCs w:val="32"/>
        </w:rPr>
      </w:pP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 xml:space="preserve">济宁市人民政府         </w:t>
      </w:r>
    </w:p>
    <w:p>
      <w:pPr>
        <w:wordWrap w:val="0"/>
        <w:spacing w:line="600" w:lineRule="exact"/>
        <w:jc w:val="right"/>
        <w:rPr>
          <w:rFonts w:ascii="方正仿宋简体" w:hAnsi="方正仿宋简体" w:eastAsia="方正仿宋简体" w:cs="方正仿宋简体"/>
          <w:b/>
          <w:spacing w:val="6"/>
        </w:rPr>
      </w:pPr>
      <w:r>
        <w:rPr>
          <w:rFonts w:hint="eastAsia" w:ascii="方正仿宋简体" w:hAnsi="方正仿宋简体" w:eastAsia="方正仿宋简体" w:cs="方正仿宋简体"/>
          <w:b/>
          <w:spacing w:val="6"/>
          <w:sz w:val="32"/>
          <w:szCs w:val="32"/>
          <w:lang w:bidi="ar"/>
        </w:rPr>
        <w:t>2024年1月</w:t>
      </w:r>
      <w:r>
        <w:rPr>
          <w:rFonts w:ascii="方正仿宋简体" w:hAnsi="方正仿宋简体" w:eastAsia="方正仿宋简体" w:cs="方正仿宋简体"/>
          <w:b/>
          <w:spacing w:val="6"/>
          <w:sz w:val="32"/>
          <w:szCs w:val="32"/>
          <w:lang w:bidi="ar"/>
        </w:rPr>
        <w:t>19</w:t>
      </w:r>
      <w:r>
        <w:rPr>
          <w:rFonts w:hint="eastAsia" w:ascii="方正仿宋简体" w:hAnsi="方正仿宋简体" w:eastAsia="方正仿宋简体" w:cs="方正仿宋简体"/>
          <w:b/>
          <w:spacing w:val="6"/>
          <w:sz w:val="32"/>
          <w:szCs w:val="32"/>
          <w:lang w:bidi="ar"/>
        </w:rPr>
        <w:t xml:space="preserve">日        </w:t>
      </w:r>
    </w:p>
    <w:p>
      <w:pPr>
        <w:spacing w:line="500" w:lineRule="exact"/>
        <w:rPr>
          <w:rFonts w:ascii="方正仿宋简体"/>
        </w:rPr>
      </w:pPr>
      <w:r>
        <w:rPr>
          <w:rFonts w:hint="eastAsia" w:ascii="方正仿宋简体" w:hAnsi="文星仿宋" w:eastAsia="方正仿宋简体" w:cs="方正仿宋简体"/>
          <w:b/>
          <w:color w:val="000000"/>
          <w:sz w:val="32"/>
          <w:szCs w:val="32"/>
          <w:lang w:bidi="ar"/>
        </w:rPr>
        <w:t xml:space="preserve">    （此件公开发布）</w:t>
      </w:r>
    </w:p>
    <w:p>
      <w:pPr>
        <w:spacing w:line="600" w:lineRule="exact"/>
        <w:rPr>
          <w:rFonts w:ascii="方正仿宋简体" w:hAnsi="方正小标宋简体" w:eastAsia="方正小标宋简体" w:cs="方正小标宋简体"/>
          <w:b/>
          <w:sz w:val="44"/>
          <w:szCs w:val="44"/>
        </w:rPr>
      </w:pPr>
    </w:p>
    <w:p>
      <w:pPr>
        <w:spacing w:line="600" w:lineRule="exact"/>
        <w:rPr>
          <w:rFonts w:ascii="方正仿宋简体" w:hAnsi="方正小标宋简体" w:eastAsia="方正小标宋简体" w:cs="方正小标宋简体"/>
          <w:b/>
          <w:sz w:val="44"/>
          <w:szCs w:val="44"/>
        </w:rPr>
      </w:pPr>
    </w:p>
    <w:p>
      <w:pPr>
        <w:spacing w:line="600" w:lineRule="exact"/>
        <w:jc w:val="center"/>
        <w:rPr>
          <w:rFonts w:ascii="方正仿宋简体" w:hAnsi="文星仿宋" w:eastAsia="方正仿宋简体" w:cs="方正仿宋简体"/>
          <w:b/>
          <w:color w:val="000000"/>
          <w:sz w:val="32"/>
          <w:szCs w:val="32"/>
        </w:rPr>
      </w:pPr>
      <w:r>
        <w:rPr>
          <w:rFonts w:hint="eastAsia" w:ascii="方正仿宋简体" w:hAnsi="方正小标宋简体" w:eastAsia="方正小标宋简体" w:cs="方正小标宋简体"/>
          <w:b/>
          <w:sz w:val="44"/>
          <w:szCs w:val="44"/>
        </w:rPr>
        <w:t>济宁市压煤村庄搬迁补偿安置办法</w:t>
      </w:r>
    </w:p>
    <w:p>
      <w:pPr>
        <w:spacing w:line="600" w:lineRule="exact"/>
        <w:ind w:firstLine="643" w:firstLineChars="200"/>
        <w:rPr>
          <w:rFonts w:ascii="方正仿宋简体" w:eastAsia="方正仿宋简体"/>
          <w:b/>
          <w:sz w:val="32"/>
          <w:szCs w:val="32"/>
        </w:rPr>
      </w:pPr>
    </w:p>
    <w:p>
      <w:pPr>
        <w:spacing w:line="600" w:lineRule="exact"/>
        <w:jc w:val="center"/>
        <w:rPr>
          <w:rFonts w:ascii="方正仿宋简体" w:hAnsi="黑体" w:eastAsia="方正小标宋简体" w:cs="黑体"/>
          <w:b/>
          <w:sz w:val="32"/>
          <w:szCs w:val="32"/>
        </w:rPr>
      </w:pPr>
      <w:r>
        <w:rPr>
          <w:rFonts w:hint="eastAsia" w:ascii="方正仿宋简体" w:hAnsi="黑体" w:eastAsia="方正小标宋简体" w:cs="黑体"/>
          <w:b/>
          <w:sz w:val="32"/>
          <w:szCs w:val="32"/>
        </w:rPr>
        <w:t>第一章  总    则</w:t>
      </w:r>
    </w:p>
    <w:p>
      <w:pPr>
        <w:topLinePunct/>
        <w:spacing w:line="600" w:lineRule="exact"/>
        <w:ind w:firstLine="643" w:firstLineChars="200"/>
        <w:rPr>
          <w:rFonts w:ascii="方正仿宋简体" w:hAnsi="仿宋" w:eastAsia="方正仿宋简体" w:cs="仿宋"/>
          <w:b/>
          <w:sz w:val="32"/>
          <w:szCs w:val="32"/>
        </w:rPr>
      </w:pPr>
    </w:p>
    <w:p>
      <w:pPr>
        <w:topLinePunct/>
        <w:spacing w:line="600" w:lineRule="exact"/>
        <w:ind w:firstLine="641" w:firstLineChars="200"/>
        <w:rPr>
          <w:rFonts w:ascii="方正仿宋简体" w:hAnsi="仿宋" w:eastAsia="方正仿宋简体" w:cs="仿宋"/>
          <w:b/>
          <w:kern w:val="2"/>
          <w:sz w:val="32"/>
          <w:szCs w:val="32"/>
        </w:rPr>
      </w:pPr>
      <w:r>
        <w:rPr>
          <w:rFonts w:hint="eastAsia" w:ascii="方正仿宋简体" w:hAnsi="方正黑体_GBK" w:eastAsia="方正黑体简体" w:cs="方正黑体_GBK"/>
          <w:b/>
          <w:sz w:val="32"/>
          <w:szCs w:val="32"/>
        </w:rPr>
        <w:t>第一条</w:t>
      </w:r>
      <w:r>
        <w:rPr>
          <w:rFonts w:hint="eastAsia" w:ascii="方正仿宋简体" w:hAnsi="仿宋" w:eastAsia="方正仿宋简体" w:cs="仿宋"/>
          <w:b/>
          <w:sz w:val="32"/>
          <w:szCs w:val="32"/>
        </w:rPr>
        <w:t xml:space="preserve">  </w:t>
      </w:r>
      <w:r>
        <w:rPr>
          <w:rFonts w:hint="eastAsia" w:ascii="方正仿宋简体" w:hAnsi="仿宋" w:eastAsia="方正仿宋简体" w:cs="仿宋"/>
          <w:b/>
          <w:kern w:val="2"/>
          <w:sz w:val="32"/>
          <w:szCs w:val="32"/>
        </w:rPr>
        <w:t>为了规范压煤村庄搬迁补偿安置工作，维护压煤村庄搬迁当事人的合法权益，根据《山东省压煤村庄搬迁管理办法》（省政府令第350号）等规定，结合本市实际，制定本办法。</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第二条</w:t>
      </w:r>
      <w:r>
        <w:rPr>
          <w:rFonts w:hint="eastAsia" w:ascii="方正仿宋简体" w:hAnsi="仿宋" w:eastAsia="方正仿宋简体" w:cs="仿宋"/>
          <w:b/>
          <w:sz w:val="32"/>
          <w:szCs w:val="32"/>
        </w:rPr>
        <w:t xml:space="preserve">  本市行政区域内，为了煤炭资源开发</w:t>
      </w:r>
      <w:r>
        <w:rPr>
          <w:rFonts w:hint="eastAsia" w:ascii="方正仿宋简体" w:hAnsi="仿宋" w:eastAsia="方正仿宋简体" w:cs="仿宋"/>
          <w:b/>
          <w:spacing w:val="-20"/>
          <w:sz w:val="32"/>
          <w:szCs w:val="32"/>
        </w:rPr>
        <w:t>需要，</w:t>
      </w:r>
      <w:r>
        <w:rPr>
          <w:rFonts w:hint="eastAsia" w:ascii="方正仿宋简体" w:hAnsi="仿宋" w:eastAsia="方正仿宋简体" w:cs="仿宋"/>
          <w:b/>
          <w:sz w:val="32"/>
          <w:szCs w:val="32"/>
        </w:rPr>
        <w:t>实施压煤村庄搬迁的补偿安置，适用本办法。</w:t>
      </w:r>
    </w:p>
    <w:p>
      <w:pPr>
        <w:pStyle w:val="5"/>
        <w:widowControl w:val="0"/>
        <w:kinsoku/>
        <w:autoSpaceDE/>
        <w:autoSpaceDN/>
        <w:adjustRightInd/>
        <w:snapToGrid/>
        <w:spacing w:before="0" w:beforeAutospacing="0" w:after="0" w:afterAutospacing="0" w:line="600" w:lineRule="exact"/>
        <w:ind w:firstLine="641" w:firstLineChars="200"/>
        <w:textAlignment w:val="auto"/>
        <w:rPr>
          <w:rFonts w:ascii="方正仿宋简体"/>
          <w:b/>
          <w:color w:val="auto"/>
          <w:sz w:val="32"/>
          <w:szCs w:val="32"/>
        </w:rPr>
      </w:pPr>
      <w:r>
        <w:rPr>
          <w:rFonts w:ascii="方正仿宋简体" w:hAnsi="方正黑体_GBK" w:eastAsia="方正黑体简体" w:cs="方正黑体_GBK"/>
          <w:b/>
          <w:color w:val="auto"/>
          <w:sz w:val="32"/>
          <w:szCs w:val="32"/>
        </w:rPr>
        <w:t>第三条　</w:t>
      </w:r>
      <w:r>
        <w:rPr>
          <w:rFonts w:ascii="方正仿宋简体" w:hAnsi="仿宋" w:eastAsia="方正仿宋简体" w:cs="仿宋"/>
          <w:b/>
          <w:color w:val="auto"/>
          <w:sz w:val="32"/>
          <w:szCs w:val="32"/>
        </w:rPr>
        <w:t>压煤村庄搬迁应当遵循以人为本、平等协商，政府主导、程序公开，因地制宜、节约资源的原则，坚持民生保障与资源开发并重，尊重搬迁村民意愿，保障村民民主权利和其他合法权益。</w:t>
      </w:r>
    </w:p>
    <w:p>
      <w:pPr>
        <w:pStyle w:val="5"/>
        <w:widowControl w:val="0"/>
        <w:kinsoku/>
        <w:autoSpaceDE/>
        <w:autoSpaceDN/>
        <w:adjustRightInd/>
        <w:snapToGrid/>
        <w:spacing w:before="0" w:beforeAutospacing="0" w:after="0" w:afterAutospacing="0" w:line="600" w:lineRule="exact"/>
        <w:ind w:firstLine="641" w:firstLineChars="200"/>
        <w:textAlignment w:val="auto"/>
        <w:rPr>
          <w:rFonts w:ascii="方正仿宋简体" w:hAnsi="仿宋" w:eastAsia="方正仿宋简体" w:cs="仿宋"/>
          <w:b/>
          <w:color w:val="auto"/>
          <w:sz w:val="32"/>
          <w:szCs w:val="32"/>
        </w:rPr>
      </w:pPr>
      <w:r>
        <w:rPr>
          <w:rFonts w:ascii="方正仿宋简体" w:hAnsi="方正黑体_GBK" w:eastAsia="方正黑体简体" w:cs="方正黑体_GBK"/>
          <w:b/>
          <w:color w:val="auto"/>
          <w:sz w:val="32"/>
          <w:szCs w:val="32"/>
        </w:rPr>
        <w:t>第四条　</w:t>
      </w:r>
      <w:r>
        <w:rPr>
          <w:rFonts w:hint="eastAsia" w:ascii="方正仿宋简体" w:hAnsi="仿宋" w:eastAsia="方正仿宋简体" w:cs="仿宋"/>
          <w:b/>
          <w:color w:val="auto"/>
          <w:sz w:val="32"/>
          <w:szCs w:val="32"/>
        </w:rPr>
        <w:t>市、县（市、区）人民政府</w:t>
      </w:r>
      <w:r>
        <w:rPr>
          <w:rFonts w:ascii="方正仿宋简体" w:hAnsi="仿宋" w:eastAsia="方正仿宋简体" w:cs="仿宋"/>
          <w:b/>
          <w:color w:val="auto"/>
          <w:sz w:val="32"/>
          <w:szCs w:val="32"/>
        </w:rPr>
        <w:t>应当将压煤村庄搬迁作为实施乡村振兴战略的重要内容，结合新型城镇化和美丽宜居乡村建设，统筹城乡产业布局、基础设施、公共服务、能源安全、生态保护等，切实做好压煤村庄搬迁工作。</w:t>
      </w:r>
    </w:p>
    <w:p>
      <w:pPr>
        <w:topLinePunct/>
        <w:spacing w:line="580" w:lineRule="exact"/>
        <w:ind w:firstLine="643" w:firstLineChars="200"/>
        <w:rPr>
          <w:rFonts w:ascii="方正仿宋简体" w:hAnsi="仿宋" w:eastAsia="方正仿宋简体" w:cs="仿宋"/>
          <w:b/>
          <w:sz w:val="32"/>
          <w:szCs w:val="32"/>
          <w:lang w:bidi="ar"/>
        </w:rPr>
      </w:pPr>
      <w:r>
        <w:rPr>
          <w:rFonts w:hint="eastAsia" w:ascii="方正仿宋简体" w:hAnsi="仿宋" w:eastAsia="方正仿宋简体" w:cs="仿宋"/>
          <w:b/>
          <w:snapToGrid w:val="0"/>
          <w:sz w:val="32"/>
          <w:szCs w:val="32"/>
          <w:lang w:bidi="ar"/>
        </w:rPr>
        <w:t>压煤村庄搬迁应当确保搬迁后的村民生产生活条件达到或者超过原有水平。</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第五条</w:t>
      </w:r>
      <w:r>
        <w:rPr>
          <w:rFonts w:hint="eastAsia" w:ascii="方正仿宋简体" w:hAnsi="仿宋" w:eastAsia="方正仿宋简体" w:cs="仿宋"/>
          <w:b/>
          <w:sz w:val="32"/>
          <w:szCs w:val="32"/>
        </w:rPr>
        <w:t xml:space="preserve">  县（市、区）人民政府负责本行政区域内压煤村庄搬迁补偿安置的统一组织领导。</w:t>
      </w:r>
    </w:p>
    <w:p>
      <w:pPr>
        <w:spacing w:line="600" w:lineRule="exact"/>
        <w:ind w:firstLine="622" w:firstLineChars="200"/>
        <w:rPr>
          <w:rFonts w:ascii="方正仿宋简体" w:hAnsi="仿宋" w:eastAsia="方正仿宋简体" w:cs="仿宋"/>
          <w:b/>
          <w:sz w:val="32"/>
          <w:szCs w:val="32"/>
        </w:rPr>
      </w:pPr>
      <w:r>
        <w:rPr>
          <w:rFonts w:hint="eastAsia" w:ascii="方正仿宋简体" w:hAnsi="仿宋" w:eastAsia="方正仿宋简体" w:cs="仿宋"/>
          <w:b/>
          <w:sz w:val="31"/>
          <w:szCs w:val="31"/>
          <w:lang w:bidi="ar"/>
        </w:rPr>
        <w:t>乡镇人民政府、街道办事处</w:t>
      </w:r>
      <w:r>
        <w:rPr>
          <w:rFonts w:hint="eastAsia" w:ascii="方正仿宋简体" w:hAnsi="仿宋" w:eastAsia="方正仿宋简体" w:cs="仿宋"/>
          <w:b/>
          <w:sz w:val="32"/>
          <w:szCs w:val="32"/>
        </w:rPr>
        <w:t>按照上级人民政府的统一安排，具体负责压煤村庄搬迁补偿安置的实施工作。</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lang w:bidi="ar"/>
        </w:rPr>
        <w:t>村民委员会、居民委员会</w:t>
      </w:r>
      <w:r>
        <w:rPr>
          <w:rFonts w:hint="eastAsia" w:ascii="方正仿宋简体" w:hAnsi="仿宋" w:eastAsia="方正仿宋简体" w:cs="仿宋"/>
          <w:b/>
          <w:sz w:val="32"/>
          <w:szCs w:val="32"/>
        </w:rPr>
        <w:t>协助</w:t>
      </w:r>
      <w:r>
        <w:rPr>
          <w:rFonts w:hint="eastAsia" w:ascii="方正仿宋简体" w:hAnsi="仿宋" w:eastAsia="方正仿宋简体" w:cs="仿宋"/>
          <w:b/>
          <w:sz w:val="32"/>
          <w:szCs w:val="32"/>
          <w:lang w:bidi="ar"/>
        </w:rPr>
        <w:t>乡镇人民政府、街道办事处</w:t>
      </w:r>
      <w:r>
        <w:rPr>
          <w:rFonts w:hint="eastAsia" w:ascii="方正仿宋简体" w:hAnsi="仿宋" w:eastAsia="方正仿宋简体" w:cs="仿宋"/>
          <w:b/>
          <w:sz w:val="32"/>
          <w:szCs w:val="32"/>
        </w:rPr>
        <w:t>做好压煤村庄搬迁补偿安置有关工作。</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第六条</w:t>
      </w:r>
      <w:r>
        <w:rPr>
          <w:rFonts w:hint="eastAsia" w:ascii="方正仿宋简体" w:hAnsi="仿宋" w:eastAsia="方正仿宋简体" w:cs="仿宋"/>
          <w:b/>
          <w:sz w:val="32"/>
          <w:szCs w:val="32"/>
        </w:rPr>
        <w:t xml:space="preserve">  市人民政府负责压煤村庄搬迁工作的部门负责本行政区域内压煤村庄搬迁补偿安置的监督指导。</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县（市、区）人民政府负责压煤村庄搬迁工作的部门负责本行政区域内压煤村庄搬迁补偿安置的组织协调工作。</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 xml:space="preserve">发展改革、教育、公安、民政、财政、自然资源和规划、生态环境、住房城乡建设、交通运输、城乡水务、农业农村、国资、行政审批和信访等有关部门，应当按照职责分工，配合做好压煤村庄搬迁补偿安置的相关工作。 </w:t>
      </w:r>
    </w:p>
    <w:p>
      <w:pPr>
        <w:spacing w:line="600" w:lineRule="exact"/>
        <w:ind w:firstLine="723" w:firstLineChars="200"/>
        <w:rPr>
          <w:rFonts w:ascii="方正仿宋简体" w:hAnsi="黑体" w:eastAsia="方正小标宋简体" w:cs="黑体"/>
          <w:b/>
          <w:sz w:val="36"/>
          <w:szCs w:val="36"/>
        </w:rPr>
      </w:pPr>
    </w:p>
    <w:p>
      <w:pPr>
        <w:spacing w:line="600" w:lineRule="exact"/>
        <w:jc w:val="center"/>
        <w:rPr>
          <w:rFonts w:ascii="方正仿宋简体" w:hAnsi="黑体" w:eastAsia="方正小标宋简体" w:cs="黑体"/>
          <w:b/>
          <w:sz w:val="32"/>
          <w:szCs w:val="32"/>
        </w:rPr>
      </w:pPr>
      <w:r>
        <w:rPr>
          <w:rFonts w:hint="eastAsia" w:ascii="方正仿宋简体" w:hAnsi="黑体" w:eastAsia="方正小标宋简体" w:cs="黑体"/>
          <w:b/>
          <w:sz w:val="32"/>
          <w:szCs w:val="32"/>
        </w:rPr>
        <w:t>第二章  搬迁决定</w:t>
      </w:r>
    </w:p>
    <w:p>
      <w:pPr>
        <w:spacing w:line="600" w:lineRule="exact"/>
        <w:ind w:firstLine="643" w:firstLineChars="200"/>
        <w:rPr>
          <w:rFonts w:ascii="方正仿宋简体" w:hAnsi="仿宋" w:eastAsia="方正仿宋简体" w:cs="仿宋"/>
          <w:b/>
          <w:sz w:val="32"/>
          <w:szCs w:val="32"/>
        </w:rPr>
      </w:pP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第七条</w:t>
      </w:r>
      <w:r>
        <w:rPr>
          <w:rFonts w:hint="eastAsia" w:ascii="方正仿宋简体" w:hAnsi="仿宋" w:eastAsia="方正仿宋简体" w:cs="仿宋"/>
          <w:b/>
          <w:sz w:val="32"/>
          <w:szCs w:val="32"/>
        </w:rPr>
        <w:t xml:space="preserve">  煤矿企业在制定煤矿生产接续计划时，应当对采矿权范围内村庄压覆的煤炭资源可靠性、开采安全性、技术可行性以及经济和社会效益进行分析评估，提前5年编制压煤村庄搬迁计划，并报当地县级人民政府负责压煤村庄搬迁工作的部门。</w:t>
      </w:r>
    </w:p>
    <w:p>
      <w:pPr>
        <w:topLinePunct/>
        <w:spacing w:line="58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第八条</w:t>
      </w:r>
      <w:r>
        <w:rPr>
          <w:rFonts w:hint="eastAsia" w:ascii="方正仿宋简体" w:hAnsi="仿宋" w:eastAsia="方正仿宋简体" w:cs="仿宋"/>
          <w:b/>
          <w:sz w:val="32"/>
          <w:szCs w:val="32"/>
        </w:rPr>
        <w:t xml:space="preserve">  县级人民政府在收到压煤村庄搬迁计划后30日内，应当组织有关部门和煤矿企业对本行政区域内煤炭资源压覆状况和压煤村庄基本情况进行调查，根据国土空间规划并结合煤矿企业的压煤村庄搬迁计划，组织编制本行政区域内的压煤村庄搬迁规划，统筹安排压煤村庄搬迁和新村建设。</w:t>
      </w:r>
    </w:p>
    <w:p>
      <w:pPr>
        <w:topLinePunct/>
        <w:spacing w:line="600" w:lineRule="exact"/>
        <w:ind w:firstLine="641" w:firstLineChars="200"/>
        <w:rPr>
          <w:rFonts w:ascii="方正仿宋简体" w:hAnsi="仿宋" w:eastAsia="方正仿宋简体" w:cs="仿宋"/>
          <w:b/>
          <w:sz w:val="32"/>
          <w:szCs w:val="32"/>
        </w:rPr>
      </w:pPr>
      <w:r>
        <w:rPr>
          <w:rFonts w:ascii="方正仿宋简体" w:hAnsi="方正黑体_GBK" w:eastAsia="方正黑体简体" w:cs="方正黑体_GBK"/>
          <w:b/>
          <w:snapToGrid w:val="0"/>
          <w:sz w:val="32"/>
          <w:szCs w:val="32"/>
        </w:rPr>
        <w:t>第九条　</w:t>
      </w:r>
      <w:r>
        <w:rPr>
          <w:rFonts w:ascii="方正仿宋简体" w:hAnsi="仿宋" w:eastAsia="方正仿宋简体" w:cs="仿宋"/>
          <w:b/>
          <w:snapToGrid w:val="0"/>
          <w:sz w:val="32"/>
          <w:szCs w:val="32"/>
        </w:rPr>
        <w:t>压煤村庄搬迁新村选址应当坚持节约集约用地、不占或者少占耕地和便利群众生产生活的原则，避免二次搬迁或者跨县级行政区域搬迁。压煤村庄搬迁新村选址和用地手续，由县级人民政府组织自然资源等有关部门负责办理。</w:t>
      </w:r>
    </w:p>
    <w:p>
      <w:pPr>
        <w:pStyle w:val="5"/>
        <w:widowControl w:val="0"/>
        <w:kinsoku/>
        <w:autoSpaceDE/>
        <w:autoSpaceDN/>
        <w:adjustRightInd/>
        <w:snapToGrid/>
        <w:spacing w:before="0" w:beforeAutospacing="0" w:after="0" w:afterAutospacing="0" w:line="600" w:lineRule="exact"/>
        <w:ind w:firstLine="643" w:firstLineChars="200"/>
        <w:jc w:val="both"/>
        <w:textAlignment w:val="auto"/>
        <w:rPr>
          <w:rFonts w:ascii="方正仿宋简体" w:hAnsi="仿宋" w:eastAsia="方正仿宋简体" w:cs="仿宋"/>
          <w:b/>
          <w:color w:val="auto"/>
          <w:sz w:val="32"/>
          <w:szCs w:val="32"/>
        </w:rPr>
      </w:pPr>
      <w:r>
        <w:rPr>
          <w:rFonts w:ascii="方正仿宋简体" w:hAnsi="仿宋" w:eastAsia="方正仿宋简体" w:cs="仿宋"/>
          <w:b/>
          <w:color w:val="auto"/>
          <w:sz w:val="32"/>
          <w:szCs w:val="32"/>
        </w:rPr>
        <w:t>压煤村庄搬迁新村选址不得压覆煤炭资源或者其他有开采价值的矿产资源；确实无法避免的，应当按照国家和省有关建设项目压覆重要矿产资源的规定执行。</w:t>
      </w:r>
    </w:p>
    <w:p>
      <w:pPr>
        <w:pStyle w:val="5"/>
        <w:widowControl w:val="0"/>
        <w:kinsoku/>
        <w:autoSpaceDE/>
        <w:autoSpaceDN/>
        <w:adjustRightInd/>
        <w:snapToGrid/>
        <w:spacing w:before="0" w:beforeAutospacing="0" w:after="0" w:afterAutospacing="0" w:line="600" w:lineRule="exact"/>
        <w:ind w:firstLine="643" w:firstLineChars="200"/>
        <w:textAlignment w:val="auto"/>
        <w:rPr>
          <w:rFonts w:ascii="方正仿宋简体" w:hAnsi="仿宋" w:eastAsia="方正仿宋简体" w:cs="仿宋"/>
          <w:b/>
          <w:color w:val="auto"/>
          <w:sz w:val="32"/>
          <w:szCs w:val="32"/>
        </w:rPr>
      </w:pPr>
      <w:r>
        <w:rPr>
          <w:rFonts w:ascii="方正仿宋简体" w:hAnsi="仿宋" w:eastAsia="方正仿宋简体" w:cs="仿宋"/>
          <w:b/>
          <w:color w:val="auto"/>
          <w:sz w:val="32"/>
          <w:szCs w:val="32"/>
        </w:rPr>
        <w:t>对具备复垦条件的旧村址建设用地，</w:t>
      </w:r>
      <w:r>
        <w:rPr>
          <w:rFonts w:hint="eastAsia" w:ascii="方正仿宋简体" w:hAnsi="仿宋" w:eastAsia="方正仿宋简体" w:cs="仿宋"/>
          <w:b/>
          <w:color w:val="auto"/>
          <w:sz w:val="32"/>
          <w:szCs w:val="32"/>
        </w:rPr>
        <w:t>可以</w:t>
      </w:r>
      <w:r>
        <w:rPr>
          <w:rFonts w:ascii="方正仿宋简体" w:hAnsi="仿宋" w:eastAsia="方正仿宋简体" w:cs="仿宋"/>
          <w:b/>
          <w:color w:val="auto"/>
          <w:sz w:val="32"/>
          <w:szCs w:val="32"/>
        </w:rPr>
        <w:t>按照城乡建设用地增减挂钩政策实施复垦；拆旧复垦腾出的建设用地指标，优先用于新村建设。</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第十条</w:t>
      </w:r>
      <w:r>
        <w:rPr>
          <w:rFonts w:hint="eastAsia" w:ascii="方正仿宋简体" w:hAnsi="仿宋" w:eastAsia="方正仿宋简体" w:cs="仿宋"/>
          <w:b/>
          <w:sz w:val="32"/>
          <w:szCs w:val="32"/>
        </w:rPr>
        <w:t xml:space="preserve">  煤矿企业根据煤矿生产接续计划，编制压煤村庄搬迁项目建议书，向当地县级人民政府负责压煤村庄搬迁工作的部门提出压煤村庄搬迁建议报告。</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第十一条</w:t>
      </w:r>
      <w:r>
        <w:rPr>
          <w:rFonts w:hint="eastAsia" w:ascii="方正仿宋简体" w:hAnsi="仿宋" w:eastAsia="方正仿宋简体" w:cs="仿宋"/>
          <w:b/>
          <w:sz w:val="32"/>
          <w:szCs w:val="32"/>
        </w:rPr>
        <w:t xml:space="preserve">  县级人民政府负责压煤村庄搬迁工作的部门在收到搬迁建议报告后，应当在10个工作日内组织专家对压煤村庄搬迁项目是否符合压煤村庄搬迁规划以及所压覆煤炭资源的可靠性、开采安全性、技术可行性、经济和社会效益等进行科学论证。</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第十二条</w:t>
      </w:r>
      <w:r>
        <w:rPr>
          <w:rFonts w:hint="eastAsia" w:ascii="方正仿宋简体" w:hAnsi="仿宋" w:eastAsia="方正仿宋简体" w:cs="仿宋"/>
          <w:b/>
          <w:sz w:val="32"/>
          <w:szCs w:val="32"/>
        </w:rPr>
        <w:t xml:space="preserve">  压煤村庄搬迁项目经专家论证通过后，</w:t>
      </w:r>
      <w:r>
        <w:rPr>
          <w:rFonts w:hint="eastAsia" w:ascii="方正仿宋简体" w:hAnsi="仿宋" w:eastAsia="方正仿宋简体" w:cs="仿宋"/>
          <w:b/>
          <w:sz w:val="31"/>
          <w:szCs w:val="31"/>
          <w:lang w:bidi="ar"/>
        </w:rPr>
        <w:t>乡镇人民</w:t>
      </w:r>
      <w:r>
        <w:rPr>
          <w:rFonts w:hint="eastAsia" w:ascii="方正仿宋简体" w:hAnsi="仿宋" w:eastAsia="方正仿宋简体" w:cs="仿宋"/>
          <w:b/>
          <w:sz w:val="32"/>
          <w:szCs w:val="32"/>
          <w:lang w:bidi="ar"/>
        </w:rPr>
        <w:t>政府或者街道办事处组织</w:t>
      </w:r>
      <w:r>
        <w:rPr>
          <w:rFonts w:hint="eastAsia" w:ascii="方正仿宋简体" w:hAnsi="仿宋" w:eastAsia="方正仿宋简体" w:cs="仿宋"/>
          <w:b/>
          <w:sz w:val="32"/>
          <w:szCs w:val="32"/>
        </w:rPr>
        <w:t>开展房屋以及其他地上附着物和人口等现状调查工作。县级人民政府负责压煤村庄搬迁工作的部门应当结合现状调查情况，组织拟搬迁村庄、煤矿企业、</w:t>
      </w:r>
      <w:r>
        <w:rPr>
          <w:rFonts w:hint="eastAsia" w:ascii="方正仿宋简体" w:hAnsi="仿宋" w:eastAsia="方正仿宋简体" w:cs="仿宋"/>
          <w:b/>
          <w:sz w:val="32"/>
          <w:szCs w:val="32"/>
          <w:lang w:bidi="ar"/>
        </w:rPr>
        <w:t>乡镇人民政府或者街道办事处</w:t>
      </w:r>
      <w:r>
        <w:rPr>
          <w:rFonts w:hint="eastAsia" w:ascii="方正仿宋简体" w:hAnsi="仿宋" w:eastAsia="方正仿宋简体" w:cs="仿宋"/>
          <w:b/>
          <w:sz w:val="32"/>
          <w:szCs w:val="32"/>
        </w:rPr>
        <w:t>，编制压煤村庄搬迁方案。</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编制压煤村庄搬迁方案应当依法履行民主决策程序，充分尊重村民意愿。</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压煤村庄搬迁方案应当包括拟搬迁村庄基本情况、新村选址方案、新村规划设计和建设方案、搬迁资金筹备和保障方案、补偿安置方案、征求村民意见方案等内容。</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第十三条</w:t>
      </w:r>
      <w:r>
        <w:rPr>
          <w:rFonts w:hint="eastAsia" w:ascii="方正仿宋简体" w:hAnsi="仿宋" w:eastAsia="方正仿宋简体" w:cs="仿宋"/>
          <w:b/>
          <w:sz w:val="32"/>
          <w:szCs w:val="32"/>
        </w:rPr>
        <w:t xml:space="preserve">  县级人民政府及其有关部门、拟搬迁村庄所在地</w:t>
      </w:r>
      <w:r>
        <w:rPr>
          <w:rFonts w:hint="eastAsia" w:ascii="方正仿宋简体" w:hAnsi="仿宋" w:eastAsia="方正仿宋简体" w:cs="仿宋"/>
          <w:b/>
          <w:sz w:val="32"/>
          <w:szCs w:val="32"/>
          <w:lang w:bidi="ar"/>
        </w:rPr>
        <w:t>乡镇人民政府或者街道办事处</w:t>
      </w:r>
      <w:r>
        <w:rPr>
          <w:rFonts w:hint="eastAsia" w:ascii="方正仿宋简体" w:hAnsi="仿宋" w:eastAsia="方正仿宋简体" w:cs="仿宋"/>
          <w:b/>
          <w:sz w:val="32"/>
          <w:szCs w:val="32"/>
        </w:rPr>
        <w:t>应当依法对拟搬迁村庄的建设活动加强监督管理。</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第十四条</w:t>
      </w:r>
      <w:r>
        <w:rPr>
          <w:rFonts w:hint="eastAsia" w:ascii="方正仿宋简体" w:hAnsi="仿宋" w:eastAsia="方正仿宋简体" w:cs="仿宋"/>
          <w:b/>
          <w:sz w:val="32"/>
          <w:szCs w:val="32"/>
        </w:rPr>
        <w:t xml:space="preserve">  压煤村庄搬迁方案应当在拟搬迁村庄进行公示，广泛征求村民意见。征求意见期限不得少于30日。</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半数以上村民对搬迁方案有异议的，县级人民政府应当组织村民代表、煤矿企业召开听证会，并根据听证</w:t>
      </w:r>
      <w:r>
        <w:rPr>
          <w:rFonts w:ascii="方正仿宋简体" w:hAnsi="仿宋" w:eastAsia="方正仿宋简体" w:cs="仿宋"/>
          <w:b/>
          <w:sz w:val="32"/>
          <w:szCs w:val="32"/>
        </w:rPr>
        <w:t>会</w:t>
      </w:r>
      <w:r>
        <w:rPr>
          <w:rFonts w:hint="eastAsia" w:ascii="方正仿宋简体" w:hAnsi="仿宋" w:eastAsia="方正仿宋简体" w:cs="仿宋"/>
          <w:b/>
          <w:sz w:val="32"/>
          <w:szCs w:val="32"/>
        </w:rPr>
        <w:t>情况修改搬迁方案。</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搬迁方案征求意见情况和根据村民意见修改的情况应当及时公布。</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第十五条</w:t>
      </w:r>
      <w:r>
        <w:rPr>
          <w:rFonts w:hint="eastAsia" w:ascii="方正仿宋简体" w:hAnsi="仿宋" w:eastAsia="方正仿宋简体" w:cs="仿宋"/>
          <w:b/>
          <w:sz w:val="32"/>
          <w:szCs w:val="32"/>
        </w:rPr>
        <w:t xml:space="preserve">  县级人民政府负责压煤村庄搬迁工作的部门应当依法对压煤村庄搬迁项目进行社会稳定风险评估。</w:t>
      </w:r>
    </w:p>
    <w:p>
      <w:pPr>
        <w:spacing w:line="58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第十六条</w:t>
      </w:r>
      <w:r>
        <w:rPr>
          <w:rFonts w:hint="eastAsia" w:ascii="方正仿宋简体" w:hAnsi="仿宋" w:eastAsia="方正仿宋简体" w:cs="仿宋"/>
          <w:b/>
          <w:sz w:val="32"/>
          <w:szCs w:val="32"/>
        </w:rPr>
        <w:t xml:space="preserve">  压煤村庄搬迁方案公示无异议或者经修改后无异议的，县级人民政府</w:t>
      </w:r>
      <w:r>
        <w:rPr>
          <w:rFonts w:hint="default" w:ascii="方正仿宋简体" w:hAnsi="仿宋" w:eastAsia="方正仿宋简体" w:cs="仿宋"/>
          <w:b/>
          <w:sz w:val="32"/>
          <w:szCs w:val="32"/>
        </w:rPr>
        <w:t>应当</w:t>
      </w:r>
      <w:r>
        <w:rPr>
          <w:rFonts w:hint="eastAsia" w:ascii="方正仿宋简体" w:hAnsi="仿宋" w:eastAsia="方正仿宋简体" w:cs="仿宋"/>
          <w:b/>
          <w:sz w:val="32"/>
          <w:szCs w:val="32"/>
        </w:rPr>
        <w:t>上报市人民政府批准。</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压煤村庄搬迁项目经市人民政府批准后，县级人民政府应当在拟搬迁村庄发布公告。</w:t>
      </w:r>
    </w:p>
    <w:p>
      <w:pPr>
        <w:pStyle w:val="85"/>
        <w:widowControl w:val="0"/>
        <w:spacing w:line="600" w:lineRule="exact"/>
        <w:ind w:left="400"/>
        <w:rPr>
          <w:rFonts w:ascii="方正仿宋简体"/>
          <w:b/>
          <w:color w:val="auto"/>
        </w:rPr>
      </w:pPr>
    </w:p>
    <w:p>
      <w:pPr>
        <w:spacing w:line="600" w:lineRule="exact"/>
        <w:jc w:val="center"/>
        <w:rPr>
          <w:rFonts w:ascii="方正仿宋简体" w:hAnsi="黑体" w:eastAsia="方正小标宋简体" w:cs="黑体"/>
          <w:b/>
          <w:sz w:val="32"/>
          <w:szCs w:val="32"/>
        </w:rPr>
      </w:pPr>
      <w:r>
        <w:rPr>
          <w:rFonts w:hint="eastAsia" w:ascii="方正仿宋简体" w:hAnsi="黑体" w:eastAsia="方正小标宋简体" w:cs="黑体"/>
          <w:b/>
          <w:sz w:val="32"/>
          <w:szCs w:val="32"/>
        </w:rPr>
        <w:t>第三章  补偿安置</w:t>
      </w:r>
    </w:p>
    <w:p>
      <w:pPr>
        <w:topLinePunct/>
        <w:spacing w:line="600" w:lineRule="exact"/>
        <w:ind w:firstLine="641" w:firstLineChars="200"/>
        <w:rPr>
          <w:rFonts w:ascii="方正仿宋简体" w:hAnsi="方正黑体_GBK" w:eastAsia="方正黑体简体" w:cs="方正黑体_GBK"/>
          <w:b/>
          <w:sz w:val="32"/>
          <w:szCs w:val="32"/>
        </w:rPr>
      </w:pP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 xml:space="preserve">第十七条  </w:t>
      </w:r>
      <w:r>
        <w:rPr>
          <w:rFonts w:hint="eastAsia" w:ascii="方正仿宋简体" w:hAnsi="仿宋" w:eastAsia="方正仿宋简体" w:cs="仿宋"/>
          <w:b/>
          <w:sz w:val="32"/>
          <w:szCs w:val="32"/>
        </w:rPr>
        <w:t>压煤村庄搬迁补偿安置应当遵循足额补偿、妥善安置、平等自愿、公开公正的原则，确保搬迁村民搬得起、住得下，原有生活水平不降低。</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第十八条</w:t>
      </w:r>
      <w:r>
        <w:rPr>
          <w:rFonts w:hint="eastAsia" w:ascii="方正仿宋简体" w:hAnsi="仿宋" w:eastAsia="方正仿宋简体" w:cs="仿宋"/>
          <w:b/>
          <w:sz w:val="32"/>
          <w:szCs w:val="32"/>
        </w:rPr>
        <w:t xml:space="preserve">  搬迁村民可以选择房屋产权调换，也可以选择货币补偿。</w:t>
      </w:r>
    </w:p>
    <w:p>
      <w:pPr>
        <w:topLinePunct/>
        <w:spacing w:line="600" w:lineRule="exact"/>
        <w:ind w:firstLine="641" w:firstLineChars="200"/>
        <w:rPr>
          <w:rFonts w:ascii="方正仿宋简体" w:hAnsi="仿宋" w:eastAsia="方正仿宋简体" w:cs="仿宋"/>
          <w:b/>
          <w:strike/>
          <w:sz w:val="32"/>
          <w:szCs w:val="32"/>
        </w:rPr>
      </w:pPr>
      <w:r>
        <w:rPr>
          <w:rFonts w:hint="eastAsia" w:ascii="方正仿宋简体" w:hAnsi="方正黑体_GBK" w:eastAsia="方正黑体简体" w:cs="方正黑体_GBK"/>
          <w:b/>
          <w:sz w:val="32"/>
          <w:szCs w:val="32"/>
        </w:rPr>
        <w:t>第十九条</w:t>
      </w:r>
      <w:r>
        <w:rPr>
          <w:rFonts w:hint="eastAsia" w:ascii="方正仿宋简体" w:hAnsi="仿宋" w:eastAsia="方正仿宋简体" w:cs="仿宋"/>
          <w:b/>
          <w:sz w:val="32"/>
          <w:szCs w:val="32"/>
        </w:rPr>
        <w:t xml:space="preserve">  房屋产权调换的标准和方式由各县（市、区）根据当地经济社会发展状况，统筹考虑搬迁村民生活水平、人均收入情况，结合搬迁房屋结构、宅基地面积、家庭人口等因素和原有压煤村庄搬迁安置标准，由具有相应资质的房地产价格评估机构合理评估旧房屋和产权调换房屋的价值，“一村一策”制定具体产权调换标准和方式，标准内置换新房的，原则上不再增加购房费用。</w:t>
      </w:r>
    </w:p>
    <w:p>
      <w:pPr>
        <w:topLinePunct/>
        <w:spacing w:line="58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第二十条</w:t>
      </w:r>
      <w:r>
        <w:rPr>
          <w:rFonts w:hint="eastAsia" w:ascii="方正仿宋简体" w:hAnsi="仿宋" w:eastAsia="方正仿宋简体" w:cs="仿宋"/>
          <w:b/>
          <w:sz w:val="32"/>
          <w:szCs w:val="32"/>
        </w:rPr>
        <w:t xml:space="preserve">  搬迁村民房屋价值的补偿参照济宁市同期执行的《征地地上附着物和青苗补偿标准》同类别房屋补偿标准，并结合当地建筑材</w:t>
      </w:r>
      <w:r>
        <w:rPr>
          <w:rFonts w:hint="eastAsia" w:ascii="方正仿宋简体" w:hAnsi="仿宋" w:eastAsia="方正仿宋简体" w:cs="仿宋"/>
          <w:b/>
          <w:spacing w:val="-11"/>
          <w:sz w:val="32"/>
          <w:szCs w:val="32"/>
        </w:rPr>
        <w:t>料价格、人工</w:t>
      </w:r>
      <w:r>
        <w:rPr>
          <w:rFonts w:hint="eastAsia" w:ascii="方正仿宋简体" w:hAnsi="仿宋" w:eastAsia="方正仿宋简体" w:cs="仿宋"/>
          <w:b/>
          <w:sz w:val="32"/>
          <w:szCs w:val="32"/>
        </w:rPr>
        <w:t>费</w:t>
      </w:r>
      <w:r>
        <w:rPr>
          <w:rFonts w:hint="eastAsia" w:ascii="方正仿宋简体" w:hAnsi="仿宋" w:eastAsia="方正仿宋简体" w:cs="仿宋"/>
          <w:b/>
          <w:spacing w:val="-11"/>
          <w:sz w:val="32"/>
          <w:szCs w:val="32"/>
        </w:rPr>
        <w:t>、机械费等建筑成本因素评估补</w:t>
      </w:r>
      <w:r>
        <w:rPr>
          <w:rFonts w:hint="eastAsia" w:ascii="方正仿宋简体" w:hAnsi="仿宋" w:eastAsia="方正仿宋简体" w:cs="仿宋"/>
          <w:b/>
          <w:sz w:val="32"/>
          <w:szCs w:val="32"/>
        </w:rPr>
        <w:t>偿。</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第二十一条</w:t>
      </w:r>
      <w:r>
        <w:rPr>
          <w:rFonts w:hint="eastAsia" w:ascii="方正仿宋简体" w:hAnsi="仿宋" w:eastAsia="方正仿宋简体" w:cs="仿宋"/>
          <w:b/>
          <w:sz w:val="32"/>
          <w:szCs w:val="32"/>
        </w:rPr>
        <w:t xml:space="preserve">  宅基地使用权的补偿参照山东省人民政府制定公布的征地区片综合地价标准，结合县（市、区）、</w:t>
      </w:r>
      <w:r>
        <w:rPr>
          <w:rFonts w:hint="eastAsia" w:ascii="方正仿宋简体" w:hAnsi="仿宋" w:eastAsia="方正仿宋简体" w:cs="仿宋"/>
          <w:b/>
          <w:sz w:val="31"/>
          <w:szCs w:val="31"/>
          <w:lang w:bidi="ar"/>
        </w:rPr>
        <w:t>乡镇（街道）</w:t>
      </w:r>
      <w:r>
        <w:rPr>
          <w:rFonts w:hint="eastAsia" w:ascii="方正仿宋简体" w:hAnsi="仿宋" w:eastAsia="方正仿宋简体" w:cs="仿宋"/>
          <w:b/>
          <w:sz w:val="32"/>
          <w:szCs w:val="32"/>
        </w:rPr>
        <w:t>和搬迁村实际情况进行补偿。</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第二十二条</w:t>
      </w:r>
      <w:r>
        <w:rPr>
          <w:rFonts w:hint="eastAsia" w:ascii="方正仿宋简体" w:hAnsi="仿宋" w:eastAsia="方正仿宋简体" w:cs="仿宋"/>
          <w:b/>
          <w:sz w:val="32"/>
          <w:szCs w:val="32"/>
        </w:rPr>
        <w:t xml:space="preserve">  搬迁村民按照搬迁补偿协议约定期限完成搬迁的，煤矿企业可以给予搬迁奖励、补助和搬家费，具体方案由县级人民政府负责压煤村庄搬迁工作的部门、</w:t>
      </w:r>
      <w:r>
        <w:rPr>
          <w:rFonts w:hint="eastAsia" w:ascii="方正仿宋简体" w:hAnsi="仿宋" w:eastAsia="方正仿宋简体" w:cs="仿宋"/>
          <w:b/>
          <w:sz w:val="31"/>
          <w:szCs w:val="31"/>
          <w:lang w:bidi="ar"/>
        </w:rPr>
        <w:t>乡镇人民政府或者街道办事处</w:t>
      </w:r>
      <w:r>
        <w:rPr>
          <w:rFonts w:hint="eastAsia" w:ascii="方正仿宋简体" w:hAnsi="仿宋" w:eastAsia="方正仿宋简体" w:cs="仿宋"/>
          <w:b/>
          <w:sz w:val="32"/>
          <w:szCs w:val="32"/>
        </w:rPr>
        <w:t>和煤矿企业共同确定。</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第二十三条</w:t>
      </w:r>
      <w:r>
        <w:rPr>
          <w:rFonts w:hint="eastAsia" w:ascii="方正仿宋简体" w:hAnsi="仿宋" w:eastAsia="方正仿宋简体" w:cs="仿宋"/>
          <w:b/>
          <w:sz w:val="32"/>
          <w:szCs w:val="32"/>
        </w:rPr>
        <w:t xml:space="preserve">  宅基地上的其他地上附着物补偿按照济宁市执行的《征地地上附着物和青苗补偿标准》同类标准评估补偿，标准中不涉及的由评估机构评估确定。</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搬迁村民选择货币补偿的，给予宅基地使用权的补偿；选择产权调换的，不再另行对宅基地使用权进行补偿。</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第二十四条</w:t>
      </w:r>
      <w:r>
        <w:rPr>
          <w:rFonts w:hint="eastAsia" w:ascii="方正仿宋简体" w:hAnsi="仿宋" w:eastAsia="方正仿宋简体" w:cs="仿宋"/>
          <w:b/>
          <w:sz w:val="32"/>
          <w:szCs w:val="32"/>
        </w:rPr>
        <w:t xml:space="preserve">  搬迁新村的水、电、暖、气、道路、绿化、管网、有线电视、通讯等基础设施的建设费，按搬迁房屋补偿费的30％计算，专项用于新村基础设施建设。</w:t>
      </w:r>
    </w:p>
    <w:p>
      <w:pPr>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第二十五条</w:t>
      </w:r>
      <w:r>
        <w:rPr>
          <w:rFonts w:hint="eastAsia" w:ascii="方正仿宋简体" w:hAnsi="仿宋" w:eastAsia="方正仿宋简体" w:cs="仿宋"/>
          <w:b/>
          <w:sz w:val="32"/>
          <w:szCs w:val="32"/>
        </w:rPr>
        <w:t xml:space="preserve">  搬迁工业、商业、畜牧业、仓储、办公等用途的房屋，依法办理了用地和规划建设审批手续的，由县级人民政府负责压煤村庄搬迁工作的部门组织</w:t>
      </w:r>
      <w:r>
        <w:rPr>
          <w:rFonts w:hint="eastAsia" w:ascii="方正仿宋简体" w:hAnsi="仿宋" w:eastAsia="方正仿宋简体" w:cs="仿宋"/>
          <w:b/>
          <w:sz w:val="31"/>
          <w:szCs w:val="31"/>
          <w:lang w:bidi="ar"/>
        </w:rPr>
        <w:t>乡镇人民政府或者街道办事处</w:t>
      </w:r>
      <w:r>
        <w:rPr>
          <w:rFonts w:hint="eastAsia" w:ascii="方正仿宋简体" w:hAnsi="仿宋" w:eastAsia="方正仿宋简体" w:cs="仿宋"/>
          <w:b/>
          <w:sz w:val="32"/>
          <w:szCs w:val="32"/>
        </w:rPr>
        <w:t>、煤矿企业与被搬迁人共同委托</w:t>
      </w:r>
      <w:r>
        <w:rPr>
          <w:rFonts w:ascii="方正仿宋简体" w:hAnsi="仿宋" w:eastAsia="方正仿宋简体" w:cs="仿宋"/>
          <w:b/>
          <w:sz w:val="32"/>
          <w:szCs w:val="32"/>
        </w:rPr>
        <w:t>具</w:t>
      </w:r>
      <w:r>
        <w:rPr>
          <w:rFonts w:hint="eastAsia" w:ascii="方正仿宋简体" w:hAnsi="仿宋" w:eastAsia="方正仿宋简体" w:cs="仿宋"/>
          <w:b/>
          <w:sz w:val="32"/>
          <w:szCs w:val="32"/>
        </w:rPr>
        <w:t>有相应资质的评估机构进行评估后，给予货币补偿。</w:t>
      </w:r>
    </w:p>
    <w:p>
      <w:pPr>
        <w:spacing w:line="58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搬迁工业、商业、畜牧业、仓储、办公等用途的合法房屋，造成被搬迁人停业、停产等损失的，由县级人民政府负责压煤村庄搬迁工作的部门组织</w:t>
      </w:r>
      <w:r>
        <w:rPr>
          <w:rFonts w:hint="eastAsia" w:ascii="方正仿宋简体" w:hAnsi="仿宋" w:eastAsia="方正仿宋简体" w:cs="仿宋"/>
          <w:b/>
          <w:sz w:val="31"/>
          <w:szCs w:val="31"/>
          <w:lang w:bidi="ar"/>
        </w:rPr>
        <w:t>乡镇人民政府或者街道办事处</w:t>
      </w:r>
      <w:r>
        <w:rPr>
          <w:rFonts w:hint="eastAsia" w:ascii="方正仿宋简体" w:hAnsi="仿宋" w:eastAsia="方正仿宋简体" w:cs="仿宋"/>
          <w:b/>
          <w:sz w:val="32"/>
          <w:szCs w:val="32"/>
        </w:rPr>
        <w:t>、煤矿企业与被搬迁人共同委托</w:t>
      </w:r>
      <w:r>
        <w:rPr>
          <w:rFonts w:ascii="方正仿宋简体" w:hAnsi="仿宋" w:eastAsia="方正仿宋简体" w:cs="仿宋"/>
          <w:b/>
          <w:sz w:val="32"/>
          <w:szCs w:val="32"/>
        </w:rPr>
        <w:t>具</w:t>
      </w:r>
      <w:r>
        <w:rPr>
          <w:rFonts w:hint="eastAsia" w:ascii="方正仿宋简体" w:hAnsi="仿宋" w:eastAsia="方正仿宋简体" w:cs="仿宋"/>
          <w:b/>
          <w:sz w:val="32"/>
          <w:szCs w:val="32"/>
        </w:rPr>
        <w:t>有相应资质的评估机构进行评估补偿。</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生产设备搬迁的，给予一定的设备搬迁费，</w:t>
      </w:r>
      <w:r>
        <w:rPr>
          <w:rFonts w:hint="eastAsia" w:ascii="方正仿宋简体" w:eastAsia="方正仿宋简体"/>
          <w:b/>
          <w:spacing w:val="10"/>
          <w:sz w:val="32"/>
          <w:szCs w:val="32"/>
        </w:rPr>
        <w:t>由县级人民政府负责压煤村庄搬迁工作的部门组织</w:t>
      </w:r>
      <w:r>
        <w:rPr>
          <w:rFonts w:hint="eastAsia" w:ascii="方正仿宋简体" w:hAnsi="仿宋" w:eastAsia="方正仿宋简体" w:cs="仿宋"/>
          <w:b/>
          <w:sz w:val="32"/>
          <w:szCs w:val="32"/>
        </w:rPr>
        <w:t>煤矿企业和被搬迁人协商确定；协商不成的，由煤矿企业和被搬迁人共同组织搬迁，费用由煤矿企业依法依规支付。</w:t>
      </w:r>
    </w:p>
    <w:p>
      <w:pPr>
        <w:shd w:val="clear" w:color="auto" w:fill="FFFFFF"/>
        <w:spacing w:line="600" w:lineRule="exact"/>
        <w:ind w:firstLine="641" w:firstLineChars="200"/>
        <w:rPr>
          <w:rFonts w:ascii="方正仿宋简体" w:hAnsi="方正仿宋_GBK" w:eastAsia="方正仿宋简体" w:cs="方正仿宋_GBK"/>
          <w:b/>
          <w:sz w:val="32"/>
          <w:szCs w:val="32"/>
          <w:shd w:val="clear" w:color="auto" w:fill="FFFFFF"/>
          <w:lang w:bidi="ar"/>
        </w:rPr>
      </w:pPr>
      <w:r>
        <w:rPr>
          <w:rFonts w:hint="eastAsia" w:ascii="方正仿宋简体" w:hAnsi="方正黑体_GBK" w:eastAsia="方正黑体简体" w:cs="方正黑体_GBK"/>
          <w:b/>
          <w:sz w:val="32"/>
          <w:szCs w:val="32"/>
        </w:rPr>
        <w:t>第二十六条</w:t>
      </w:r>
      <w:r>
        <w:rPr>
          <w:rFonts w:hint="eastAsia" w:ascii="方正仿宋简体" w:hAnsi="仿宋" w:eastAsia="方正仿宋简体" w:cs="仿宋"/>
          <w:b/>
          <w:sz w:val="32"/>
          <w:szCs w:val="32"/>
        </w:rPr>
        <w:t xml:space="preserve">  压煤</w:t>
      </w:r>
      <w:r>
        <w:rPr>
          <w:rFonts w:hint="default" w:ascii="方正仿宋简体" w:hAnsi="仿宋" w:eastAsia="方正仿宋简体" w:cs="仿宋"/>
          <w:b/>
          <w:sz w:val="32"/>
          <w:szCs w:val="32"/>
        </w:rPr>
        <w:t>村庄</w:t>
      </w:r>
      <w:r>
        <w:rPr>
          <w:rFonts w:hint="eastAsia" w:ascii="方正仿宋简体" w:hAnsi="仿宋" w:eastAsia="方正仿宋简体" w:cs="仿宋"/>
          <w:b/>
          <w:sz w:val="32"/>
          <w:szCs w:val="32"/>
        </w:rPr>
        <w:t>搬迁公告发布后，拟搬迁村庄所在地的</w:t>
      </w:r>
      <w:r>
        <w:rPr>
          <w:rFonts w:hint="eastAsia" w:ascii="方正仿宋简体" w:hAnsi="仿宋" w:eastAsia="方正仿宋简体" w:cs="仿宋"/>
          <w:b/>
          <w:sz w:val="31"/>
          <w:szCs w:val="31"/>
          <w:lang w:bidi="ar"/>
        </w:rPr>
        <w:t>乡镇人民政府或者街道办事处</w:t>
      </w:r>
      <w:r>
        <w:rPr>
          <w:rFonts w:hint="eastAsia" w:ascii="方正仿宋简体" w:hAnsi="仿宋" w:eastAsia="方正仿宋简体" w:cs="仿宋"/>
          <w:b/>
          <w:sz w:val="32"/>
          <w:szCs w:val="32"/>
        </w:rPr>
        <w:t>应当组织</w:t>
      </w:r>
      <w:r>
        <w:rPr>
          <w:rFonts w:hint="eastAsia" w:ascii="方正仿宋简体" w:hAnsi="仿宋" w:eastAsia="方正仿宋简体" w:cs="仿宋"/>
          <w:b/>
          <w:sz w:val="31"/>
          <w:szCs w:val="31"/>
          <w:lang w:bidi="ar"/>
        </w:rPr>
        <w:t>村民委员会或者居民委员会</w:t>
      </w:r>
      <w:r>
        <w:rPr>
          <w:rFonts w:hint="eastAsia" w:ascii="方正仿宋简体" w:hAnsi="仿宋" w:eastAsia="方正仿宋简体" w:cs="仿宋"/>
          <w:b/>
          <w:sz w:val="32"/>
          <w:szCs w:val="32"/>
        </w:rPr>
        <w:t>、煤矿企业，对拟搬迁村庄房屋以及其他地上附着物等进行测量清点登记；经相</w:t>
      </w:r>
      <w:r>
        <w:rPr>
          <w:rFonts w:hint="eastAsia" w:ascii="方正仿宋简体" w:hAnsi="方正仿宋_GBK" w:eastAsia="方正仿宋简体" w:cs="方正仿宋_GBK"/>
          <w:b/>
          <w:sz w:val="32"/>
          <w:szCs w:val="32"/>
          <w:shd w:val="clear" w:color="auto" w:fill="FFFFFF"/>
          <w:lang w:bidi="ar"/>
        </w:rPr>
        <w:t>关职能部门依据《中华人民共和国土地管理法》《中华人民共和国城乡规划法》等法律法规规章的规定认定为违法违章建筑的，不予登记。</w:t>
      </w:r>
    </w:p>
    <w:p>
      <w:pPr>
        <w:topLinePunct/>
        <w:spacing w:line="600" w:lineRule="exact"/>
        <w:ind w:firstLine="622" w:firstLineChars="200"/>
        <w:rPr>
          <w:rFonts w:ascii="方正仿宋简体" w:hAnsi="仿宋" w:eastAsia="方正仿宋简体" w:cs="仿宋"/>
          <w:b/>
          <w:sz w:val="32"/>
          <w:szCs w:val="32"/>
        </w:rPr>
      </w:pPr>
      <w:r>
        <w:rPr>
          <w:rFonts w:hint="eastAsia" w:ascii="方正仿宋简体" w:hAnsi="仿宋" w:eastAsia="方正仿宋简体" w:cs="仿宋"/>
          <w:b/>
          <w:sz w:val="31"/>
          <w:szCs w:val="31"/>
          <w:lang w:bidi="ar"/>
        </w:rPr>
        <w:t>乡镇人民政府、街道办事处</w:t>
      </w:r>
      <w:r>
        <w:rPr>
          <w:rFonts w:hint="eastAsia" w:ascii="方正仿宋简体" w:hAnsi="仿宋" w:eastAsia="方正仿宋简体" w:cs="仿宋"/>
          <w:b/>
          <w:sz w:val="32"/>
          <w:szCs w:val="32"/>
        </w:rPr>
        <w:t>应当将测量清点登记结果在拟搬迁村庄进行公示，公示期限不得少于7日。</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第二十七条</w:t>
      </w:r>
      <w:r>
        <w:rPr>
          <w:rFonts w:hint="eastAsia" w:ascii="方正仿宋简体" w:hAnsi="仿宋" w:eastAsia="方正仿宋简体" w:cs="仿宋"/>
          <w:b/>
          <w:sz w:val="32"/>
          <w:szCs w:val="32"/>
        </w:rPr>
        <w:t xml:space="preserve">  房屋补偿面积按以下方式确定：</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（一）已取得不动产权证书的住宅，按证载面积予以100%补偿；</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（二）未取得不动产权证书的住宅，按照测量登记的面积予以补偿。</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第二十八条</w:t>
      </w:r>
      <w:r>
        <w:rPr>
          <w:rFonts w:hint="eastAsia" w:ascii="方正仿宋简体" w:hAnsi="仿宋" w:eastAsia="方正仿宋简体" w:cs="仿宋"/>
          <w:b/>
          <w:sz w:val="32"/>
          <w:szCs w:val="32"/>
        </w:rPr>
        <w:t xml:space="preserve">  搬迁村民房屋以及其他地上附着物的价值，应当由具有相应资质的评估机构评估确定。</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评估机构由</w:t>
      </w:r>
      <w:r>
        <w:rPr>
          <w:rFonts w:hint="eastAsia" w:ascii="方正仿宋简体" w:hAnsi="仿宋" w:eastAsia="方正仿宋简体" w:cs="仿宋"/>
          <w:b/>
          <w:sz w:val="31"/>
          <w:szCs w:val="31"/>
          <w:lang w:bidi="ar"/>
        </w:rPr>
        <w:t>村民委员会或者居民委员会</w:t>
      </w:r>
      <w:r>
        <w:rPr>
          <w:rFonts w:hint="eastAsia" w:ascii="方正仿宋简体" w:hAnsi="仿宋" w:eastAsia="方正仿宋简体" w:cs="仿宋"/>
          <w:b/>
          <w:sz w:val="32"/>
          <w:szCs w:val="32"/>
        </w:rPr>
        <w:t>与煤矿企业协商选定；协商不成的，由</w:t>
      </w:r>
      <w:r>
        <w:rPr>
          <w:rFonts w:hint="eastAsia" w:ascii="方正仿宋简体" w:hAnsi="仿宋" w:eastAsia="方正仿宋简体" w:cs="仿宋"/>
          <w:b/>
          <w:sz w:val="31"/>
          <w:szCs w:val="31"/>
          <w:lang w:bidi="ar"/>
        </w:rPr>
        <w:t>乡镇人民政府、街道办事处</w:t>
      </w:r>
      <w:r>
        <w:rPr>
          <w:rFonts w:hint="eastAsia" w:ascii="方正仿宋简体" w:hAnsi="仿宋" w:eastAsia="方正仿宋简体" w:cs="仿宋"/>
          <w:b/>
          <w:sz w:val="32"/>
          <w:szCs w:val="32"/>
        </w:rPr>
        <w:t>进行协调或者随机选定。</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评估机构应当独立、客观、公正</w:t>
      </w:r>
      <w:r>
        <w:rPr>
          <w:rFonts w:ascii="方正仿宋简体" w:hAnsi="仿宋" w:eastAsia="方正仿宋简体" w:cs="仿宋"/>
          <w:b/>
          <w:sz w:val="32"/>
          <w:szCs w:val="32"/>
        </w:rPr>
        <w:t>地</w:t>
      </w:r>
      <w:r>
        <w:rPr>
          <w:rFonts w:hint="eastAsia" w:ascii="方正仿宋简体" w:hAnsi="仿宋" w:eastAsia="方正仿宋简体" w:cs="仿宋"/>
          <w:b/>
          <w:sz w:val="32"/>
          <w:szCs w:val="32"/>
        </w:rPr>
        <w:t>开展评估工作，并按照相关标准规范，如实出具评估报告。</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任何单位和个人不得非法干预评估活动和评估结果。</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第二十九条</w:t>
      </w:r>
      <w:r>
        <w:rPr>
          <w:rFonts w:hint="eastAsia" w:ascii="方正仿宋简体" w:hAnsi="仿宋" w:eastAsia="方正仿宋简体" w:cs="仿宋"/>
          <w:b/>
          <w:sz w:val="32"/>
          <w:szCs w:val="32"/>
        </w:rPr>
        <w:t xml:space="preserve">  评估工作结束后，</w:t>
      </w:r>
      <w:r>
        <w:rPr>
          <w:rFonts w:hint="eastAsia" w:ascii="方正仿宋简体" w:hAnsi="仿宋" w:eastAsia="方正仿宋简体" w:cs="仿宋"/>
          <w:b/>
          <w:sz w:val="31"/>
          <w:szCs w:val="31"/>
          <w:lang w:bidi="ar"/>
        </w:rPr>
        <w:t>乡镇人民政府、街道办事处</w:t>
      </w:r>
      <w:r>
        <w:rPr>
          <w:rFonts w:hint="eastAsia" w:ascii="方正仿宋简体" w:hAnsi="仿宋" w:eastAsia="方正仿宋简体" w:cs="仿宋"/>
          <w:b/>
          <w:sz w:val="32"/>
          <w:szCs w:val="32"/>
        </w:rPr>
        <w:t>应当组织</w:t>
      </w:r>
      <w:r>
        <w:rPr>
          <w:rFonts w:hint="eastAsia" w:ascii="方正仿宋简体" w:hAnsi="仿宋" w:eastAsia="方正仿宋简体" w:cs="仿宋"/>
          <w:b/>
          <w:sz w:val="31"/>
          <w:szCs w:val="31"/>
          <w:lang w:bidi="ar"/>
        </w:rPr>
        <w:t>村民委员会、居民委员会</w:t>
      </w:r>
      <w:r>
        <w:rPr>
          <w:rFonts w:hint="eastAsia" w:ascii="方正仿宋简体" w:hAnsi="仿宋" w:eastAsia="方正仿宋简体" w:cs="仿宋"/>
          <w:b/>
          <w:sz w:val="32"/>
          <w:szCs w:val="32"/>
        </w:rPr>
        <w:t>协助煤矿企业与搬迁村民签订</w:t>
      </w:r>
      <w:r>
        <w:rPr>
          <w:rFonts w:hint="default" w:ascii="方正仿宋简体" w:hAnsi="仿宋" w:eastAsia="方正仿宋简体" w:cs="仿宋"/>
          <w:b/>
          <w:sz w:val="32"/>
          <w:szCs w:val="32"/>
        </w:rPr>
        <w:t>搬迁</w:t>
      </w:r>
      <w:r>
        <w:rPr>
          <w:rFonts w:hint="eastAsia" w:ascii="方正仿宋简体" w:hAnsi="仿宋" w:eastAsia="方正仿宋简体" w:cs="仿宋"/>
          <w:b/>
          <w:sz w:val="32"/>
          <w:szCs w:val="32"/>
        </w:rPr>
        <w:t>补偿协议，约定搬迁期限、补偿方式、补偿金额、支付期限以及产权调换房屋的地点、面积和有关补助奖励等事项。</w:t>
      </w:r>
    </w:p>
    <w:p>
      <w:pPr>
        <w:topLinePunct/>
        <w:spacing w:line="600" w:lineRule="exact"/>
        <w:ind w:firstLine="643" w:firstLineChars="200"/>
        <w:rPr>
          <w:rFonts w:ascii="方正仿宋简体" w:hAnsi="仿宋" w:eastAsia="方正仿宋简体" w:cs="仿宋"/>
          <w:b/>
          <w:sz w:val="32"/>
          <w:szCs w:val="32"/>
        </w:rPr>
      </w:pPr>
      <w:r>
        <w:rPr>
          <w:rFonts w:ascii="方正仿宋简体" w:hAnsi="仿宋" w:eastAsia="方正仿宋简体" w:cs="仿宋"/>
          <w:b/>
          <w:sz w:val="32"/>
          <w:szCs w:val="32"/>
        </w:rPr>
        <w:t>煤矿企业应当保障压煤村庄搬迁资金足额到位，主动配合当地人民政府和</w:t>
      </w:r>
      <w:r>
        <w:rPr>
          <w:rFonts w:hint="eastAsia" w:ascii="方正仿宋简体" w:hAnsi="仿宋" w:eastAsia="方正仿宋简体" w:cs="仿宋"/>
          <w:b/>
          <w:sz w:val="31"/>
          <w:szCs w:val="31"/>
          <w:lang w:bidi="ar"/>
        </w:rPr>
        <w:t>村民委员会、居民委员会</w:t>
      </w:r>
      <w:r>
        <w:rPr>
          <w:rFonts w:ascii="方正仿宋简体" w:hAnsi="仿宋" w:eastAsia="方正仿宋简体" w:cs="仿宋"/>
          <w:b/>
          <w:sz w:val="32"/>
          <w:szCs w:val="32"/>
        </w:rPr>
        <w:t>做好压煤村庄搬迁工作。</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第三十条</w:t>
      </w:r>
      <w:r>
        <w:rPr>
          <w:rFonts w:hint="eastAsia" w:ascii="方正仿宋简体" w:hAnsi="仿宋" w:eastAsia="方正仿宋简体" w:cs="仿宋"/>
          <w:b/>
          <w:sz w:val="32"/>
          <w:szCs w:val="32"/>
        </w:rPr>
        <w:t xml:space="preserve">  新村安置房实行统一规划建设，新村址确定后由县级人民政府依据有关规定，按山东省建设用地控制标准依法办理</w:t>
      </w:r>
      <w:r>
        <w:rPr>
          <w:rFonts w:ascii="方正仿宋简体" w:hAnsi="仿宋" w:eastAsia="方正仿宋简体" w:cs="仿宋"/>
          <w:b/>
          <w:snapToGrid w:val="0"/>
          <w:sz w:val="32"/>
          <w:szCs w:val="32"/>
        </w:rPr>
        <w:t>用地手续</w:t>
      </w:r>
      <w:r>
        <w:rPr>
          <w:rFonts w:hint="eastAsia" w:ascii="方正仿宋简体" w:hAnsi="仿宋" w:eastAsia="方正仿宋简体" w:cs="仿宋"/>
          <w:b/>
          <w:sz w:val="32"/>
          <w:szCs w:val="32"/>
        </w:rPr>
        <w:t>。新村用地面积以核定的搬迁村户籍常住人口和人口自然增长率为基础，由</w:t>
      </w:r>
      <w:r>
        <w:rPr>
          <w:rFonts w:hint="eastAsia" w:ascii="方正仿宋简体" w:hAnsi="仿宋" w:eastAsia="方正仿宋简体" w:cs="仿宋"/>
          <w:b/>
          <w:sz w:val="31"/>
          <w:szCs w:val="31"/>
          <w:lang w:bidi="ar"/>
        </w:rPr>
        <w:t>乡镇人民政府、街道办事处</w:t>
      </w:r>
      <w:r>
        <w:rPr>
          <w:rFonts w:hint="eastAsia" w:ascii="方正仿宋简体" w:hAnsi="仿宋" w:eastAsia="方正仿宋简体" w:cs="仿宋"/>
          <w:b/>
          <w:sz w:val="32"/>
          <w:szCs w:val="32"/>
        </w:rPr>
        <w:t>提出新村用地申请，县级用地审批职能部门审核，充分听取煤矿企业意见。</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第三十一条</w:t>
      </w:r>
      <w:r>
        <w:rPr>
          <w:rFonts w:hint="eastAsia" w:ascii="方正仿宋简体" w:hAnsi="仿宋" w:eastAsia="方正仿宋简体" w:cs="仿宋"/>
          <w:b/>
          <w:sz w:val="32"/>
          <w:szCs w:val="32"/>
        </w:rPr>
        <w:t xml:space="preserve">  建设新村房屋，应当符合下列条件：</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（一）符合国家和省规定的房屋建</w:t>
      </w:r>
      <w:r>
        <w:rPr>
          <w:rFonts w:hint="default" w:ascii="方正仿宋简体" w:hAnsi="仿宋" w:eastAsia="方正仿宋简体" w:cs="仿宋"/>
          <w:b/>
          <w:sz w:val="32"/>
          <w:szCs w:val="32"/>
        </w:rPr>
        <w:t>筑</w:t>
      </w:r>
      <w:r>
        <w:rPr>
          <w:rFonts w:hint="eastAsia" w:ascii="方正仿宋简体" w:hAnsi="仿宋" w:eastAsia="方正仿宋简体" w:cs="仿宋"/>
          <w:b/>
          <w:sz w:val="32"/>
          <w:szCs w:val="32"/>
        </w:rPr>
        <w:t>设计技术规范和标准，符合美丽乡村建设规范；</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（二）符合国家和省规定的房屋质量安全标准；</w:t>
      </w:r>
    </w:p>
    <w:p>
      <w:pPr>
        <w:spacing w:line="58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（三）产权清晰；</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（四）配套基础设施和</w:t>
      </w:r>
      <w:r>
        <w:rPr>
          <w:rFonts w:hint="eastAsia" w:ascii="方正仿宋简体" w:hAnsi="仿宋" w:eastAsia="方正仿宋简体" w:cs="仿宋"/>
          <w:b/>
          <w:spacing w:val="-11"/>
          <w:sz w:val="32"/>
          <w:szCs w:val="32"/>
        </w:rPr>
        <w:t>公共服务设施满足村民生</w:t>
      </w:r>
      <w:r>
        <w:rPr>
          <w:rFonts w:hint="eastAsia" w:ascii="方正仿宋简体" w:hAnsi="仿宋" w:eastAsia="方正仿宋简体" w:cs="仿宋"/>
          <w:b/>
          <w:sz w:val="32"/>
          <w:szCs w:val="32"/>
        </w:rPr>
        <w:t>产生活需求；</w:t>
      </w:r>
    </w:p>
    <w:p>
      <w:pPr>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（五）法律、法规和规章规定的其他条件。</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第三十二条</w:t>
      </w:r>
      <w:r>
        <w:rPr>
          <w:rFonts w:hint="eastAsia" w:ascii="方正仿宋简体" w:hAnsi="仿宋" w:eastAsia="方正仿宋简体" w:cs="仿宋"/>
          <w:b/>
          <w:sz w:val="32"/>
          <w:szCs w:val="32"/>
        </w:rPr>
        <w:t xml:space="preserve">  搬迁村民选择</w:t>
      </w:r>
      <w:r>
        <w:rPr>
          <w:rFonts w:hint="default" w:ascii="方正仿宋简体" w:hAnsi="仿宋" w:eastAsia="方正仿宋简体" w:cs="仿宋"/>
          <w:b/>
          <w:sz w:val="32"/>
          <w:szCs w:val="32"/>
        </w:rPr>
        <w:t>房屋</w:t>
      </w:r>
      <w:r>
        <w:rPr>
          <w:rFonts w:hint="eastAsia" w:ascii="方正仿宋简体" w:hAnsi="仿宋" w:eastAsia="方正仿宋简体" w:cs="仿宋"/>
          <w:b/>
          <w:sz w:val="32"/>
          <w:szCs w:val="32"/>
        </w:rPr>
        <w:t>产权调换的，应当先建安置房、后实施拆迁；搬迁村民选择货币补偿的，应当先补偿到位，后实施拆迁。</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对搬迁村民按照补偿协议给予补偿安置后，搬迁村民应当在补偿协议约定的搬迁期限内完成搬迁。</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任何单位和个人不得</w:t>
      </w:r>
      <w:r>
        <w:rPr>
          <w:rFonts w:ascii="方正仿宋简体" w:hAnsi="仿宋" w:eastAsia="方正仿宋简体" w:cs="仿宋"/>
          <w:b/>
          <w:snapToGrid w:val="0"/>
          <w:sz w:val="32"/>
          <w:szCs w:val="32"/>
        </w:rPr>
        <w:t>以村民会议多数人同意为由强制拆除村民个人住房，不得</w:t>
      </w:r>
      <w:r>
        <w:rPr>
          <w:rFonts w:hint="eastAsia" w:ascii="方正仿宋简体" w:hAnsi="仿宋" w:eastAsia="方正仿宋简体" w:cs="仿宋"/>
          <w:b/>
          <w:sz w:val="32"/>
          <w:szCs w:val="32"/>
        </w:rPr>
        <w:t>采取暴力、威胁或者违反规定中断供水、供热、供气、供电</w:t>
      </w:r>
      <w:r>
        <w:rPr>
          <w:rFonts w:hint="default" w:ascii="方正仿宋简体" w:hAnsi="仿宋" w:eastAsia="方正仿宋简体" w:cs="仿宋"/>
          <w:b/>
          <w:sz w:val="32"/>
          <w:szCs w:val="32"/>
        </w:rPr>
        <w:t>、</w:t>
      </w:r>
      <w:bookmarkStart w:id="4" w:name="_GoBack"/>
      <w:bookmarkEnd w:id="4"/>
      <w:r>
        <w:rPr>
          <w:rFonts w:hint="eastAsia" w:ascii="方正仿宋简体" w:hAnsi="仿宋" w:eastAsia="方正仿宋简体" w:cs="仿宋"/>
          <w:b/>
          <w:sz w:val="32"/>
          <w:szCs w:val="32"/>
        </w:rPr>
        <w:t>道路通行等方式迫使村民搬迁。</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第三十三条</w:t>
      </w:r>
      <w:r>
        <w:rPr>
          <w:rFonts w:hint="eastAsia" w:ascii="方正仿宋简体" w:hAnsi="仿宋" w:eastAsia="方正仿宋简体" w:cs="仿宋"/>
          <w:b/>
          <w:sz w:val="32"/>
          <w:szCs w:val="32"/>
        </w:rPr>
        <w:t xml:space="preserve">  在协议约定期限内村民拒绝搬迁或者煤矿企业未履行补偿义务的，有关当事人可以向县级人民政府负责压煤村庄搬迁工作的部门申请协调解决，或者依法向人民法院提起诉讼。</w:t>
      </w:r>
    </w:p>
    <w:p>
      <w:pPr>
        <w:spacing w:line="600" w:lineRule="exact"/>
        <w:jc w:val="center"/>
        <w:rPr>
          <w:rFonts w:ascii="方正仿宋简体" w:hAnsi="黑体" w:eastAsia="方正小标宋简体" w:cs="黑体"/>
          <w:b/>
          <w:sz w:val="32"/>
          <w:szCs w:val="32"/>
        </w:rPr>
      </w:pPr>
    </w:p>
    <w:p>
      <w:pPr>
        <w:spacing w:line="600" w:lineRule="exact"/>
        <w:jc w:val="center"/>
        <w:rPr>
          <w:rFonts w:ascii="方正仿宋简体" w:hAnsi="黑体" w:eastAsia="方正小标宋简体" w:cs="黑体"/>
          <w:b/>
          <w:sz w:val="32"/>
          <w:szCs w:val="32"/>
        </w:rPr>
      </w:pPr>
      <w:r>
        <w:rPr>
          <w:rFonts w:hint="eastAsia" w:ascii="方正仿宋简体" w:hAnsi="黑体" w:eastAsia="方正小标宋简体" w:cs="黑体"/>
          <w:b/>
          <w:sz w:val="32"/>
          <w:szCs w:val="32"/>
        </w:rPr>
        <w:t>第四章  监督管理</w:t>
      </w:r>
    </w:p>
    <w:p>
      <w:pPr>
        <w:topLinePunct/>
        <w:spacing w:line="600" w:lineRule="exact"/>
        <w:ind w:firstLine="641" w:firstLineChars="200"/>
        <w:rPr>
          <w:rFonts w:ascii="方正仿宋简体" w:hAnsi="方正黑体_GBK" w:eastAsia="方正黑体简体" w:cs="方正黑体_GBK"/>
          <w:b/>
          <w:sz w:val="32"/>
          <w:szCs w:val="32"/>
        </w:rPr>
      </w:pP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第三十四条</w:t>
      </w:r>
      <w:r>
        <w:rPr>
          <w:rFonts w:hint="eastAsia" w:ascii="方正仿宋简体" w:hAnsi="仿宋" w:eastAsia="方正仿宋简体" w:cs="仿宋"/>
          <w:b/>
          <w:sz w:val="32"/>
          <w:szCs w:val="32"/>
        </w:rPr>
        <w:t xml:space="preserve">  县（市、区）人民政府应当加强压煤村庄搬迁工作队伍建设，健全压煤村庄搬迁监督、培训等工作机制，畅通社会监督渠道，对压煤村庄搬迁工作中发现的问题及时采取措施。</w:t>
      </w:r>
    </w:p>
    <w:p>
      <w:pPr>
        <w:topLinePunct/>
        <w:spacing w:line="58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第三十五条</w:t>
      </w:r>
      <w:r>
        <w:rPr>
          <w:rFonts w:hint="eastAsia" w:ascii="方正仿宋简体" w:hAnsi="仿宋" w:eastAsia="方正仿宋简体" w:cs="仿宋"/>
          <w:b/>
          <w:sz w:val="32"/>
          <w:szCs w:val="32"/>
        </w:rPr>
        <w:t xml:space="preserve">  压煤村庄搬迁工作结束后，市人民政府负责压煤村庄搬迁工作的部门应当会同县（市、区）人民政府按照国家和省有关规定，对压煤村庄搬迁项目进行验收。验收工作应当邀请搬迁村庄村民代表和煤矿企业全程参与。</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第三十六条</w:t>
      </w:r>
      <w:r>
        <w:rPr>
          <w:rFonts w:hint="eastAsia" w:ascii="方正仿宋简体" w:hAnsi="仿宋" w:eastAsia="方正仿宋简体" w:cs="仿宋"/>
          <w:b/>
          <w:sz w:val="32"/>
          <w:szCs w:val="32"/>
        </w:rPr>
        <w:t xml:space="preserve">  压煤村庄搬迁资金应当专户存储、专款专用，由当地政府、煤矿企业和银行建立三方共管账户，搬迁补偿资金严格按照搬迁补偿协议约定条款和程序支付，资金使用情况根据协议节点定期公示，接受搬迁当事人的监督。</w:t>
      </w:r>
    </w:p>
    <w:p>
      <w:pPr>
        <w:topLinePunct/>
        <w:spacing w:line="600" w:lineRule="exact"/>
        <w:ind w:firstLine="643" w:firstLineChars="200"/>
        <w:rPr>
          <w:rFonts w:ascii="方正仿宋简体" w:hAnsi="仿宋" w:eastAsia="方正仿宋简体" w:cs="仿宋"/>
          <w:b/>
          <w:spacing w:val="-20"/>
          <w:sz w:val="32"/>
          <w:szCs w:val="32"/>
        </w:rPr>
      </w:pPr>
      <w:r>
        <w:rPr>
          <w:rFonts w:hint="eastAsia" w:ascii="方正仿宋简体" w:hAnsi="仿宋" w:eastAsia="方正仿宋简体" w:cs="仿宋"/>
          <w:b/>
          <w:sz w:val="32"/>
          <w:szCs w:val="32"/>
        </w:rPr>
        <w:t>任何单位和个人不得挪用、扣留或者私分搬</w:t>
      </w:r>
      <w:r>
        <w:rPr>
          <w:rFonts w:hint="eastAsia" w:ascii="方正仿宋简体" w:hAnsi="仿宋" w:eastAsia="方正仿宋简体" w:cs="仿宋"/>
          <w:b/>
          <w:spacing w:val="-20"/>
          <w:sz w:val="32"/>
          <w:szCs w:val="32"/>
        </w:rPr>
        <w:t>迁资金。</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第三十七条</w:t>
      </w:r>
      <w:r>
        <w:rPr>
          <w:rFonts w:hint="eastAsia" w:ascii="方正仿宋简体" w:hAnsi="仿宋" w:eastAsia="方正仿宋简体" w:cs="仿宋"/>
          <w:b/>
          <w:sz w:val="32"/>
          <w:szCs w:val="32"/>
        </w:rPr>
        <w:t xml:space="preserve">  县级人民政府负责压煤村庄搬迁工作的部门应当建立健全压煤村庄搬迁档案管理制度，依法加强对压煤村庄搬迁档案资料的管理。</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第三十八条</w:t>
      </w:r>
      <w:r>
        <w:rPr>
          <w:rFonts w:hint="eastAsia" w:ascii="方正仿宋简体" w:hAnsi="仿宋" w:eastAsia="方正仿宋简体" w:cs="仿宋"/>
          <w:b/>
          <w:sz w:val="32"/>
          <w:szCs w:val="32"/>
        </w:rPr>
        <w:t xml:space="preserve">  任何单位和个人对违反本办法规定的</w:t>
      </w:r>
      <w:r>
        <w:rPr>
          <w:rFonts w:hint="eastAsia" w:ascii="方正仿宋简体" w:hAnsi="仿宋" w:eastAsia="方正仿宋简体" w:cs="仿宋"/>
          <w:b/>
          <w:spacing w:val="-20"/>
          <w:sz w:val="32"/>
          <w:szCs w:val="32"/>
        </w:rPr>
        <w:t>行为，</w:t>
      </w:r>
      <w:r>
        <w:rPr>
          <w:rFonts w:ascii="方正仿宋简体" w:hAnsi="仿宋" w:eastAsia="方正仿宋简体" w:cs="仿宋"/>
          <w:b/>
          <w:spacing w:val="-20"/>
          <w:sz w:val="32"/>
          <w:szCs w:val="32"/>
        </w:rPr>
        <w:t>均</w:t>
      </w:r>
      <w:r>
        <w:rPr>
          <w:rFonts w:hint="eastAsia" w:ascii="方正仿宋简体" w:hAnsi="仿宋" w:eastAsia="方正仿宋简体" w:cs="仿宋"/>
          <w:b/>
          <w:sz w:val="32"/>
          <w:szCs w:val="32"/>
        </w:rPr>
        <w:t>有权向当地人民政府和有关部门投诉、举报。接到投诉、举报的人民政府和部门应当及时核实、处理。</w:t>
      </w:r>
    </w:p>
    <w:p>
      <w:pPr>
        <w:topLinePunct/>
        <w:spacing w:line="600" w:lineRule="exact"/>
        <w:rPr>
          <w:rFonts w:ascii="方正仿宋简体" w:hAnsi="仿宋" w:eastAsia="方正仿宋简体" w:cs="仿宋"/>
          <w:b/>
          <w:sz w:val="32"/>
          <w:szCs w:val="32"/>
        </w:rPr>
      </w:pPr>
    </w:p>
    <w:p>
      <w:pPr>
        <w:spacing w:line="600" w:lineRule="exact"/>
        <w:jc w:val="center"/>
        <w:rPr>
          <w:rFonts w:ascii="方正仿宋简体" w:hAnsi="黑体" w:eastAsia="方正小标宋简体" w:cs="黑体"/>
          <w:b/>
          <w:sz w:val="32"/>
          <w:szCs w:val="32"/>
        </w:rPr>
      </w:pPr>
      <w:r>
        <w:rPr>
          <w:rFonts w:hint="eastAsia" w:ascii="方正仿宋简体" w:hAnsi="黑体" w:eastAsia="方正小标宋简体" w:cs="黑体"/>
          <w:b/>
          <w:sz w:val="32"/>
          <w:szCs w:val="32"/>
        </w:rPr>
        <w:t>第五章  附    则</w:t>
      </w:r>
    </w:p>
    <w:p>
      <w:pPr>
        <w:topLinePunct/>
        <w:spacing w:line="600" w:lineRule="exact"/>
        <w:ind w:firstLine="643" w:firstLineChars="200"/>
        <w:rPr>
          <w:rFonts w:ascii="方正仿宋简体" w:hAnsi="仿宋" w:eastAsia="方正仿宋简体" w:cs="仿宋"/>
          <w:b/>
          <w:sz w:val="32"/>
          <w:szCs w:val="32"/>
        </w:rPr>
      </w:pPr>
    </w:p>
    <w:p>
      <w:pPr>
        <w:topLinePunct/>
        <w:spacing w:line="600" w:lineRule="exact"/>
        <w:ind w:firstLine="641" w:firstLineChars="200"/>
        <w:rPr>
          <w:rFonts w:ascii="方正仿宋简体" w:hAnsi="仿宋" w:eastAsia="方正仿宋简体" w:cs="仿宋"/>
          <w:b/>
          <w:sz w:val="32"/>
          <w:szCs w:val="32"/>
        </w:rPr>
      </w:pPr>
      <w:r>
        <w:rPr>
          <w:rFonts w:ascii="方正仿宋简体" w:hAnsi="方正黑体_GBK" w:eastAsia="方正黑体简体" w:cs="方正黑体_GBK"/>
          <w:b/>
          <w:sz w:val="32"/>
          <w:szCs w:val="32"/>
        </w:rPr>
        <w:t>第</w:t>
      </w:r>
      <w:r>
        <w:rPr>
          <w:rFonts w:hint="eastAsia" w:ascii="方正仿宋简体" w:hAnsi="方正黑体_GBK" w:eastAsia="方正黑体简体" w:cs="方正黑体_GBK"/>
          <w:b/>
          <w:sz w:val="32"/>
          <w:szCs w:val="32"/>
        </w:rPr>
        <w:t>三十九</w:t>
      </w:r>
      <w:r>
        <w:rPr>
          <w:rFonts w:ascii="方正仿宋简体" w:hAnsi="方正黑体_GBK" w:eastAsia="方正黑体简体" w:cs="方正黑体_GBK"/>
          <w:b/>
          <w:sz w:val="32"/>
          <w:szCs w:val="32"/>
        </w:rPr>
        <w:t>条　</w:t>
      </w:r>
      <w:r>
        <w:rPr>
          <w:rFonts w:ascii="方正仿宋简体" w:hAnsi="仿宋" w:eastAsia="方正仿宋简体" w:cs="仿宋"/>
          <w:b/>
          <w:sz w:val="32"/>
          <w:szCs w:val="32"/>
        </w:rPr>
        <w:t>压煤村庄的公共设施以及压煤企业事业单位等的搬迁，参照本办法规定执行。</w:t>
      </w:r>
    </w:p>
    <w:p>
      <w:pPr>
        <w:pStyle w:val="5"/>
        <w:widowControl w:val="0"/>
        <w:kinsoku/>
        <w:autoSpaceDE/>
        <w:autoSpaceDN/>
        <w:adjustRightInd/>
        <w:snapToGrid/>
        <w:spacing w:before="0" w:beforeAutospacing="0" w:after="0" w:afterAutospacing="0" w:line="600" w:lineRule="exact"/>
        <w:ind w:firstLine="643" w:firstLineChars="200"/>
        <w:textAlignment w:val="auto"/>
        <w:rPr>
          <w:rFonts w:ascii="方正仿宋简体" w:hAnsi="仿宋" w:eastAsia="方正仿宋简体" w:cs="仿宋"/>
          <w:b/>
          <w:color w:val="auto"/>
          <w:sz w:val="32"/>
          <w:szCs w:val="32"/>
        </w:rPr>
      </w:pPr>
      <w:r>
        <w:rPr>
          <w:rFonts w:ascii="方正仿宋简体" w:hAnsi="仿宋" w:eastAsia="方正仿宋简体" w:cs="仿宋"/>
          <w:b/>
          <w:color w:val="auto"/>
          <w:sz w:val="32"/>
          <w:szCs w:val="32"/>
        </w:rPr>
        <w:t>因煤炭资源开采造成农用地塌陷的，由煤矿企业按照国家和省有关规定组织复垦，并依法予以补偿。</w:t>
      </w:r>
    </w:p>
    <w:p>
      <w:pPr>
        <w:topLinePunct/>
        <w:spacing w:line="600" w:lineRule="exact"/>
        <w:ind w:firstLine="641" w:firstLineChars="200"/>
        <w:rPr>
          <w:rFonts w:ascii="方正仿宋简体" w:hAnsi="仿宋" w:eastAsia="方正仿宋简体" w:cs="仿宋"/>
          <w:b/>
          <w:sz w:val="32"/>
          <w:szCs w:val="32"/>
        </w:rPr>
      </w:pPr>
      <w:r>
        <w:rPr>
          <w:rFonts w:ascii="方正仿宋简体" w:hAnsi="方正黑体_GBK" w:eastAsia="方正黑体简体" w:cs="方正黑体_GBK"/>
          <w:b/>
          <w:snapToGrid w:val="0"/>
          <w:sz w:val="32"/>
          <w:szCs w:val="32"/>
        </w:rPr>
        <w:t>第</w:t>
      </w:r>
      <w:r>
        <w:rPr>
          <w:rFonts w:hint="eastAsia" w:ascii="方正仿宋简体" w:hAnsi="方正黑体_GBK" w:eastAsia="方正黑体简体" w:cs="方正黑体_GBK"/>
          <w:b/>
          <w:snapToGrid w:val="0"/>
          <w:sz w:val="32"/>
          <w:szCs w:val="32"/>
        </w:rPr>
        <w:t>四十</w:t>
      </w:r>
      <w:r>
        <w:rPr>
          <w:rFonts w:ascii="方正仿宋简体" w:hAnsi="方正黑体_GBK" w:eastAsia="方正黑体简体" w:cs="方正黑体_GBK"/>
          <w:b/>
          <w:snapToGrid w:val="0"/>
          <w:sz w:val="32"/>
          <w:szCs w:val="32"/>
        </w:rPr>
        <w:t>条　</w:t>
      </w:r>
      <w:r>
        <w:rPr>
          <w:rFonts w:ascii="方正仿宋简体" w:hAnsi="仿宋" w:eastAsia="方正仿宋简体" w:cs="仿宋"/>
          <w:b/>
          <w:snapToGrid w:val="0"/>
          <w:sz w:val="32"/>
          <w:szCs w:val="32"/>
        </w:rPr>
        <w:t>采煤沉陷区范围内非搬迁村民的房屋或者其他建筑物、构筑物等出现变形或者损坏情形的，其所有人或者管理人可以委托具备资质的专业鉴定机构进行鉴定。经鉴定，属于煤矿开采原因造成变形或者损坏的，所有人或者管理人可以与煤矿企业协商解决</w:t>
      </w:r>
      <w:r>
        <w:rPr>
          <w:rFonts w:hint="eastAsia" w:ascii="方正仿宋简体" w:hAnsi="仿宋" w:eastAsia="方正仿宋简体" w:cs="仿宋"/>
          <w:b/>
          <w:snapToGrid w:val="0"/>
          <w:sz w:val="32"/>
          <w:szCs w:val="32"/>
        </w:rPr>
        <w:t>。</w:t>
      </w:r>
    </w:p>
    <w:p>
      <w:pPr>
        <w:topLinePunct/>
        <w:spacing w:line="600" w:lineRule="exact"/>
        <w:ind w:firstLine="641" w:firstLineChars="200"/>
        <w:rPr>
          <w:rFonts w:ascii="方正仿宋简体" w:hAnsi="仿宋" w:eastAsia="方正仿宋简体" w:cs="仿宋"/>
          <w:b/>
          <w:sz w:val="32"/>
          <w:szCs w:val="32"/>
        </w:rPr>
      </w:pPr>
      <w:r>
        <w:rPr>
          <w:rFonts w:hint="eastAsia" w:ascii="方正仿宋简体" w:hAnsi="方正黑体_GBK" w:eastAsia="方正黑体简体" w:cs="方正黑体_GBK"/>
          <w:b/>
          <w:sz w:val="32"/>
          <w:szCs w:val="32"/>
        </w:rPr>
        <w:t>第四十一条</w:t>
      </w:r>
      <w:r>
        <w:rPr>
          <w:rFonts w:hint="eastAsia" w:ascii="方正仿宋简体" w:hAnsi="仿宋" w:eastAsia="方正仿宋简体" w:cs="仿宋"/>
          <w:b/>
          <w:sz w:val="32"/>
          <w:szCs w:val="32"/>
        </w:rPr>
        <w:t xml:space="preserve">  本办法自</w:t>
      </w:r>
      <w:r>
        <w:rPr>
          <w:rFonts w:ascii="方正仿宋简体" w:hAnsi="仿宋" w:eastAsia="方正仿宋简体" w:cs="仿宋"/>
          <w:b/>
          <w:sz w:val="32"/>
          <w:szCs w:val="32"/>
        </w:rPr>
        <w:t>2024</w:t>
      </w:r>
      <w:r>
        <w:rPr>
          <w:rFonts w:hint="eastAsia" w:ascii="方正仿宋简体" w:hAnsi="仿宋" w:eastAsia="方正仿宋简体" w:cs="仿宋"/>
          <w:b/>
          <w:sz w:val="32"/>
          <w:szCs w:val="32"/>
        </w:rPr>
        <w:t>年</w:t>
      </w:r>
      <w:r>
        <w:rPr>
          <w:rFonts w:ascii="方正仿宋简体" w:hAnsi="仿宋" w:eastAsia="方正仿宋简体" w:cs="仿宋"/>
          <w:b/>
          <w:sz w:val="32"/>
          <w:szCs w:val="32"/>
        </w:rPr>
        <w:t>3</w:t>
      </w:r>
      <w:r>
        <w:rPr>
          <w:rFonts w:hint="eastAsia" w:ascii="方正仿宋简体" w:hAnsi="仿宋" w:eastAsia="方正仿宋简体" w:cs="仿宋"/>
          <w:b/>
          <w:sz w:val="32"/>
          <w:szCs w:val="32"/>
        </w:rPr>
        <w:t>月</w:t>
      </w:r>
      <w:r>
        <w:rPr>
          <w:rFonts w:ascii="方正仿宋简体" w:hAnsi="仿宋" w:eastAsia="方正仿宋简体" w:cs="仿宋"/>
          <w:b/>
          <w:sz w:val="32"/>
          <w:szCs w:val="32"/>
        </w:rPr>
        <w:t>1</w:t>
      </w:r>
      <w:r>
        <w:rPr>
          <w:rFonts w:hint="eastAsia" w:ascii="方正仿宋简体" w:hAnsi="仿宋" w:eastAsia="方正仿宋简体" w:cs="仿宋"/>
          <w:b/>
          <w:sz w:val="32"/>
          <w:szCs w:val="32"/>
        </w:rPr>
        <w:t>日起施行，有效期至</w:t>
      </w:r>
      <w:r>
        <w:rPr>
          <w:rFonts w:ascii="方正仿宋简体" w:hAnsi="仿宋" w:eastAsia="方正仿宋简体" w:cs="仿宋"/>
          <w:b/>
          <w:sz w:val="32"/>
          <w:szCs w:val="32"/>
        </w:rPr>
        <w:t>2029</w:t>
      </w:r>
      <w:r>
        <w:rPr>
          <w:rFonts w:hint="eastAsia" w:ascii="方正仿宋简体" w:hAnsi="仿宋" w:eastAsia="方正仿宋简体" w:cs="仿宋"/>
          <w:b/>
          <w:sz w:val="32"/>
          <w:szCs w:val="32"/>
        </w:rPr>
        <w:t>年</w:t>
      </w:r>
      <w:r>
        <w:rPr>
          <w:rFonts w:ascii="方正仿宋简体" w:hAnsi="仿宋" w:eastAsia="方正仿宋简体" w:cs="仿宋"/>
          <w:b/>
          <w:sz w:val="32"/>
          <w:szCs w:val="32"/>
        </w:rPr>
        <w:t>2</w:t>
      </w:r>
      <w:r>
        <w:rPr>
          <w:rFonts w:hint="eastAsia" w:ascii="方正仿宋简体" w:hAnsi="仿宋" w:eastAsia="方正仿宋简体" w:cs="仿宋"/>
          <w:b/>
          <w:sz w:val="32"/>
          <w:szCs w:val="32"/>
        </w:rPr>
        <w:t>月</w:t>
      </w:r>
      <w:r>
        <w:rPr>
          <w:rFonts w:ascii="方正仿宋简体" w:hAnsi="仿宋" w:eastAsia="方正仿宋简体" w:cs="仿宋"/>
          <w:b/>
          <w:sz w:val="32"/>
          <w:szCs w:val="32"/>
        </w:rPr>
        <w:t>28</w:t>
      </w:r>
      <w:r>
        <w:rPr>
          <w:rFonts w:hint="eastAsia" w:ascii="方正仿宋简体" w:hAnsi="仿宋" w:eastAsia="方正仿宋简体" w:cs="仿宋"/>
          <w:b/>
          <w:sz w:val="32"/>
          <w:szCs w:val="32"/>
        </w:rPr>
        <w:t>日。</w:t>
      </w:r>
    </w:p>
    <w:p>
      <w:pPr>
        <w:topLinePunct/>
        <w:spacing w:line="600" w:lineRule="exact"/>
        <w:ind w:firstLine="643" w:firstLineChars="200"/>
        <w:rPr>
          <w:rFonts w:ascii="方正仿宋简体" w:hAnsi="仿宋" w:eastAsia="方正仿宋简体" w:cs="仿宋"/>
          <w:b/>
          <w:sz w:val="32"/>
          <w:szCs w:val="32"/>
        </w:rPr>
      </w:pPr>
      <w:r>
        <w:rPr>
          <w:rFonts w:hint="eastAsia" w:ascii="方正仿宋简体" w:hAnsi="仿宋" w:eastAsia="方正仿宋简体" w:cs="仿宋"/>
          <w:b/>
          <w:sz w:val="32"/>
          <w:szCs w:val="32"/>
        </w:rPr>
        <w:t>本办法施行前已确定并公布补偿安置方案的，仍按原方案的规定执行。</w:t>
      </w:r>
    </w:p>
    <w:p>
      <w:pPr>
        <w:spacing w:line="600" w:lineRule="exact"/>
        <w:rPr>
          <w:rFonts w:ascii="方正仿宋简体"/>
        </w:r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eastAsia="方正仿宋简体"/>
          <w:b/>
          <w:sz w:val="32"/>
          <w:szCs w:val="32"/>
        </w:rPr>
      </w:pPr>
    </w:p>
    <w:p>
      <w:pPr>
        <w:spacing w:line="60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spacing w:line="240" w:lineRule="exact"/>
        <w:ind w:firstLine="643" w:firstLineChars="200"/>
        <w:rPr>
          <w:rFonts w:ascii="方正仿宋简体" w:hAnsi="文星仿宋" w:eastAsia="方正仿宋简体" w:cs="方正仿宋简体"/>
          <w:b/>
          <w:color w:val="FF0000"/>
          <w:sz w:val="32"/>
          <w:szCs w:val="32"/>
        </w:rPr>
      </w:pPr>
    </w:p>
    <w:p>
      <w:pPr>
        <w:rPr>
          <w:rFonts w:ascii="方正仿宋简体" w:hAnsi="文星黑体" w:eastAsia="方正小标宋简体" w:cs="方正小标宋简体"/>
          <w:b/>
          <w:color w:val="000000"/>
        </w:rPr>
      </w:pPr>
      <w:r>
        <w:rPr>
          <w:rFonts w:ascii="方正仿宋简体"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CS7cl/0gEAAM4DAAAO AAAAZHJzL2Uyb0RvYy54bWytU01v2zAMvQ/YfxB0X+xm7ToYcXpo1l2KrcC2H8BIdCxAXxDVOPn3 o+Q03bpLDvNBpiTyke+RWt0dnBV7TGSC7+XVopUCvQra+F0vf/18+PBZCsrgNdjgsZdHJHm3fv9u NcUOl2EMVmMSDOKpm2Ivx5xj1zSkRnRAixDR8+UQkoPM27RrdIKJ0Z1tlm37qZlC0jEFhUR8upkv 5QkxXQIYhsEo3AT17NDnGTWhhcyUaDSR5LpWOwyo8vdhIMzC9pKZ5rpyEra3ZW3WK+h2CeJo1KkE uKSEN5wcGM9Jz1AbyCCek/kHyhmVAoUhL1RwzUykKsIsrto32vwYIWLlwlJTPItO/w9Wfds/JWF0 Lz9K4cFxwx+NR3FblJkidexw75/SaUfxKRWahyG58mcC4lDVPJ7VxEMWig9vbq6v25aFVi93zWtg TJS/YnCiGL20nLPqB/tHypyMXV9cSh7rxcTDuryteMBjN3C7GdpFLp38rgZTsEY/GGtLCKXd9t4m sYfS+voVTgz8l1vJsgEaZ796NQ/FiKC/eC3yMbIont+CLDU41FJY5KdTLAaELoOxl3hyauu5giLr LGSxtkEfq771nNtcazyNZJmjP/c1+vUZrn8D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Rh/g1dYA AAAGAQAADwAAAAAAAAABACAAAAA4AAAAZHJzL2Rvd25yZXYueG1sUEsBAhQAFAAAAAgAh07iQJLt yX/SAQAAzgMAAA4AAAAAAAAAAQAgAAAAOwEAAGRycy9lMm9Eb2MueG1sUEsFBgAAAAAGAAYAWQEA AH8FAAAAAA== ">
                <v:fill on="f" focussize="0,0"/>
                <v:stroke weight="1pt" color="#000000" joinstyle="round"/>
                <v:imagedata o:title=""/>
                <o:lock v:ext="edit" aspectratio="f"/>
              </v:line>
            </w:pict>
          </mc:Fallback>
        </mc:AlternateContent>
      </w:r>
      <w:r>
        <w:rPr>
          <w:rFonts w:hint="eastAsia" w:ascii="方正仿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75" w:firstLineChars="98"/>
        <w:rPr>
          <w:rFonts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135" w:firstLineChars="398"/>
        <w:rPr>
          <w:rFonts w:ascii="方正仿宋简体" w:hAnsi="文星仿宋" w:eastAsia="方正仿宋简体" w:cs="方正仿宋简体"/>
          <w:b/>
          <w:sz w:val="28"/>
          <w:szCs w:val="28"/>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spacing w:line="740" w:lineRule="exact"/>
        <w:ind w:firstLine="313" w:firstLineChars="98"/>
        <w:rPr>
          <w:rFonts w:ascii="方正仿宋简体" w:hAnsi="文星仿宋" w:eastAsia="方正仿宋简体" w:cs="方正仿宋简体"/>
          <w:b/>
          <w:sz w:val="28"/>
          <w:szCs w:val="28"/>
        </w:rPr>
      </w:pPr>
      <w:r>
        <w:rPr>
          <w:rFonts w:ascii="方正仿宋简体"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o:spt="20" style="position:absolute;left:0pt;margin-left:0pt;margin-top:40.8pt;height:0pt;width:436.55pt;z-index:251662336;mso-width-relative:page;mso-height-relative:page;" filled="f" stroked="t" coordsize="21600,21600" o:gfxdata="UEsFBgAAAAAAAAAAAAAAAAAAAAAAAFBLAwQKAAAAAACHTuJAAAAAAAAAAAAAAAAABAAAAGRycy9Q SwMEFAAAAAgAh07iQPVMmDjWAAAABgEAAA8AAABkcnMvZG93bnJldi54bWxNj81uwjAQhO+V+g7W IvVWnFAJrDQOByqEWvUCVOp1ibdx2ngdYvPTt68rDnDcmdHMt+X87DpxpCG0njXk4wwEce1Ny42G j+3yUYEIEdlg55k0/FKAeXV/V2Jh/InXdNzERqQSDgVqsDH2hZShtuQwjH1PnLwvPziM6RwaaQY8 pXLXyUmWTaXDltOCxZ4WluqfzcFpwJfVOn6qydusfbXv39vlfmXVXuuHUZ49g4h0jtcw/OMndKgS 084f2ATRaUiPRA0qn4JIrpo95SB2F0FWpbzFr/4AUEsDBBQAAAAIAIdO4kAL/WWn0gEAAM4DAAAO AAAAZHJzL2Uyb0RvYy54bWytU01v2zAMvQ/YfxB0X+wG6T6MOD006y7FFmDdD1AkyhagL4hqnPz7 UXKabt0lh/kgUxL5yPdIre+OzrIDJDTB9/xm0XIGXgZl/NDzX08PHz5zhll4JWzw0PMTIL/bvH+3 nmIHyzAGqyAxAvHYTbHnY86xaxqUIziBixDB06UOyYlM2zQ0KomJ0J1tlm37sZlCUjEFCYh0up0v +RkxXQMYtDYStkE+O/B5Rk1gRSZKOJqIfFOr1Rpk/qE1Qma258Q015WSkL0va7NZi25IIo5GnksQ 15TwhpMTxlPSC9RWZMGek/kHyhmZAgadFzK4ZiZSFSEWN+0bbX6OIkLlQlJjvIiO/w9Wfj/sEjOq 5yvOvHDU8EfjgX0pykwRO3K497t03mHcpULzqJMrfyLAjlXN00VNOGYm6fD2drVqWxJavtw1r4Ex Yf4GwbFi9NxSzqqfODxipmTk+uJS8ljPJhrW5aeKJ2jsNLWboF2k0tEPNRiDNerBWFtCMA37e5vY QZTW169wIuC/3EqWrcBx9qtX81CMINRXr1g+RRLF01vgpQYHijML9HSKRYCiy8LYazwptfVUQZF1 FrJY+6BOVd96Tm2uNZ5HsszRn/sa/foMN78B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9UyYONYA AAAGAQAADwAAAAAAAAABACAAAAA4AAAAZHJzL2Rvd25yZXYueG1sUEsBAhQAFAAAAAgAh07iQAv9 ZafSAQAAzgMAAA4AAAAAAAAAAQAgAAAAOwEAAGRycy9lMm9Eb2MueG1sUEsFBgAAAAAGAAYAWQEA AH8FAAAAAA== ">
                <v:fill on="f" focussize="0,0"/>
                <v:stroke weight="1pt" color="#000000" joinstyle="round"/>
                <v:imagedata o:title=""/>
                <o:lock v:ext="edit" aspectratio="f"/>
              </v:line>
            </w:pict>
          </mc:Fallback>
        </mc:AlternateContent>
      </w:r>
      <w:r>
        <w:rPr>
          <w:rFonts w:ascii="方正仿宋简体"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DIPtTnRAQAAzgMAAA4A AABkcnMvZTJvRG9jLnhtbK1TTW/bMAy9D9h/EHRf7AbtVhhxemjWXYotwLYfwEh0LEBfENU4+fej 5DRdu0sP80GmJPKR75Fa3R2dFQdMZILv5dWilQK9Ctr4fS9//3r4dCsFZfAabPDYyxOSvFt//LCa YofLMAarMQkG8dRNsZdjzrFrGlIjOqBFiOj5cgjJQeZt2jc6wcTozjbLtv3cTCHpmIJCIj7dzJfy jJjeAxiGwSjcBPXk0OcZNaGFzJRoNJHkulY7DKjyj2EgzML2kpnmunIStndlbdYr6PYJ4mjUuQR4 TwlvODkwnpNeoDaQQTwl8w+UMyoFCkNeqOCamUhVhFlctW+0+TlCxMqFpaZ4EZ3+H6z6ftgmYTRP ghQeHDf80XgUt0WZKVLHDvd+m847ittUaB6H5MqfCYhjVfN0UROPWSg+vLm5vm5bFlo93zUvgTFR /obBiWL00nLOqh8cHilzMnZ9dil5rBcTl7j8UvGAx27gdjO0i1w6+X0NpmCNfjDWlhBK+929TeIA pfX1K5wY+JVbybIBGme/ejUPxYigv3ot8imyKJ7fgiw1ONRSWOSnUywGhC6Dse/x5NTWcwVF1lnI Yu2CPlV96zm3udZ4HskyR3/va/TLM1z/AVBLAwQKAAAAAACHTuJAAAAAAAAAAAAAAAAABgAAAF9y ZWxzL1BLAwQUAAAACACHTuJAihRmPNEAAACUAQAACwAAAF9yZWxzLy5yZWxzpZDBasMwDIbvg72D 0X1xmsMYo04vo9Br6R7A2IpjGltGMtn69vMOg2X0tqN+oe8T//7wmRa1IkukbGDX9aAwO/IxBwPv l+PTCyipNnu7UEYDNxQ4jI8P+zMutrYjmWMR1ShZDMy1lletxc2YrHRUMLfNRJxsbSMHXay72oB6 6Ptnzb8ZMG6Y6uQN8MkPoC630sx/2Ck6JqGpdo6SpmmK7h5VB7Zlju7INuEbuUazHLAa8CwaB2pZ 134EfV+/+6fe00c+47rVfoeM649Xb7ocvwBQSwMEFAAAAAgAh07iQH7m5SD3AAAA4QEAABMAAABb Q29udGVudF9UeXBlc10ueG1slZFBTsMwEEX3SNzB8hYlTrtACCXpgrRLQKgcYGRPEotkbHlMaG+P k7YbRJFY2jP/vye73BzGQUwY2Dqq5CovpEDSzljqKvm+32UPUnAEMjA4wkoekeWmvr0p90ePLFKa uJJ9jP5RKdY9jsC580hp0rowQkzH0CkP+gM6VOuiuFfaUUSKWZw7ZF022MLnEMX2kK5PJgEHluLp tDizKgneD1ZDTKZqIvODkp0JeUouO9xbz3dJQ6pfCfPkOuCce0lPE6xB8QohPsOYNJQJrIz7ooBT /nfJbDly5trWasybwE2KveF0sbrWjmvXOP3f8u2SunSr5YPqb1BLAQIUABQAAAAIAIdO4kB+5uUg 9wAAAOEBAAATAAAAAAAAAAEAIAAAAFUEAABbQ29udGVudF9UeXBlc10ueG1sUEsBAhQACgAAAAAA h07iQAAAAAAAAAAAAAAAAAYAAAAAAAAAAAAQAAAANwMAAF9yZWxzL1BLAQIUABQAAAAIAIdO4kCK FGY80QAAAJQBAAALAAAAAAAAAAEAIAAAAFsDAABfcmVscy8ucmVsc1BLAQIUAAoAAAAAAIdO4kAA AAAAAAAAAAAAAAAEAAAAAAAAAAAAEAAAABYAAABkcnMvUEsBAhQAFAAAAAgAh07iQHLzmarVAAAA BgEAAA8AAAAAAAAAAQAgAAAAOAAAAGRycy9kb3ducmV2LnhtbFBLAQIUABQAAAAIAIdO4kAyD7U5 0QEAAM4DAAAOAAAAAAAAAAEAIAAAADoBAABkcnMvZTJvRG9jLnhtbFBLBQYAAAAABgAGAFkBAAB9 BQ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济宁市人民政府办公室                  2024年1月</w:t>
      </w:r>
      <w:r>
        <w:rPr>
          <w:rFonts w:ascii="方正仿宋简体" w:hAnsi="文星仿宋" w:eastAsia="方正仿宋简体" w:cs="方正仿宋简体"/>
          <w:b/>
          <w:sz w:val="28"/>
          <w:szCs w:val="28"/>
          <w:lang w:bidi="ar"/>
        </w:rPr>
        <w:t>19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418" w:bottom="1191" w:left="1588" w:header="0" w:footer="1418" w:gutter="0"/>
      <w:pgNumType w:fmt="numberInDash"/>
      <w:cols w:space="425" w:num="1"/>
      <w:docGrid w:type="lines" w:linePitch="6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00000000000000000"/>
    <w:charset w:val="86"/>
    <w:family w:val="script"/>
    <w:pitch w:val="default"/>
    <w:sig w:usb0="A00002BF" w:usb1="184F6CFA" w:usb2="00000012" w:usb3="00000000" w:csb0="00040001" w:csb1="00000000"/>
  </w:font>
  <w:font w:name="文星标宋">
    <w:altName w:val="汉仪书宋二KW"/>
    <w:panose1 w:val="00000000000000000000"/>
    <w:charset w:val="86"/>
    <w:family w:val="auto"/>
    <w:pitch w:val="default"/>
    <w:sig w:usb0="00000000" w:usb1="00000000" w:usb2="00000010"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方正黑体_GBK">
    <w:altName w:val="黑体"/>
    <w:panose1 w:val="02000000000000000000"/>
    <w:charset w:val="86"/>
    <w:family w:val="script"/>
    <w:pitch w:val="default"/>
    <w:sig w:usb0="00000000" w:usb1="00000000" w:usb2="00082016" w:usb3="00000000" w:csb0="00040001" w:csb1="00000000"/>
  </w:font>
  <w:font w:name="方正仿宋_GBK">
    <w:altName w:val="仿宋"/>
    <w:panose1 w:val="02000000000000000000"/>
    <w:charset w:val="86"/>
    <w:family w:val="script"/>
    <w:pitch w:val="default"/>
    <w:sig w:usb0="00000000" w:usb1="00000000" w:usb2="00082016" w:usb3="00000000" w:csb0="00040001" w:csb1="00000000"/>
  </w:font>
  <w:font w:name="文星黑体">
    <w:altName w:val="黑体"/>
    <w:panose1 w:val="00000000000000000000"/>
    <w:charset w:val="86"/>
    <w:family w:val="auto"/>
    <w:pitch w:val="default"/>
    <w:sig w:usb0="00000000" w:usb1="00000000" w:usb2="00000010" w:usb3="00000000" w:csb0="00040001"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0710568"/>
    </w:sdtPr>
    <w:sdtEndPr>
      <w:rPr>
        <w:rFonts w:asciiTheme="minorEastAsia" w:hAnsiTheme="minorEastAsia"/>
        <w:b/>
        <w:sz w:val="28"/>
        <w:szCs w:val="28"/>
      </w:rPr>
    </w:sdtEndPr>
    <w:sdtContent>
      <w:p>
        <w:pPr>
          <w:pStyle w:val="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11 -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heme="minorEastAsia" w:hAnsiTheme="minorEastAsia"/>
        <w:b/>
        <w:sz w:val="28"/>
        <w:szCs w:val="28"/>
      </w:rPr>
    </w:sdtEndPr>
    <w:sdtContent>
      <w:p>
        <w:pPr>
          <w:pStyle w:val="3"/>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f4RxYvV+nmN3iaFfhnM+wA==" w:hash="B0UkgANC32F782KKhZvQDZBprldzWp7Ev89z9Q8uPuSca4SFG622T0z813hYwwcp0BP51zTrM9+rMvXkFZlx8A=="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FDE"/>
    <w:rsid w:val="002C2DD0"/>
    <w:rsid w:val="003C6005"/>
    <w:rsid w:val="003F5732"/>
    <w:rsid w:val="00407532"/>
    <w:rsid w:val="00477AA5"/>
    <w:rsid w:val="004E5E23"/>
    <w:rsid w:val="005648C1"/>
    <w:rsid w:val="00711F93"/>
    <w:rsid w:val="00774CDD"/>
    <w:rsid w:val="0085342D"/>
    <w:rsid w:val="008D72D7"/>
    <w:rsid w:val="00A13BCC"/>
    <w:rsid w:val="00A16746"/>
    <w:rsid w:val="00A813F9"/>
    <w:rsid w:val="00B73BF5"/>
    <w:rsid w:val="00B87D81"/>
    <w:rsid w:val="00BF34E3"/>
    <w:rsid w:val="00D15811"/>
    <w:rsid w:val="00D85FDE"/>
    <w:rsid w:val="00E06F7C"/>
    <w:rsid w:val="00E64922"/>
    <w:rsid w:val="00E703C6"/>
    <w:rsid w:val="00EB221F"/>
    <w:rsid w:val="1F74F9A9"/>
    <w:rsid w:val="279D7890"/>
    <w:rsid w:val="3BF7EA56"/>
    <w:rsid w:val="3FF0916E"/>
    <w:rsid w:val="4EADF6BB"/>
    <w:rsid w:val="736E53A9"/>
    <w:rsid w:val="74FFC3A8"/>
    <w:rsid w:val="7DD432CA"/>
    <w:rsid w:val="7E3785CF"/>
    <w:rsid w:val="7FFFED67"/>
    <w:rsid w:val="BBFC3B7F"/>
    <w:rsid w:val="BEBBD88C"/>
    <w:rsid w:val="D7FB04E5"/>
    <w:rsid w:val="EF8EC315"/>
    <w:rsid w:val="EFEF5BB1"/>
    <w:rsid w:val="F1FCF76E"/>
    <w:rsid w:val="F5F57515"/>
    <w:rsid w:val="FB7B4CC8"/>
    <w:rsid w:val="FBA70746"/>
    <w:rsid w:val="FBDF9ECB"/>
    <w:rsid w:val="FEF31F3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6"/>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kinsoku w:val="0"/>
      <w:autoSpaceDE w:val="0"/>
      <w:autoSpaceDN w:val="0"/>
      <w:adjustRightInd w:val="0"/>
      <w:snapToGrid w:val="0"/>
      <w:spacing w:before="100" w:beforeAutospacing="1" w:after="100" w:afterAutospacing="1"/>
      <w:jc w:val="left"/>
      <w:textAlignment w:val="baseline"/>
    </w:pPr>
    <w:rPr>
      <w:rFonts w:ascii="Arial" w:hAnsi="Arial" w:eastAsia="Arial"/>
      <w:snapToGrid w:val="0"/>
      <w:color w:val="000000"/>
      <w:sz w:val="24"/>
      <w:szCs w:val="21"/>
    </w:rPr>
  </w:style>
  <w:style w:type="character" w:styleId="8">
    <w:name w:val="FollowedHyperlink"/>
    <w:basedOn w:val="7"/>
    <w:semiHidden/>
    <w:unhideWhenUsed/>
    <w:qFormat/>
    <w:uiPriority w:val="99"/>
    <w:rPr>
      <w:color w:val="800080"/>
      <w:u w:val="single"/>
    </w:rPr>
  </w:style>
  <w:style w:type="character" w:styleId="9">
    <w:name w:val="Hyperlink"/>
    <w:basedOn w:val="7"/>
    <w:semiHidden/>
    <w:unhideWhenUsed/>
    <w:qFormat/>
    <w:uiPriority w:val="99"/>
    <w:rPr>
      <w:color w:val="0000FF"/>
      <w:u w:val="single"/>
    </w:rPr>
  </w:style>
  <w:style w:type="character" w:customStyle="1" w:styleId="10">
    <w:name w:val="页眉 Char1"/>
    <w:basedOn w:val="7"/>
    <w:qFormat/>
    <w:uiPriority w:val="0"/>
    <w:rPr>
      <w:rFonts w:hint="eastAsia" w:ascii="方正仿宋简体" w:hAnsi="方正仿宋简体" w:eastAsia="方正仿宋简体" w:cs="方正仿宋简体"/>
      <w:kern w:val="2"/>
      <w:sz w:val="18"/>
      <w:szCs w:val="18"/>
    </w:rPr>
  </w:style>
  <w:style w:type="character" w:customStyle="1" w:styleId="11">
    <w:name w:val="页脚 Char1"/>
    <w:basedOn w:val="7"/>
    <w:qFormat/>
    <w:uiPriority w:val="99"/>
    <w:rPr>
      <w:rFonts w:hint="eastAsia" w:ascii="方正仿宋简体" w:hAnsi="方正仿宋简体" w:eastAsia="方正仿宋简体" w:cs="方正仿宋简体"/>
      <w:kern w:val="2"/>
      <w:sz w:val="18"/>
      <w:szCs w:val="18"/>
    </w:rPr>
  </w:style>
  <w:style w:type="character" w:customStyle="1" w:styleId="12">
    <w:name w:val="页脚 Char"/>
    <w:basedOn w:val="7"/>
    <w:link w:val="3"/>
    <w:qFormat/>
    <w:uiPriority w:val="99"/>
    <w:rPr>
      <w:sz w:val="18"/>
      <w:szCs w:val="18"/>
    </w:rPr>
  </w:style>
  <w:style w:type="character" w:customStyle="1" w:styleId="13">
    <w:name w:val="页眉 Char2"/>
    <w:basedOn w:val="7"/>
    <w:link w:val="4"/>
    <w:qFormat/>
    <w:uiPriority w:val="99"/>
    <w:rPr>
      <w:sz w:val="18"/>
      <w:szCs w:val="18"/>
    </w:rPr>
  </w:style>
  <w:style w:type="paragraph" w:customStyle="1" w:styleId="14">
    <w:name w:val="xl67"/>
    <w:basedOn w:val="1"/>
    <w:qFormat/>
    <w:uiPriority w:val="0"/>
    <w:pPr>
      <w:widowControl/>
      <w:shd w:val="clear" w:color="000000" w:fill="FFFFFF"/>
      <w:spacing w:before="100" w:beforeAutospacing="1" w:after="100" w:afterAutospacing="1"/>
      <w:jc w:val="left"/>
      <w:textAlignment w:val="center"/>
    </w:pPr>
    <w:rPr>
      <w:rFonts w:ascii="宋体" w:hAnsi="宋体" w:cs="宋体"/>
      <w:sz w:val="24"/>
    </w:rPr>
  </w:style>
  <w:style w:type="paragraph" w:customStyle="1" w:styleId="15">
    <w:name w:val="xl6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16">
    <w:name w:val="xl69"/>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17">
    <w:name w:val="xl70"/>
    <w:basedOn w:val="1"/>
    <w:qFormat/>
    <w:uiPriority w:val="0"/>
    <w:pPr>
      <w:widowControl/>
      <w:shd w:val="clear" w:color="000000" w:fill="FFFFFF"/>
      <w:spacing w:before="100" w:beforeAutospacing="1" w:after="100" w:afterAutospacing="1"/>
      <w:jc w:val="left"/>
      <w:textAlignment w:val="center"/>
    </w:pPr>
    <w:rPr>
      <w:rFonts w:ascii="宋体" w:hAnsi="宋体" w:cs="宋体"/>
      <w:b/>
      <w:bCs/>
      <w:sz w:val="24"/>
    </w:rPr>
  </w:style>
  <w:style w:type="paragraph" w:customStyle="1" w:styleId="18">
    <w:name w:val="xl71"/>
    <w:basedOn w:val="1"/>
    <w:qFormat/>
    <w:uiPriority w:val="0"/>
    <w:pPr>
      <w:widowControl/>
      <w:shd w:val="clear" w:color="000000" w:fill="FFFFFF"/>
      <w:spacing w:before="100" w:beforeAutospacing="1" w:after="100" w:afterAutospacing="1"/>
      <w:jc w:val="left"/>
      <w:textAlignment w:val="center"/>
    </w:pPr>
    <w:rPr>
      <w:rFonts w:ascii="宋体" w:hAnsi="宋体" w:cs="宋体"/>
      <w:szCs w:val="20"/>
    </w:rPr>
  </w:style>
  <w:style w:type="paragraph" w:customStyle="1" w:styleId="19">
    <w:name w:val="xl72"/>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20">
    <w:name w:val="xl73"/>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color w:val="000000"/>
      <w:sz w:val="32"/>
      <w:szCs w:val="32"/>
    </w:rPr>
  </w:style>
  <w:style w:type="paragraph" w:customStyle="1" w:styleId="21">
    <w:name w:val="xl74"/>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2">
    <w:name w:val="xl75"/>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 w:val="24"/>
    </w:rPr>
  </w:style>
  <w:style w:type="paragraph" w:customStyle="1" w:styleId="23">
    <w:name w:val="xl76"/>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24">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25">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26">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sz w:val="24"/>
    </w:rPr>
  </w:style>
  <w:style w:type="paragraph" w:customStyle="1" w:styleId="2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2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2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3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sz w:val="24"/>
    </w:rPr>
  </w:style>
  <w:style w:type="paragraph" w:customStyle="1" w:styleId="3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3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3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color w:val="000000"/>
      <w:sz w:val="24"/>
    </w:rPr>
  </w:style>
  <w:style w:type="paragraph" w:customStyle="1" w:styleId="38">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4"/>
    </w:rPr>
  </w:style>
  <w:style w:type="paragraph" w:customStyle="1" w:styleId="3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4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41">
    <w:name w:val="xl94"/>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2">
    <w:name w:val="xl95"/>
    <w:basedOn w:val="1"/>
    <w:qFormat/>
    <w:uiPriority w:val="0"/>
    <w:pPr>
      <w:widowControl/>
      <w:shd w:val="clear" w:color="000000" w:fill="FFFFFF"/>
      <w:spacing w:before="100" w:beforeAutospacing="1" w:after="100" w:afterAutospacing="1"/>
      <w:jc w:val="left"/>
      <w:textAlignment w:val="center"/>
    </w:pPr>
    <w:rPr>
      <w:rFonts w:ascii="宋体" w:hAnsi="宋体" w:cs="宋体"/>
      <w:b/>
      <w:bCs/>
      <w:szCs w:val="20"/>
    </w:rPr>
  </w:style>
  <w:style w:type="paragraph" w:customStyle="1" w:styleId="43">
    <w:name w:val="xl96"/>
    <w:basedOn w:val="1"/>
    <w:qFormat/>
    <w:uiPriority w:val="0"/>
    <w:pPr>
      <w:widowControl/>
      <w:shd w:val="clear" w:color="000000" w:fill="FFFFFF"/>
      <w:spacing w:before="100" w:beforeAutospacing="1" w:after="100" w:afterAutospacing="1"/>
      <w:jc w:val="center"/>
      <w:textAlignment w:val="center"/>
    </w:pPr>
    <w:rPr>
      <w:rFonts w:ascii="宋体" w:hAnsi="宋体" w:cs="宋体"/>
      <w:b/>
      <w:bCs/>
      <w:szCs w:val="20"/>
    </w:rPr>
  </w:style>
  <w:style w:type="paragraph" w:customStyle="1" w:styleId="44">
    <w:name w:val="xl97"/>
    <w:basedOn w:val="1"/>
    <w:qFormat/>
    <w:uiPriority w:val="0"/>
    <w:pPr>
      <w:widowControl/>
      <w:shd w:val="clear" w:color="000000" w:fill="FFFFFF"/>
      <w:spacing w:before="100" w:beforeAutospacing="1" w:after="100" w:afterAutospacing="1"/>
      <w:jc w:val="center"/>
      <w:textAlignment w:val="center"/>
    </w:pPr>
    <w:rPr>
      <w:rFonts w:ascii="宋体" w:hAnsi="宋体" w:cs="宋体"/>
      <w:szCs w:val="20"/>
    </w:rPr>
  </w:style>
  <w:style w:type="paragraph" w:customStyle="1" w:styleId="45">
    <w:name w:val="xl98"/>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46">
    <w:name w:val="xl9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sz w:val="24"/>
    </w:rPr>
  </w:style>
  <w:style w:type="paragraph" w:customStyle="1" w:styleId="47">
    <w:name w:val="xl10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黑体" w:hAnsi="黑体" w:eastAsia="黑体" w:cs="宋体"/>
      <w:color w:val="000000"/>
      <w:sz w:val="22"/>
      <w:szCs w:val="22"/>
    </w:rPr>
  </w:style>
  <w:style w:type="paragraph" w:customStyle="1" w:styleId="48">
    <w:name w:val="xl101"/>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49">
    <w:name w:val="xl102"/>
    <w:basedOn w:val="1"/>
    <w:qFormat/>
    <w:uiPriority w:val="0"/>
    <w:pPr>
      <w:widowControl/>
      <w:shd w:val="clear" w:color="000000" w:fill="FFFFFF"/>
      <w:spacing w:before="100" w:beforeAutospacing="1" w:after="100" w:afterAutospacing="1"/>
      <w:jc w:val="center"/>
      <w:textAlignment w:val="center"/>
    </w:pPr>
    <w:rPr>
      <w:rFonts w:ascii="仿宋_GB2312" w:hAnsi="宋体" w:eastAsia="仿宋_GB2312" w:cs="宋体"/>
      <w:color w:val="000000"/>
      <w:szCs w:val="20"/>
    </w:rPr>
  </w:style>
  <w:style w:type="paragraph" w:customStyle="1" w:styleId="50">
    <w:name w:val="xl103"/>
    <w:basedOn w:val="1"/>
    <w:qFormat/>
    <w:uiPriority w:val="0"/>
    <w:pPr>
      <w:widowControl/>
      <w:shd w:val="clear" w:color="000000" w:fill="FFFFFF"/>
      <w:spacing w:before="100" w:beforeAutospacing="1" w:after="100" w:afterAutospacing="1"/>
      <w:jc w:val="center"/>
      <w:textAlignment w:val="center"/>
    </w:pPr>
    <w:rPr>
      <w:rFonts w:ascii="宋体" w:hAnsi="宋体" w:cs="宋体"/>
      <w:sz w:val="22"/>
      <w:szCs w:val="22"/>
    </w:rPr>
  </w:style>
  <w:style w:type="paragraph" w:customStyle="1" w:styleId="51">
    <w:name w:val="xl104"/>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Cs w:val="20"/>
    </w:rPr>
  </w:style>
  <w:style w:type="paragraph" w:customStyle="1" w:styleId="52">
    <w:name w:val="xl105"/>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3">
    <w:name w:val="xl106"/>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szCs w:val="20"/>
    </w:rPr>
  </w:style>
  <w:style w:type="paragraph" w:customStyle="1" w:styleId="54">
    <w:name w:val="xl107"/>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55">
    <w:name w:val="xl108"/>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color w:val="000000"/>
      <w:sz w:val="24"/>
    </w:rPr>
  </w:style>
  <w:style w:type="paragraph" w:customStyle="1" w:styleId="56">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szCs w:val="20"/>
    </w:rPr>
  </w:style>
  <w:style w:type="paragraph" w:customStyle="1" w:styleId="57">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sz w:val="24"/>
    </w:rPr>
  </w:style>
  <w:style w:type="paragraph" w:customStyle="1" w:styleId="58">
    <w:name w:val="xl11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szCs w:val="20"/>
    </w:rPr>
  </w:style>
  <w:style w:type="paragraph" w:customStyle="1" w:styleId="59">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4"/>
    </w:rPr>
  </w:style>
  <w:style w:type="paragraph" w:customStyle="1" w:styleId="60">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color w:val="000000"/>
      <w:sz w:val="22"/>
      <w:szCs w:val="22"/>
    </w:rPr>
  </w:style>
  <w:style w:type="paragraph" w:customStyle="1" w:styleId="61">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color w:val="000000"/>
      <w:sz w:val="24"/>
    </w:rPr>
  </w:style>
  <w:style w:type="paragraph" w:customStyle="1" w:styleId="62">
    <w:name w:val="xl115"/>
    <w:basedOn w:val="1"/>
    <w:qFormat/>
    <w:uiPriority w:val="0"/>
    <w:pPr>
      <w:widowControl/>
      <w:shd w:val="clear" w:color="000000" w:fill="FFFFFF"/>
      <w:spacing w:before="100" w:beforeAutospacing="1" w:after="100" w:afterAutospacing="1"/>
      <w:jc w:val="center"/>
      <w:textAlignment w:val="center"/>
    </w:pPr>
    <w:rPr>
      <w:rFonts w:ascii="仿宋" w:hAnsi="仿宋" w:eastAsia="仿宋" w:cs="宋体"/>
      <w:sz w:val="24"/>
    </w:rPr>
  </w:style>
  <w:style w:type="paragraph" w:customStyle="1" w:styleId="63">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szCs w:val="20"/>
    </w:rPr>
  </w:style>
  <w:style w:type="paragraph" w:customStyle="1" w:styleId="64">
    <w:name w:val="xl117"/>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sz w:val="36"/>
      <w:szCs w:val="36"/>
    </w:rPr>
  </w:style>
  <w:style w:type="paragraph" w:customStyle="1" w:styleId="65">
    <w:name w:val="xl118"/>
    <w:basedOn w:val="1"/>
    <w:qFormat/>
    <w:uiPriority w:val="0"/>
    <w:pPr>
      <w:widowControl/>
      <w:shd w:val="clear" w:color="000000" w:fill="FFFFFF"/>
      <w:spacing w:before="100" w:beforeAutospacing="1" w:after="100" w:afterAutospacing="1"/>
      <w:jc w:val="left"/>
      <w:textAlignment w:val="center"/>
    </w:pPr>
    <w:rPr>
      <w:rFonts w:ascii="黑体" w:hAnsi="黑体" w:eastAsia="黑体" w:cs="宋体"/>
      <w:b/>
      <w:bCs/>
      <w:color w:val="000000"/>
      <w:sz w:val="32"/>
      <w:szCs w:val="32"/>
    </w:rPr>
  </w:style>
  <w:style w:type="paragraph" w:customStyle="1" w:styleId="66">
    <w:name w:val="xl119"/>
    <w:basedOn w:val="1"/>
    <w:qFormat/>
    <w:uiPriority w:val="0"/>
    <w:pPr>
      <w:widowControl/>
      <w:shd w:val="clear" w:color="000000" w:fill="FFFFFF"/>
      <w:spacing w:before="100" w:beforeAutospacing="1" w:after="100" w:afterAutospacing="1"/>
      <w:jc w:val="center"/>
      <w:textAlignment w:val="center"/>
    </w:pPr>
    <w:rPr>
      <w:rFonts w:ascii="黑体" w:hAnsi="黑体" w:eastAsia="黑体" w:cs="宋体"/>
      <w:b/>
      <w:bCs/>
      <w:sz w:val="24"/>
    </w:rPr>
  </w:style>
  <w:style w:type="paragraph" w:customStyle="1" w:styleId="67">
    <w:name w:val="xl120"/>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44"/>
      <w:szCs w:val="44"/>
    </w:rPr>
  </w:style>
  <w:style w:type="paragraph" w:customStyle="1" w:styleId="68">
    <w:name w:val="xl121"/>
    <w:basedOn w:val="1"/>
    <w:qFormat/>
    <w:uiPriority w:val="0"/>
    <w:pPr>
      <w:widowControl/>
      <w:shd w:val="clear" w:color="000000" w:fill="FFFFFF"/>
      <w:spacing w:before="100" w:beforeAutospacing="1" w:after="100" w:afterAutospacing="1"/>
      <w:jc w:val="left"/>
      <w:textAlignment w:val="center"/>
    </w:pPr>
    <w:rPr>
      <w:rFonts w:ascii="方正小标宋简体" w:hAnsi="宋体" w:eastAsia="方正小标宋简体" w:cs="宋体"/>
      <w:b/>
      <w:bCs/>
      <w:sz w:val="24"/>
    </w:rPr>
  </w:style>
  <w:style w:type="paragraph" w:customStyle="1" w:styleId="69">
    <w:name w:val="xl122"/>
    <w:basedOn w:val="1"/>
    <w:qFormat/>
    <w:uiPriority w:val="0"/>
    <w:pPr>
      <w:widowControl/>
      <w:shd w:val="clear" w:color="000000" w:fill="FFFFFF"/>
      <w:spacing w:before="100" w:beforeAutospacing="1" w:after="100" w:afterAutospacing="1"/>
      <w:jc w:val="center"/>
      <w:textAlignment w:val="center"/>
    </w:pPr>
    <w:rPr>
      <w:rFonts w:ascii="方正小标宋简体" w:hAnsi="宋体" w:eastAsia="方正小标宋简体" w:cs="宋体"/>
      <w:b/>
      <w:bCs/>
      <w:sz w:val="36"/>
      <w:szCs w:val="36"/>
    </w:rPr>
  </w:style>
  <w:style w:type="paragraph" w:customStyle="1" w:styleId="70">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sz w:val="24"/>
    </w:rPr>
  </w:style>
  <w:style w:type="paragraph" w:customStyle="1" w:styleId="71">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72">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3">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74">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2"/>
      <w:szCs w:val="22"/>
    </w:rPr>
  </w:style>
  <w:style w:type="paragraph" w:customStyle="1" w:styleId="75">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sz w:val="24"/>
    </w:rPr>
  </w:style>
  <w:style w:type="paragraph" w:customStyle="1" w:styleId="76">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sz w:val="24"/>
    </w:rPr>
  </w:style>
  <w:style w:type="paragraph" w:customStyle="1" w:styleId="77">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78">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79">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0">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1">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仿宋_GB2312" w:hAnsi="宋体" w:eastAsia="仿宋_GB2312" w:cs="宋体"/>
      <w:b/>
      <w:bCs/>
      <w:color w:val="000000"/>
      <w:sz w:val="24"/>
    </w:rPr>
  </w:style>
  <w:style w:type="paragraph" w:customStyle="1" w:styleId="82">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黑体" w:hAnsi="黑体" w:eastAsia="黑体" w:cs="宋体"/>
      <w:b/>
      <w:bCs/>
      <w:color w:val="000000"/>
      <w:sz w:val="24"/>
    </w:rPr>
  </w:style>
  <w:style w:type="paragraph" w:customStyle="1" w:styleId="83">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黑体" w:hAnsi="黑体" w:eastAsia="黑体" w:cs="宋体"/>
      <w:b/>
      <w:bCs/>
      <w:color w:val="000000"/>
      <w:sz w:val="24"/>
    </w:rPr>
  </w:style>
  <w:style w:type="paragraph" w:customStyle="1" w:styleId="84">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仿宋_GB2312" w:hAnsi="宋体" w:eastAsia="仿宋_GB2312" w:cs="宋体"/>
      <w:b/>
      <w:bCs/>
      <w:color w:val="000000"/>
      <w:sz w:val="24"/>
    </w:rPr>
  </w:style>
  <w:style w:type="paragraph" w:customStyle="1" w:styleId="85">
    <w:name w:val="TableOfAuthoring"/>
    <w:basedOn w:val="1"/>
    <w:next w:val="1"/>
    <w:qFormat/>
    <w:uiPriority w:val="0"/>
    <w:pPr>
      <w:widowControl/>
      <w:kinsoku w:val="0"/>
      <w:autoSpaceDE w:val="0"/>
      <w:autoSpaceDN w:val="0"/>
      <w:adjustRightInd w:val="0"/>
      <w:snapToGrid w:val="0"/>
      <w:ind w:left="420" w:leftChars="200"/>
      <w:jc w:val="left"/>
      <w:textAlignment w:val="baseline"/>
    </w:pPr>
    <w:rPr>
      <w:rFonts w:ascii="Arial" w:hAnsi="Arial" w:eastAsia="Arial" w:cs="Arial"/>
      <w:snapToGrid w:val="0"/>
      <w:color w:val="000000"/>
      <w:sz w:val="21"/>
      <w:szCs w:val="21"/>
    </w:rPr>
  </w:style>
  <w:style w:type="character" w:customStyle="1" w:styleId="86">
    <w:name w:val="批注框文本 Char"/>
    <w:basedOn w:val="7"/>
    <w:link w:val="2"/>
    <w:qFormat/>
    <w:uiPriority w:val="0"/>
    <w:rPr>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4955</Words>
  <Characters>314</Characters>
  <Lines>2</Lines>
  <Paragraphs>10</Paragraphs>
  <TotalTime>8</TotalTime>
  <ScaleCrop>false</ScaleCrop>
  <LinksUpToDate>false</LinksUpToDate>
  <CharactersWithSpaces>5259</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2019-12-25T02:46:00Z</dcterms:created>
  <dc:creator>nizy</dc:creator>
  <cp:lastModifiedBy>user</cp:lastModifiedBy>
  <cp:lastPrinted>2024-01-24T09:44:00Z</cp:lastPrinted>
  <dcterms:modified xsi:type="dcterms:W3CDTF">2024-01-25T11:20:15Z</dcterms:modified>
  <dc:title>济宁市人民政府文件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