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济宁市信访局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2021年政府信息公开工作年度报告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本报告由济宁市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信访局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本报告所列数据的统计期限自2021年1月1日起至2021年12月31日止。本报告电子版可在“中国·济宁”政府门户网站（http://www.jining.gov.cn/）查阅或下载。如对本报告有疑问，请与济宁市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信访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局联系（地址：济宁市任城区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浣笔泉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路与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红星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路交叉口路西，联系电话：0537-2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348456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Style w:val="7"/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default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202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年，市信访局认真贯彻执行《中华人民共和国政府信息公开条例》，围绕全市政务公开工作总体要求，积极开展政府信息公开工作，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结合本局工作实际，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着力提升政务公开质量，加强政策宣传解读和回应关切，完善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政务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公开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工作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</w:rPr>
        <w:t>机制，不断加强政务信息公开规范化建设，确保行政权力在阳光下运行，切实发挥以公开促规范、促落实、促服务的重要作用。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60"/>
        <w:jc w:val="left"/>
        <w:textAlignment w:val="auto"/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Cs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仿宋" w:hAnsi="仿宋" w:eastAsia="仿宋" w:cs="仿宋"/>
          <w:bCs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一是把市政府网站政府信息公开平台作为信息公开的主渠道。及时调整政府信息公开指南，编制《政府信息主动公开目录》，围绕全局重点工作，以公开为原则，不公开为例外，不断丰富公开形式。2021年度，市信访局在市政府网站政府信息公开平台发布各类公开信息30余条。二是把拓宽公开载体打造信息公开亮点的突破口。充分利用“济宁信访”微信公众号、今日头条等政务新媒体，定期更新工作动态。2021年度通过微信公众号等渠道公开信息103条，目前点击量已超过0.77万人次。在政策宣传、互动交流、群众监督等方面发挥了巨大作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Cs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仿宋" w:hAnsi="仿宋" w:eastAsia="仿宋" w:cs="仿宋"/>
          <w:bCs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953000" cy="3673475"/>
            <wp:effectExtent l="4445" t="4445" r="14605" b="1778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规范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依申请公开办理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程序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，畅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通受理渠道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2021年共收到受理依申请公开0件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信访局不断加强政府信息管理工作，进一步提高政府信息公开规范化水平。一是加强组织领导。及时调整政务公开工作领导小组，由主要负责人任组长，明确一名副局长具体分管政府信息公开工作，各科室负责人为成员，局办公室统筹负责全局政府信息公开工作。二是提高思想认识。定期召开办公会议，安排部署政府信息公开有关工作，组织学习政府信息公开相关要求，统一思想认识，进一步提高信息公开工作的积极性、主动性、规范性。三是完善信息公开制度。建立健全主动公开、依申请公开、保密审查、重大决策公开等制度。严格按照《济宁市信访局政务公开工作实施方案》和《济宁市信访局主动公开基本目录》，坚持依法依规做好信息公开。本年度未制发规范性文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发挥济宁市政府政务公开平台政务公开主阵地作用，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及时、准确发布工作动态信息，本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年度发布政务公开信息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余条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运用新媒体发布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引领舆论，推动信访工作。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2021年我局微信公众号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今日头条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发布信息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103余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为拓宽政府信息公开渠道，积极筹划开设市信访局门户网站，广泛收集意见建议，不断丰富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完善门户网站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优化网站功能，现网站在试运行阶段。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依申请公开指南，及时回复社会关切，充分发挥社会监督作用。完善预先审查制度，准确把握政府信息公开的内容、范围、形式和时限等，避免出现信息公开“失控”现象。严格落实保密审查制度，按照“谁公开、谁负责”“先审查后公开”“一事一审”的原则，依法对拟公开的政府信息进行保密审查。积极参加省市等部门组织的政府信息公开工作宣传培训班。同时，组织针对全体人员的信息公开工作培训会1次，进一步提升政府信息公开水平，推进政务公开高效开展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956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44"/>
        <w:gridCol w:w="2317"/>
        <w:gridCol w:w="2417"/>
        <w:gridCol w:w="21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tblCellSpacing w:w="0" w:type="dxa"/>
          <w:jc w:val="center"/>
        </w:trPr>
        <w:tc>
          <w:tcPr>
            <w:tcW w:w="9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黑体" w:hAnsi="黑体" w:eastAsia="黑体" w:cs="黑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95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黑体" w:hAnsi="黑体" w:eastAsia="黑体" w:cs="黑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9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95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黑体" w:hAnsi="黑体" w:eastAsia="黑体" w:cs="黑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9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9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95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黑体" w:hAnsi="黑体" w:eastAsia="黑体" w:cs="黑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  <w:jc w:val="center"/>
        </w:trPr>
        <w:tc>
          <w:tcPr>
            <w:tcW w:w="2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9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4" w:type="dxa"/>
              <w:right w:w="3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6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5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1257"/>
        <w:gridCol w:w="2877"/>
        <w:gridCol w:w="817"/>
        <w:gridCol w:w="613"/>
        <w:gridCol w:w="613"/>
        <w:gridCol w:w="617"/>
        <w:gridCol w:w="613"/>
        <w:gridCol w:w="618"/>
        <w:gridCol w:w="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168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等于第三项加第四项之和）</w:t>
            </w:r>
          </w:p>
        </w:tc>
        <w:tc>
          <w:tcPr>
            <w:tcW w:w="439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168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自然人</w:t>
            </w:r>
          </w:p>
        </w:tc>
        <w:tc>
          <w:tcPr>
            <w:tcW w:w="307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法人或其他组织</w:t>
            </w:r>
          </w:p>
        </w:tc>
        <w:tc>
          <w:tcPr>
            <w:tcW w:w="50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5168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6" w:leftChars="-51" w:right="-107" w:rightChars="-51" w:hanging="1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商业企业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 w:right="-107" w:rightChars="-51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科研机构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 w:right="-107" w:rightChars="-51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社会公益组织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6" w:leftChars="-51" w:right="-107" w:rightChars="-51" w:hanging="1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法律服务机构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134" w:rightChars="-64"/>
              <w:jc w:val="center"/>
              <w:textAlignment w:val="auto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其他</w:t>
            </w:r>
          </w:p>
        </w:tc>
        <w:tc>
          <w:tcPr>
            <w:tcW w:w="50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1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1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三、本年度办理结果</w:t>
            </w:r>
          </w:p>
        </w:tc>
        <w:tc>
          <w:tcPr>
            <w:tcW w:w="413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（一）予以公开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413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）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（三）不予公开</w:t>
            </w: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1.属于国家秘密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3.危及“三安全一稳定”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5.属于三类内部事务信息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7.属于行政执法案卷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（四）无法提供</w:t>
            </w: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1.本机关不掌握相关政府信息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eastAsia" w:ascii="方正仿宋简体" w:hAnsi="黑体" w:eastAsia="方正仿宋简体"/>
                <w:b/>
                <w:spacing w:val="-8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7" w:leftChars="-51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（五）不予处理</w:t>
            </w: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2.重复申请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3.要求提供公开出版物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4.</w:t>
            </w:r>
            <w:r>
              <w:rPr>
                <w:rFonts w:hint="eastAsia" w:ascii="方正仿宋简体" w:hAnsi="黑体" w:eastAsia="方正仿宋简体"/>
                <w:b/>
                <w:spacing w:val="-8"/>
                <w:sz w:val="21"/>
                <w:szCs w:val="21"/>
              </w:rPr>
              <w:t>无正当理由大量反复申请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（六）其他处理</w:t>
            </w:r>
          </w:p>
        </w:tc>
        <w:tc>
          <w:tcPr>
            <w:tcW w:w="28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楷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楷体" w:eastAsia="方正仿宋简体"/>
                <w:b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楷体" w:eastAsia="方正仿宋简体"/>
                <w:b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楷体" w:eastAsia="方正仿宋简体"/>
                <w:b/>
                <w:sz w:val="21"/>
                <w:szCs w:val="21"/>
              </w:rPr>
              <w:t>3.其他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3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413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（七）总计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1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四、结转下年度继续办理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659"/>
        <w:gridCol w:w="659"/>
        <w:gridCol w:w="659"/>
        <w:gridCol w:w="528"/>
        <w:gridCol w:w="599"/>
        <w:gridCol w:w="661"/>
        <w:gridCol w:w="661"/>
        <w:gridCol w:w="661"/>
        <w:gridCol w:w="636"/>
        <w:gridCol w:w="661"/>
        <w:gridCol w:w="661"/>
        <w:gridCol w:w="661"/>
        <w:gridCol w:w="662"/>
        <w:gridCol w:w="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6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行政复议</w:t>
            </w:r>
          </w:p>
        </w:tc>
        <w:tc>
          <w:tcPr>
            <w:tcW w:w="6475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65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49" w:leftChars="-71" w:right="-170" w:rightChars="-81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49" w:leftChars="-71" w:right="-170" w:rightChars="-81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维持</w:t>
            </w:r>
          </w:p>
        </w:tc>
        <w:tc>
          <w:tcPr>
            <w:tcW w:w="65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43" w:leftChars="-21" w:right="-132" w:rightChars="-63" w:hanging="1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结果纠正</w:t>
            </w:r>
          </w:p>
        </w:tc>
        <w:tc>
          <w:tcPr>
            <w:tcW w:w="65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82" w:leftChars="-39" w:right="-97" w:rightChars="-46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其他结果</w:t>
            </w:r>
          </w:p>
        </w:tc>
        <w:tc>
          <w:tcPr>
            <w:tcW w:w="65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18" w:leftChars="-56" w:right="-118" w:rightChars="-56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18" w:leftChars="-56" w:right="-118" w:rightChars="-56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审结</w:t>
            </w:r>
          </w:p>
        </w:tc>
        <w:tc>
          <w:tcPr>
            <w:tcW w:w="52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计</w:t>
            </w:r>
          </w:p>
        </w:tc>
        <w:tc>
          <w:tcPr>
            <w:tcW w:w="321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未经复议直接起诉</w:t>
            </w:r>
          </w:p>
        </w:tc>
        <w:tc>
          <w:tcPr>
            <w:tcW w:w="3257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bookmarkStart w:id="9" w:name="_Hlk67039688"/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复议后起诉</w:t>
            </w:r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65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65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65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65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52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05" w:leftChars="-50" w:right="-126" w:rightChars="-60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结果维持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86" w:leftChars="-41" w:right="-88" w:rightChars="-42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结果纠正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26" w:leftChars="-60" w:right="-136" w:rightChars="-65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26" w:leftChars="-60" w:right="-136" w:rightChars="-65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64" w:leftChars="-78" w:right="-153" w:rightChars="-73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64" w:leftChars="-78" w:right="-153" w:rightChars="-73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审结</w:t>
            </w:r>
          </w:p>
        </w:tc>
        <w:tc>
          <w:tcPr>
            <w:tcW w:w="6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总计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99" w:leftChars="-47" w:right="-78" w:rightChars="-37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结果维持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36" w:leftChars="-65" w:right="-124" w:rightChars="-59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36" w:leftChars="-65" w:right="-124" w:rightChars="-59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纠正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73" w:leftChars="-83" w:right="-134" w:rightChars="-64" w:hanging="1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73" w:leftChars="-83" w:right="-134" w:rightChars="-64" w:hanging="1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7" w:leftChars="-33" w:right="-105" w:rightChars="-50" w:hanging="2" w:hangingChars="1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尚未审结</w:t>
            </w:r>
          </w:p>
        </w:tc>
        <w:tc>
          <w:tcPr>
            <w:tcW w:w="6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6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在政府信息公开工作方面，市信访局在市委、市政府与相关职能部门的指导下做了相关工作，积累了一些经验，取得了一定的成绩，但与当前新形势新任务相比，与公众的需求相比，政府信息公开工作还存在一些不足，公开的内容有待进一步丰富，公开的质量和时效需要不断加强。202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年，市信访局将重点做好以下工作：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一是做好对信访法规、制度和信访工作制度改革的宣传工作。完善信息发布制度，健全突发信访事件应急报道机制，对一些敏感热点问题主动发声，主动回应社会关切，主动接受群众监督。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二是进一步畅通信息公开通道。通过网络、新媒体、社会宣传活动等多种方式加大公开力度，拓宽公开渠道，丰富公开形式。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市信访局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落实上级2021年政务公开工作要点情况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。市信访局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认真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落实省、市关于政务公开工作的各项要求，根据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《济宁市人民政府办公室关于印发</w:t>
      </w:r>
      <w:r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2021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年济宁市政务公开工作任务分解表的通知》（济政办字〔</w:t>
      </w:r>
      <w:r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2021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〕</w:t>
      </w:r>
      <w:r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18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号）扎实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有序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推进政务公开工作，制定了《济宁市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信访局</w:t>
      </w:r>
      <w:r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2021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年政务公开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实施方案》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《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济宁市信访局2021年政务公开业务培训计划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》，更新</w:t>
      </w:r>
      <w:r>
        <w:rPr>
          <w:rFonts w:hint="default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2021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年济宁市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信访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局主动公开</w:t>
      </w:r>
      <w:bookmarkStart w:id="10" w:name="_GoBack"/>
      <w:bookmarkEnd w:id="10"/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清单目录，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及时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做好法规文件、组织机构、会议公开、决策公开、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财政预决算、其他法定信息等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事项的全面公开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全面提升政务公开标准化规范化水平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</w:rPr>
        <w:t>全面有序推进政务公开工作。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本年度未收到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信息公开申请事项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收取信息处理费情况。 </w:t>
      </w: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32"/>
          <w:szCs w:val="32"/>
        </w:rPr>
        <w:t> 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（三）本年度未收到人大代表建议和政协提案。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45358"/>
    <w:rsid w:val="0476712E"/>
    <w:rsid w:val="05077793"/>
    <w:rsid w:val="071013ED"/>
    <w:rsid w:val="0A0922EC"/>
    <w:rsid w:val="0E0A21BA"/>
    <w:rsid w:val="0F73C63C"/>
    <w:rsid w:val="119C2EDE"/>
    <w:rsid w:val="11CC5D8B"/>
    <w:rsid w:val="17FE9D34"/>
    <w:rsid w:val="1FBBB8FB"/>
    <w:rsid w:val="231849EB"/>
    <w:rsid w:val="262A729B"/>
    <w:rsid w:val="26452EC2"/>
    <w:rsid w:val="26DA598B"/>
    <w:rsid w:val="27FF6914"/>
    <w:rsid w:val="2BD492BD"/>
    <w:rsid w:val="2CED1825"/>
    <w:rsid w:val="2DB4DEED"/>
    <w:rsid w:val="2E804B92"/>
    <w:rsid w:val="33AD67A3"/>
    <w:rsid w:val="34CD4442"/>
    <w:rsid w:val="35DFECC6"/>
    <w:rsid w:val="361804D9"/>
    <w:rsid w:val="3EFC7F86"/>
    <w:rsid w:val="40A63817"/>
    <w:rsid w:val="46490E04"/>
    <w:rsid w:val="47BF99AA"/>
    <w:rsid w:val="4AFF2A13"/>
    <w:rsid w:val="4BFFDDB5"/>
    <w:rsid w:val="4DA62150"/>
    <w:rsid w:val="4FE5E8A5"/>
    <w:rsid w:val="4FF4154D"/>
    <w:rsid w:val="590F5E2B"/>
    <w:rsid w:val="5B3376E9"/>
    <w:rsid w:val="5BCEC8B8"/>
    <w:rsid w:val="5BFDCF64"/>
    <w:rsid w:val="5D3F4AAA"/>
    <w:rsid w:val="5ED479CE"/>
    <w:rsid w:val="5EEFBEB9"/>
    <w:rsid w:val="5F3ECEA4"/>
    <w:rsid w:val="61AE31F1"/>
    <w:rsid w:val="665575D7"/>
    <w:rsid w:val="67A008C4"/>
    <w:rsid w:val="68C600DA"/>
    <w:rsid w:val="6A7521FE"/>
    <w:rsid w:val="6B6206CF"/>
    <w:rsid w:val="6BBF4A71"/>
    <w:rsid w:val="6CE619A2"/>
    <w:rsid w:val="6D315D25"/>
    <w:rsid w:val="7447B4AD"/>
    <w:rsid w:val="74B24EF8"/>
    <w:rsid w:val="755C3A24"/>
    <w:rsid w:val="757FBE62"/>
    <w:rsid w:val="764742FB"/>
    <w:rsid w:val="76BE2C96"/>
    <w:rsid w:val="76ED68A2"/>
    <w:rsid w:val="777C1BBB"/>
    <w:rsid w:val="77996BE2"/>
    <w:rsid w:val="78841461"/>
    <w:rsid w:val="7FAEB7A8"/>
    <w:rsid w:val="7FB973AB"/>
    <w:rsid w:val="7FFF9710"/>
    <w:rsid w:val="953FCC4D"/>
    <w:rsid w:val="C5DF5B17"/>
    <w:rsid w:val="CBDBE8BC"/>
    <w:rsid w:val="CFF4C971"/>
    <w:rsid w:val="D6A313D3"/>
    <w:rsid w:val="DD7F8153"/>
    <w:rsid w:val="E3F5C44D"/>
    <w:rsid w:val="EC1738B2"/>
    <w:rsid w:val="EDF972F5"/>
    <w:rsid w:val="EF3E1B38"/>
    <w:rsid w:val="EFE73308"/>
    <w:rsid w:val="F5FEC254"/>
    <w:rsid w:val="F77F9666"/>
    <w:rsid w:val="F7BFE468"/>
    <w:rsid w:val="FCBCA8A5"/>
    <w:rsid w:val="FDFE0229"/>
    <w:rsid w:val="FECBBBB9"/>
    <w:rsid w:val="FEF717E3"/>
    <w:rsid w:val="FF2CFD25"/>
    <w:rsid w:val="FF6B3E22"/>
    <w:rsid w:val="FFA773DA"/>
    <w:rsid w:val="FFD7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0000"/>
      <w:sz w:val="12"/>
      <w:szCs w:val="12"/>
      <w:u w:val="none"/>
    </w:rPr>
  </w:style>
  <w:style w:type="character" w:styleId="9">
    <w:name w:val="Hyperlink"/>
    <w:basedOn w:val="6"/>
    <w:qFormat/>
    <w:uiPriority w:val="0"/>
    <w:rPr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主动公开情况</a:t>
            </a:r>
          </a:p>
        </c:rich>
      </c:tx>
      <c:layout/>
      <c:overlay val="false"/>
      <c:spPr>
        <a:noFill/>
        <a:ln>
          <a:noFill/>
        </a:ln>
        <a:effectLst/>
      </c:sp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信息主动公开情况</c:v>
                </c:pt>
              </c:strCache>
            </c:strRef>
          </c:tx>
          <c:spPr/>
          <c:explosion val="0"/>
          <c:dPt>
            <c:idx val="0"/>
            <c:bubble3D val="false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false"/>
            <c:explosion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false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false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/>
              <c:dLblPos val="ctr"/>
              <c:showLegendKey val="false"/>
              <c:showVal val="tru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false"/>
            <c:showVal val="false"/>
            <c:showCatName val="false"/>
            <c:showSerName val="false"/>
            <c:showPercent val="true"/>
            <c:showBubbleSize val="false"/>
            <c:showLeaderLines val="tru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政府网站</c:v>
                </c:pt>
                <c:pt idx="1">
                  <c:v>微信公众号</c:v>
                </c:pt>
                <c:pt idx="2">
                  <c:v>今日头条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30</c:v>
                </c:pt>
                <c:pt idx="1">
                  <c:v>56</c:v>
                </c:pt>
                <c:pt idx="2">
                  <c:v>47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true"/>
          <c:showBubbleSize val="false"/>
          <c:showLeaderLines val="true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true"/>
      </c:legendEntry>
      <c:layout/>
      <c:overlay val="false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gradFill flip="none" rotWithShape="true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true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false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false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2022-01-17T13:15:00Z</dcterms:created>
  <dc:creator>huawei</dc:creator>
  <cp:lastModifiedBy>yao</cp:lastModifiedBy>
  <cp:lastPrinted>2022-01-18T09:01:00Z</cp:lastPrinted>
  <dcterms:modified xsi:type="dcterms:W3CDTF">2022-08-09T11:25:36Z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