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济宁市信访局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2021年政府信息公开工作年度报告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本报告由济宁市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信访局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本报告所列数据的统计期限自2021年1月1日起至2021年12月31日止。本报告电子版可在“中国·济宁”政府门户网站（http://www.jining.gov.cn/）查阅或下载。如对本报告有疑问，请与济宁市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信访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局联系（地址：济宁市任城区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浣笔泉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路与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红星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路交叉口路西，联系电话：0537-2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348456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Style w:val="7"/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202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年，市信访局认真贯彻执行《中华人民共和国政府信息公开条例》，围绕全市政务公开工作总体要求，积极开展政府信息公开工作，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结合本局工作实际，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着力提升政务公开质量，加强政策宣传解读和回应关切，完善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政务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公开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工作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机制，不断加强政务信息公开规范化建设，确保行政权力在阳光下运行，切实发挥以公开促规范、促落实、促服务的重要作用。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60"/>
        <w:jc w:val="left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一是把市政府网站政府信息公开平台作为信息公开的主渠道。及时调整政府信息公开指南，编制《政府信息主动公开目录》，围绕全局重点工作，以公开为原则，不公开为例外，不断丰富公开形式。2021年度，市信访局在市政府网站政府信息公开平台发布各类公开信息30余条。二是把拓宽公开载体打造信息公开亮点的突破口。充分利用“济宁信访”微信公众号、今日头条等政务新媒体，定期更新工作动态。2021年度通过微信公众号等渠道公开信息103条，目前点击量已超过0.77万人次。在政策宣传、互动交流、群众监督等方面发挥了巨大作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4953000" cy="3673475"/>
            <wp:effectExtent l="4445" t="4445" r="14605" b="177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规范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依申请公开办理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程序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，畅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通受理渠道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2021年共收到受理依申请公开0件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信访局不断加强政府信息管理工作，进一步提高政府信息公开规范化水平。一是加强组织领导。及时调整政务公开工作领导小组，由主要负责人任组长，明确一名副局长具体分管政府信息公开工作，各科室负责人为成员，局办公室统筹负责全局政府信息公开工作。二是提高思想认识。定期召开办公会议，安排部署政府信息公开有关工作，组织学习政府信息公开相关要求，统一思想认识，进一步提高信息公开工作的积极性、主动性、规范性。三是完善信息公开制度。建立健全主动公开、依申请公开、保密审查、重大决策公开等制度。严格按照《济宁市信访局政务公开工作实施方案》和《济宁市信访局主动公开基本目录》，坚持依法依规做好信息公开。本年度未制发规范性文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发挥济宁市政府政务公开平台政务公开主阵地作用，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及时、准确发布工作动态信息，本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年度发布政务公开信息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余条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运用新媒体发布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引领舆论，推动信访工作。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2021年我局微信公众号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今日头条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发布信息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103余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为拓宽政府信息公开渠道，积极筹划开设市信访局门户网站，广泛收集意见建议，不断丰富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完善门户网站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优化网站功能，现网站在试运行阶段。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依申请公开指南，及时回复社会关切，充分发挥社会监督作用。完善预先审查制度，准确把握政府信息公开的内容、范围、形式和时限等，避免出现信息公开“失控”现象。严格落实保密审查制度，按照“谁公开、谁负责”“先审查后公开”“一事一审”的原则，依法对拟公开的政府信息进行保密审查。积极参加省市等部门组织的政府信息公开工作宣传培训班。同时，组织针对全体人员的信息公开工作培训会1次，进一步提升政府信息公开水平，推进政务公开高效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56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2317"/>
        <w:gridCol w:w="2417"/>
        <w:gridCol w:w="21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  <w:jc w:val="center"/>
        </w:trPr>
        <w:tc>
          <w:tcPr>
            <w:tcW w:w="9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9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9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9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9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9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9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9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6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257"/>
        <w:gridCol w:w="2877"/>
        <w:gridCol w:w="817"/>
        <w:gridCol w:w="613"/>
        <w:gridCol w:w="613"/>
        <w:gridCol w:w="617"/>
        <w:gridCol w:w="613"/>
        <w:gridCol w:w="618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168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等于第三项加第四项之和）</w:t>
            </w:r>
          </w:p>
        </w:tc>
        <w:tc>
          <w:tcPr>
            <w:tcW w:w="4391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168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自然人</w:t>
            </w:r>
          </w:p>
        </w:tc>
        <w:tc>
          <w:tcPr>
            <w:tcW w:w="307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法人或其他组织</w:t>
            </w:r>
          </w:p>
        </w:tc>
        <w:tc>
          <w:tcPr>
            <w:tcW w:w="50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168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6" w:leftChars="-51" w:right="-107" w:rightChars="-51" w:hanging="1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商业企业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 w:right="-107" w:rightChars="-51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科研机构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 w:right="-107" w:rightChars="-51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社会公益组织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6" w:leftChars="-51" w:right="-107" w:rightChars="-51" w:hanging="1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法律服务机构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3" w:leftChars="-30" w:right="-134" w:rightChars="-64"/>
              <w:jc w:val="center"/>
              <w:textAlignment w:val="auto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其他</w:t>
            </w:r>
          </w:p>
        </w:tc>
        <w:tc>
          <w:tcPr>
            <w:tcW w:w="50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16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一、</w:t>
            </w:r>
            <w:bookmarkStart w:id="0" w:name="_Hlk66973412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16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三、本年度办理结果</w:t>
            </w:r>
          </w:p>
        </w:tc>
        <w:tc>
          <w:tcPr>
            <w:tcW w:w="413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（一）予以公开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413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）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（三）不予公开</w:t>
            </w: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1.属于国家秘密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2.</w:t>
            </w:r>
            <w:bookmarkStart w:id="2" w:name="_Hlk66974104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其他法律行政法规禁止公开</w:t>
            </w:r>
            <w:bookmarkEnd w:id="2"/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3.危及“三安全一稳定”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4.</w:t>
            </w:r>
            <w:bookmarkStart w:id="3" w:name="_Hlk66974290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保护第三方合法权益</w:t>
            </w:r>
            <w:bookmarkEnd w:id="3"/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5.属于三类内部事务信息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6.</w:t>
            </w:r>
            <w:bookmarkStart w:id="4" w:name="_Hlk66974555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属于四类过程性信息</w:t>
            </w:r>
            <w:bookmarkEnd w:id="4"/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7.属于行政执法案卷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8.</w:t>
            </w:r>
            <w:bookmarkStart w:id="5" w:name="_Hlk66975211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属于行政查询事项</w:t>
            </w:r>
            <w:bookmarkEnd w:id="5"/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（四）无法提供</w:t>
            </w: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1.本机关不掌握相关政府信息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2.</w:t>
            </w:r>
            <w:bookmarkStart w:id="6" w:name="_Hlk66975392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没有现成信息需要另行制作</w:t>
            </w:r>
            <w:bookmarkEnd w:id="6"/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3.</w:t>
            </w:r>
            <w:bookmarkStart w:id="7" w:name="_Hlk66975466"/>
            <w:r>
              <w:rPr>
                <w:rFonts w:hint="eastAsia" w:ascii="方正仿宋简体" w:hAnsi="黑体" w:eastAsia="方正仿宋简体"/>
                <w:b/>
                <w:spacing w:val="-8"/>
                <w:sz w:val="21"/>
                <w:szCs w:val="21"/>
              </w:rPr>
              <w:t>补正后申请内容仍不明确</w:t>
            </w:r>
            <w:bookmarkEnd w:id="7"/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（五）不予处理</w:t>
            </w: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1.</w:t>
            </w:r>
            <w:bookmarkStart w:id="8" w:name="_Hlk66975537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信访举报投诉类申请</w:t>
            </w:r>
            <w:bookmarkEnd w:id="8"/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2.重复申请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3.要求提供公开出版物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4.</w:t>
            </w:r>
            <w:r>
              <w:rPr>
                <w:rFonts w:hint="eastAsia" w:ascii="方正仿宋简体" w:hAnsi="黑体" w:eastAsia="方正仿宋简体"/>
                <w:b/>
                <w:spacing w:val="-8"/>
                <w:sz w:val="21"/>
                <w:szCs w:val="21"/>
              </w:rPr>
              <w:t>无正当理由大量反复申请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（六）其他处理</w:t>
            </w: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楷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楷体" w:eastAsia="方正仿宋简体"/>
                <w:b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楷体" w:eastAsia="方正仿宋简体"/>
                <w:b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2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楷体" w:eastAsia="方正仿宋简体"/>
                <w:b/>
                <w:sz w:val="21"/>
                <w:szCs w:val="21"/>
              </w:rPr>
              <w:t>3.其他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413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（七）总计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16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四、结转下年度继续办理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659"/>
        <w:gridCol w:w="659"/>
        <w:gridCol w:w="528"/>
        <w:gridCol w:w="599"/>
        <w:gridCol w:w="661"/>
        <w:gridCol w:w="661"/>
        <w:gridCol w:w="661"/>
        <w:gridCol w:w="636"/>
        <w:gridCol w:w="661"/>
        <w:gridCol w:w="661"/>
        <w:gridCol w:w="661"/>
        <w:gridCol w:w="662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6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行政复议</w:t>
            </w:r>
          </w:p>
        </w:tc>
        <w:tc>
          <w:tcPr>
            <w:tcW w:w="6475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5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49" w:leftChars="-71" w:right="-170" w:rightChars="-81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49" w:leftChars="-71" w:right="-170" w:rightChars="-81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维持</w:t>
            </w:r>
          </w:p>
        </w:tc>
        <w:tc>
          <w:tcPr>
            <w:tcW w:w="65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43" w:leftChars="-21" w:right="-132" w:rightChars="-63" w:hanging="1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结果纠正</w:t>
            </w:r>
          </w:p>
        </w:tc>
        <w:tc>
          <w:tcPr>
            <w:tcW w:w="65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82" w:leftChars="-39" w:right="-97" w:rightChars="-46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其他结果</w:t>
            </w:r>
          </w:p>
        </w:tc>
        <w:tc>
          <w:tcPr>
            <w:tcW w:w="65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18" w:leftChars="-56" w:right="-118" w:rightChars="-56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18" w:leftChars="-56" w:right="-118" w:rightChars="-56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审结</w:t>
            </w:r>
          </w:p>
        </w:tc>
        <w:tc>
          <w:tcPr>
            <w:tcW w:w="52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计</w:t>
            </w:r>
          </w:p>
        </w:tc>
        <w:tc>
          <w:tcPr>
            <w:tcW w:w="321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bookmarkStart w:id="9" w:name="_Hlk67039688"/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复议后起诉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65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65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65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65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5" w:leftChars="-50" w:right="-126" w:rightChars="-60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结果维持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86" w:leftChars="-41" w:right="-88" w:rightChars="-42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结果纠正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26" w:leftChars="-60" w:right="-136" w:rightChars="-65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26" w:leftChars="-60" w:right="-136" w:rightChars="-65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64" w:leftChars="-78" w:right="-153" w:rightChars="-73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64" w:leftChars="-78" w:right="-153" w:rightChars="-73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审结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总计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99" w:leftChars="-47" w:right="-78" w:rightChars="-37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结果维持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36" w:leftChars="-65" w:right="-124" w:rightChars="-59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36" w:leftChars="-65" w:right="-124" w:rightChars="-59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纠正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73" w:leftChars="-83" w:right="-134" w:rightChars="-64" w:hanging="1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73" w:leftChars="-83" w:right="-134" w:rightChars="-64" w:hanging="1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</w:t>
            </w:r>
          </w:p>
        </w:tc>
        <w:tc>
          <w:tcPr>
            <w:tcW w:w="66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7" w:leftChars="-33" w:right="-105" w:rightChars="-50" w:hanging="2" w:hangingChars="1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尚未审结</w:t>
            </w:r>
          </w:p>
        </w:tc>
        <w:tc>
          <w:tcPr>
            <w:tcW w:w="6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政府信息公开工作方面，市信访局在市委、市政府与相关职能部门的指导下做了相关工作，积累了一些经验，取得了一定的成绩，但与当前新形势新任务相比，与公众的需求相比，政府信息公开工作还存在一些不足，公开的内容有待进一步丰富，公开的质量和时效需要不断加强。202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年，市信访局将重点做好以下工作：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一是做好对信访法规、制度和信访工作制度改革的宣传工作。完善信息发布制度，健全突发信访事件应急报道机制，对一些敏感热点问题主动发声，主动回应社会关切，主动接受群众监督。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二是进一步畅通信息公开通道。通过网络、新媒体、社会宣传活动等多种方式加大公开力度，拓宽公开渠道，丰富公开形式。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市信访局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落实上级2021年政务公开工作要点情况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。市信访局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认真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落实省、市关于政务公开工作的各项要求，根据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《济宁市人民政府办公室关于印发</w:t>
      </w:r>
      <w:r>
        <w:rPr>
          <w:rFonts w:hint="default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2021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年济宁市政务公开工作任务分解表的通知》（济政办字〔</w:t>
      </w:r>
      <w:r>
        <w:rPr>
          <w:rFonts w:hint="default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2021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〕</w:t>
      </w:r>
      <w:r>
        <w:rPr>
          <w:rFonts w:hint="default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18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号）扎实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有序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推进政务公开工作，制定了《济宁市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信访局</w:t>
      </w:r>
      <w:r>
        <w:rPr>
          <w:rFonts w:hint="default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2021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年政务公开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实施方案》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济宁市信访局2021年政务公开业务培训计划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》，更新</w:t>
      </w:r>
      <w:r>
        <w:rPr>
          <w:rFonts w:hint="default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2021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年济宁市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信访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局主动公开</w:t>
      </w:r>
      <w:bookmarkStart w:id="10" w:name="_GoBack"/>
      <w:bookmarkEnd w:id="10"/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清单目录，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做好法规文件、组织机构、会议公开、决策公开、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财政预决算、其他法定信息等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事项的全面公开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全面提升政务公开标准化规范化水平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  <w:t>全面有序推进政务公开工作。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本年度未收到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信息公开申请事项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收取信息处理费情况。 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</w:rPr>
        <w:t>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（三）本年度未收到人大代表建议和政协提案。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45358"/>
    <w:rsid w:val="0476712E"/>
    <w:rsid w:val="05077793"/>
    <w:rsid w:val="071013ED"/>
    <w:rsid w:val="0A0922EC"/>
    <w:rsid w:val="0E0A21BA"/>
    <w:rsid w:val="0F73C63C"/>
    <w:rsid w:val="119C2EDE"/>
    <w:rsid w:val="11CC5D8B"/>
    <w:rsid w:val="17FE9D34"/>
    <w:rsid w:val="1FBBB8FB"/>
    <w:rsid w:val="231849EB"/>
    <w:rsid w:val="262A729B"/>
    <w:rsid w:val="26452EC2"/>
    <w:rsid w:val="26DA598B"/>
    <w:rsid w:val="27FF6914"/>
    <w:rsid w:val="2BD492BD"/>
    <w:rsid w:val="2CED1825"/>
    <w:rsid w:val="2DB4DEED"/>
    <w:rsid w:val="2E804B92"/>
    <w:rsid w:val="33AD67A3"/>
    <w:rsid w:val="34CD4442"/>
    <w:rsid w:val="35DFECC6"/>
    <w:rsid w:val="361804D9"/>
    <w:rsid w:val="3EFC7F86"/>
    <w:rsid w:val="40A63817"/>
    <w:rsid w:val="46490E04"/>
    <w:rsid w:val="47BF99AA"/>
    <w:rsid w:val="4AFF2A13"/>
    <w:rsid w:val="4BFFDDB5"/>
    <w:rsid w:val="4DA62150"/>
    <w:rsid w:val="4FE5E8A5"/>
    <w:rsid w:val="4FF4154D"/>
    <w:rsid w:val="590F5E2B"/>
    <w:rsid w:val="5B3376E9"/>
    <w:rsid w:val="5BCEC8B8"/>
    <w:rsid w:val="5BFDCF64"/>
    <w:rsid w:val="5D3F4AAA"/>
    <w:rsid w:val="5ED479CE"/>
    <w:rsid w:val="5EEFBEB9"/>
    <w:rsid w:val="5F3ECEA4"/>
    <w:rsid w:val="61AE31F1"/>
    <w:rsid w:val="665575D7"/>
    <w:rsid w:val="67A008C4"/>
    <w:rsid w:val="68C600DA"/>
    <w:rsid w:val="6A7521FE"/>
    <w:rsid w:val="6B6206CF"/>
    <w:rsid w:val="6BBF4A71"/>
    <w:rsid w:val="6CE619A2"/>
    <w:rsid w:val="6D315D25"/>
    <w:rsid w:val="7447B4AD"/>
    <w:rsid w:val="74B24EF8"/>
    <w:rsid w:val="755C3A24"/>
    <w:rsid w:val="757FBE62"/>
    <w:rsid w:val="764742FB"/>
    <w:rsid w:val="76BE2C96"/>
    <w:rsid w:val="76ED68A2"/>
    <w:rsid w:val="777C1BBB"/>
    <w:rsid w:val="77996BE2"/>
    <w:rsid w:val="78841461"/>
    <w:rsid w:val="7FAEB7A8"/>
    <w:rsid w:val="7FB973AB"/>
    <w:rsid w:val="7FFF9710"/>
    <w:rsid w:val="953FCC4D"/>
    <w:rsid w:val="C5DF5B17"/>
    <w:rsid w:val="CBDBE8BC"/>
    <w:rsid w:val="CFF4C971"/>
    <w:rsid w:val="D6A313D3"/>
    <w:rsid w:val="DD7F8153"/>
    <w:rsid w:val="E3F5C44D"/>
    <w:rsid w:val="EC1738B2"/>
    <w:rsid w:val="EDF972F5"/>
    <w:rsid w:val="EF3E1B38"/>
    <w:rsid w:val="EFE73308"/>
    <w:rsid w:val="F5FEC254"/>
    <w:rsid w:val="F77F9666"/>
    <w:rsid w:val="F7BFE468"/>
    <w:rsid w:val="FCBCA8A5"/>
    <w:rsid w:val="FDFE0229"/>
    <w:rsid w:val="FECBBBB9"/>
    <w:rsid w:val="FEF717E3"/>
    <w:rsid w:val="FF2CFD25"/>
    <w:rsid w:val="FF6B3E22"/>
    <w:rsid w:val="FFA773DA"/>
    <w:rsid w:val="FFD7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sz w:val="12"/>
      <w:szCs w:val="12"/>
      <w:u w:val="none"/>
    </w:rPr>
  </w:style>
  <w:style w:type="character" w:styleId="9">
    <w:name w:val="Hyperlink"/>
    <w:basedOn w:val="6"/>
    <w:qFormat/>
    <w:uiPriority w:val="0"/>
    <w:rPr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主动公开情况</a:t>
            </a: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pieChart>
        <c:varyColors val="true"/>
        <c:ser>
          <c:idx val="0"/>
          <c:order val="0"/>
          <c:tx>
            <c:strRef>
              <c:f>Sheet1!$B$1</c:f>
              <c:strCache>
                <c:ptCount val="1"/>
                <c:pt idx="0">
                  <c:v>信息主动公开情况</c:v>
                </c:pt>
              </c:strCache>
            </c:strRef>
          </c:tx>
          <c:spPr/>
          <c:explosion val="0"/>
          <c:dPt>
            <c:idx val="0"/>
            <c:bubble3D val="false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false"/>
            <c:explosion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false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false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1"/>
              <c:layout/>
              <c:dLblPos val="ctr"/>
              <c:showLegendKey val="false"/>
              <c:showVal val="true"/>
              <c:showCatName val="fals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false"/>
            <c:showVal val="false"/>
            <c:showCatName val="false"/>
            <c:showSerName val="false"/>
            <c:showPercent val="tru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政府网站</c:v>
                </c:pt>
                <c:pt idx="1">
                  <c:v>微信公众号</c:v>
                </c:pt>
                <c:pt idx="2">
                  <c:v>今日头条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</c:v>
                </c:pt>
                <c:pt idx="1">
                  <c:v>56</c:v>
                </c:pt>
                <c:pt idx="2">
                  <c:v>47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tru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true"/>
      </c:legendEntry>
      <c:layout/>
      <c:overlay val="false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gradFill flip="none" rotWithShape="true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true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false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false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2022-01-17T13:15:00Z</dcterms:created>
  <dc:creator>huawei</dc:creator>
  <cp:lastModifiedBy>yao</cp:lastModifiedBy>
  <cp:lastPrinted>2022-01-18T09:01:00Z</cp:lastPrinted>
  <dcterms:modified xsi:type="dcterms:W3CDTF">2022-08-09T11:25:36Z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