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ascii="方正小标宋简体" w:hAnsi="方正小标宋简体" w:eastAsia="方正小标宋简体" w:cs="方正小标宋简体"/>
          <w:color w:val="FF0000"/>
          <w:sz w:val="72"/>
          <w:szCs w:val="72"/>
        </w:rPr>
      </w:pPr>
      <w:r>
        <w:rPr>
          <w:color w:val="FF0000"/>
          <w:sz w:val="72"/>
        </w:rPr>
        <w:pict>
          <v:line id="_x0000_s1026" o:spid="_x0000_s1026" o:spt="20" style="position:absolute;left:0pt;margin-left:-19.25pt;margin-top:56.75pt;height:0.05pt;width:476.2pt;z-index:251657216;mso-width-relative:page;mso-height-relative:page;" stroked="t" coordsize="21600,21600">
            <v:path arrowok="t"/>
            <v:fill focussize="0,0"/>
            <v:stroke weight="4.5pt" color="#FF0000" linestyle="thickThin"/>
            <v:imagedata o:title=""/>
            <o:lock v:ext="edit"/>
          </v:line>
        </w:pict>
      </w:r>
      <w:r>
        <w:rPr>
          <w:rFonts w:hint="eastAsia" w:ascii="方正小标宋简体" w:hAnsi="方正小标宋简体" w:eastAsia="方正小标宋简体" w:cs="方正小标宋简体"/>
          <w:color w:val="FF0000"/>
          <w:sz w:val="72"/>
          <w:szCs w:val="72"/>
        </w:rPr>
        <w:t>济宁市住房公积金管理中心</w:t>
      </w:r>
    </w:p>
    <w:p>
      <w:pPr>
        <w:spacing w:line="600" w:lineRule="exact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90" w:lineRule="exact"/>
        <w:ind w:right="-105" w:rightChars="-50"/>
        <w:jc w:val="center"/>
        <w:rPr>
          <w:rFonts w:hint="eastAsia" w:ascii="方正小标宋简体" w:hAnsi="Times New Roman" w:eastAsia="方正小标宋简体" w:cs="Times New Roman"/>
          <w:b/>
          <w:color w:val="000000" w:themeColor="text1"/>
          <w:kern w:val="0"/>
          <w:sz w:val="44"/>
          <w:szCs w:val="44"/>
        </w:rPr>
      </w:pPr>
      <w:r>
        <w:rPr>
          <w:rFonts w:hint="eastAsia" w:ascii="方正小标宋简体" w:hAnsi="Times New Roman" w:eastAsia="方正小标宋简体" w:cs="Times New Roman"/>
          <w:b/>
          <w:color w:val="000000" w:themeColor="text1"/>
          <w:kern w:val="0"/>
          <w:sz w:val="44"/>
          <w:szCs w:val="44"/>
        </w:rPr>
        <w:t>济宁市住房公积金管理中心</w:t>
      </w:r>
    </w:p>
    <w:p>
      <w:pPr>
        <w:spacing w:line="590" w:lineRule="exact"/>
        <w:ind w:right="-105" w:rightChars="-50"/>
        <w:jc w:val="center"/>
        <w:rPr>
          <w:rFonts w:hint="eastAsia" w:ascii="方正小标宋简体" w:hAnsi="Times New Roman" w:eastAsia="方正小标宋简体" w:cs="Times New Roman"/>
          <w:b/>
          <w:color w:val="000000" w:themeColor="text1"/>
          <w:kern w:val="0"/>
          <w:sz w:val="44"/>
          <w:szCs w:val="44"/>
        </w:rPr>
      </w:pPr>
      <w:r>
        <w:rPr>
          <w:rFonts w:hint="eastAsia" w:ascii="方正小标宋简体" w:hAnsi="Times New Roman" w:eastAsia="方正小标宋简体" w:cs="Times New Roman"/>
          <w:b/>
          <w:color w:val="000000" w:themeColor="text1"/>
          <w:kern w:val="0"/>
          <w:sz w:val="44"/>
          <w:szCs w:val="44"/>
        </w:rPr>
        <w:t>202</w:t>
      </w:r>
      <w:r>
        <w:rPr>
          <w:rFonts w:hint="eastAsia" w:ascii="方正小标宋简体" w:hAnsi="Times New Roman" w:eastAsia="方正小标宋简体" w:cs="Times New Roman"/>
          <w:b/>
          <w:color w:val="000000" w:themeColor="text1"/>
          <w:kern w:val="0"/>
          <w:sz w:val="44"/>
          <w:szCs w:val="44"/>
          <w:lang w:val="en-US" w:eastAsia="zh-CN"/>
        </w:rPr>
        <w:t>1</w:t>
      </w:r>
      <w:r>
        <w:rPr>
          <w:rFonts w:hint="eastAsia" w:ascii="方正小标宋简体" w:hAnsi="Times New Roman" w:eastAsia="方正小标宋简体" w:cs="Times New Roman"/>
          <w:b/>
          <w:color w:val="000000" w:themeColor="text1"/>
          <w:kern w:val="0"/>
          <w:sz w:val="44"/>
          <w:szCs w:val="44"/>
        </w:rPr>
        <w:t>年政府信息公开</w:t>
      </w:r>
      <w:r>
        <w:rPr>
          <w:rFonts w:hint="eastAsia" w:ascii="方正小标宋简体" w:hAnsi="Times New Roman" w:eastAsia="方正小标宋简体" w:cs="Times New Roman"/>
          <w:b/>
          <w:color w:val="000000" w:themeColor="text1"/>
          <w:kern w:val="0"/>
          <w:sz w:val="44"/>
          <w:szCs w:val="44"/>
          <w:lang w:eastAsia="zh-CN"/>
        </w:rPr>
        <w:t>工作</w:t>
      </w:r>
      <w:r>
        <w:rPr>
          <w:rFonts w:hint="eastAsia" w:ascii="方正小标宋简体" w:hAnsi="Times New Roman" w:eastAsia="方正小标宋简体" w:cs="Times New Roman"/>
          <w:b/>
          <w:color w:val="000000" w:themeColor="text1"/>
          <w:kern w:val="0"/>
          <w:sz w:val="44"/>
          <w:szCs w:val="44"/>
        </w:rPr>
        <w:t>年度报告</w:t>
      </w:r>
    </w:p>
    <w:p>
      <w:pPr>
        <w:spacing w:line="590" w:lineRule="exact"/>
        <w:ind w:right="-105" w:rightChars="-50" w:firstLine="642" w:firstLineChars="200"/>
        <w:rPr>
          <w:rFonts w:hint="eastAsia" w:ascii="方正仿宋简体" w:eastAsia="方正仿宋简体"/>
          <w:b/>
          <w:color w:val="000000" w:themeColor="text1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 w:firstLine="642" w:firstLineChars="200"/>
        <w:textAlignment w:val="auto"/>
        <w:rPr>
          <w:rFonts w:ascii="方正仿宋简体" w:eastAsia="方正仿宋简体"/>
          <w:b/>
          <w:color w:val="000000" w:themeColor="text1"/>
          <w:sz w:val="32"/>
          <w:szCs w:val="32"/>
        </w:rPr>
      </w:pPr>
      <w:r>
        <w:rPr>
          <w:rFonts w:hint="eastAsia" w:ascii="方正仿宋简体" w:eastAsia="方正仿宋简体"/>
          <w:b/>
          <w:color w:val="000000" w:themeColor="text1"/>
          <w:sz w:val="32"/>
          <w:szCs w:val="32"/>
        </w:rPr>
        <w:t>本报告由</w:t>
      </w:r>
      <w:r>
        <w:rPr>
          <w:rFonts w:hint="eastAsia" w:ascii="方正仿宋简体" w:eastAsia="方正仿宋简体"/>
          <w:b/>
          <w:color w:val="000000" w:themeColor="text1"/>
          <w:sz w:val="32"/>
          <w:szCs w:val="32"/>
          <w:lang w:eastAsia="zh-CN"/>
        </w:rPr>
        <w:t>济宁市住房公积金管理中心</w:t>
      </w:r>
      <w:r>
        <w:rPr>
          <w:rFonts w:hint="eastAsia" w:ascii="方正仿宋简体" w:eastAsia="方正仿宋简体"/>
          <w:b/>
          <w:color w:val="000000" w:themeColor="text1"/>
          <w:sz w:val="32"/>
          <w:szCs w:val="32"/>
        </w:rPr>
        <w:t>按照《中华人民共和国政府信息公开条例》（以下简称《条例》）和《中华人民共和国政府信息公开工作年度报告格式》（国办公开办函〔2021〕30号）要求编制。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 w:firstLine="642" w:firstLineChars="200"/>
        <w:textAlignment w:val="auto"/>
        <w:rPr>
          <w:rFonts w:ascii="方正仿宋简体" w:eastAsia="方正仿宋简体"/>
          <w:b/>
          <w:color w:val="000000" w:themeColor="text1"/>
          <w:sz w:val="32"/>
          <w:szCs w:val="32"/>
        </w:rPr>
      </w:pPr>
      <w:r>
        <w:rPr>
          <w:rFonts w:hint="eastAsia" w:ascii="方正仿宋简体" w:eastAsia="方正仿宋简体"/>
          <w:b/>
          <w:color w:val="000000" w:themeColor="text1"/>
          <w:sz w:val="32"/>
          <w:szCs w:val="32"/>
        </w:rPr>
        <w:t>本报告内容包括总体情况、主动公开政府信息情况、收到和处理政府信息公开申请情况、政府信息公开行政复议和行政诉讼情况、存在的主要问题及改进情况、其他需要报告的事项等六部分内容。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2" w:firstLineChars="200"/>
        <w:jc w:val="left"/>
        <w:textAlignment w:val="auto"/>
        <w:rPr>
          <w:rFonts w:ascii="仿宋" w:hAnsi="仿宋" w:eastAsia="仿宋" w:cs="仿宋"/>
          <w:color w:val="333333"/>
          <w:kern w:val="0"/>
          <w:sz w:val="32"/>
          <w:szCs w:val="32"/>
        </w:rPr>
      </w:pPr>
      <w:r>
        <w:rPr>
          <w:rFonts w:hint="eastAsia" w:ascii="方正仿宋简体" w:eastAsia="方正仿宋简体"/>
          <w:b/>
          <w:color w:val="000000" w:themeColor="text1"/>
          <w:sz w:val="32"/>
          <w:szCs w:val="32"/>
        </w:rPr>
        <w:t>本报告所列数据的统计期限自2021年1月1日起至2021年12月31日止。本报告电子版可在“中国·济宁”政府门户网站（</w:t>
      </w:r>
      <w:r>
        <w:rPr>
          <w:rFonts w:hint="eastAsia" w:ascii="方正仿宋简体" w:eastAsia="方正仿宋简体"/>
          <w:b/>
          <w:color w:val="000000" w:themeColor="text1"/>
          <w:sz w:val="32"/>
          <w:szCs w:val="32"/>
          <w:lang w:val="en-US" w:eastAsia="zh-CN"/>
        </w:rPr>
        <w:t>http://www.jining.gov.cn/</w:t>
      </w:r>
      <w:r>
        <w:rPr>
          <w:rFonts w:hint="eastAsia" w:ascii="方正仿宋简体" w:eastAsia="方正仿宋简体"/>
          <w:b/>
          <w:color w:val="000000" w:themeColor="text1"/>
          <w:sz w:val="32"/>
          <w:szCs w:val="32"/>
        </w:rPr>
        <w:t>）查阅或下载。如对本报告有疑问，请与济宁市住房公积金管理中心联系（地址：济宁市洸河路133号，联系电话：0537-</w:t>
      </w:r>
      <w:r>
        <w:rPr>
          <w:rFonts w:hint="eastAsia" w:ascii="方正仿宋简体" w:eastAsia="方正仿宋简体"/>
          <w:b/>
          <w:color w:val="000000" w:themeColor="text1"/>
          <w:sz w:val="32"/>
          <w:szCs w:val="32"/>
          <w:lang w:val="en-US" w:eastAsia="zh-CN"/>
        </w:rPr>
        <w:t>2609800</w:t>
      </w:r>
      <w:r>
        <w:rPr>
          <w:rFonts w:hint="eastAsia" w:ascii="方正仿宋简体" w:eastAsia="方正仿宋简体"/>
          <w:b/>
          <w:color w:val="000000" w:themeColor="text1"/>
          <w:sz w:val="32"/>
          <w:szCs w:val="32"/>
        </w:rPr>
        <w:t>）。</w:t>
      </w:r>
    </w:p>
    <w:p>
      <w:pPr>
        <w:spacing w:line="590" w:lineRule="exact"/>
        <w:ind w:right="-105" w:rightChars="-50" w:firstLine="642" w:firstLineChars="200"/>
        <w:rPr>
          <w:rFonts w:hint="eastAsia" w:ascii="方正黑体简体" w:eastAsia="方正黑体简体"/>
          <w:b/>
          <w:color w:val="000000" w:themeColor="text1"/>
          <w:sz w:val="32"/>
          <w:szCs w:val="32"/>
        </w:rPr>
      </w:pPr>
      <w:r>
        <w:rPr>
          <w:rFonts w:hint="eastAsia" w:ascii="方正黑体简体" w:eastAsia="方正黑体简体"/>
          <w:b/>
          <w:color w:val="000000" w:themeColor="text1"/>
          <w:sz w:val="32"/>
          <w:szCs w:val="32"/>
        </w:rPr>
        <w:t>一、总体情况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2" w:firstLineChars="200"/>
        <w:jc w:val="left"/>
        <w:textAlignment w:val="auto"/>
        <w:rPr>
          <w:rFonts w:hint="eastAsia" w:ascii="方正仿宋简体" w:eastAsia="方正仿宋简体"/>
          <w:b/>
          <w:color w:val="000000" w:themeColor="text1"/>
          <w:sz w:val="32"/>
          <w:szCs w:val="32"/>
          <w:lang w:eastAsia="zh-CN"/>
        </w:rPr>
      </w:pPr>
      <w:r>
        <w:rPr>
          <w:rFonts w:hint="eastAsia" w:ascii="方正仿宋简体" w:eastAsia="方正仿宋简体"/>
          <w:b/>
          <w:color w:val="000000" w:themeColor="text1"/>
          <w:sz w:val="32"/>
          <w:szCs w:val="32"/>
        </w:rPr>
        <w:pict>
          <v:line id="_x0000_s1028" o:spid="_x0000_s1028" o:spt="20" style="position:absolute;left:0pt;margin-left:-11pt;margin-top:90.9pt;height:0.05pt;width:476.2pt;z-index:251662336;mso-width-relative:page;mso-height-relative:page;" stroked="t" coordsize="21600,21600">
            <v:path arrowok="t"/>
            <v:fill focussize="0,0"/>
            <v:stroke weight="4.5pt" color="#FF0000" linestyle="thinThick"/>
            <v:imagedata o:title=""/>
            <o:lock v:ext="edit"/>
          </v:line>
        </w:pict>
      </w:r>
      <w:r>
        <w:rPr>
          <w:rFonts w:hint="eastAsia" w:ascii="方正仿宋简体" w:eastAsia="方正仿宋简体"/>
          <w:b/>
          <w:color w:val="000000" w:themeColor="text1"/>
          <w:sz w:val="32"/>
          <w:szCs w:val="32"/>
        </w:rPr>
        <w:t>202</w:t>
      </w:r>
      <w:r>
        <w:rPr>
          <w:rFonts w:hint="eastAsia" w:ascii="方正仿宋简体" w:eastAsia="方正仿宋简体"/>
          <w:b/>
          <w:color w:val="000000" w:themeColor="text1"/>
          <w:sz w:val="32"/>
          <w:szCs w:val="32"/>
          <w:lang w:val="en-US" w:eastAsia="zh-CN"/>
        </w:rPr>
        <w:t>1</w:t>
      </w:r>
      <w:r>
        <w:rPr>
          <w:rFonts w:hint="eastAsia" w:ascii="方正仿宋简体" w:eastAsia="方正仿宋简体"/>
          <w:b/>
          <w:color w:val="000000" w:themeColor="text1"/>
          <w:sz w:val="32"/>
          <w:szCs w:val="32"/>
        </w:rPr>
        <w:t>年，</w:t>
      </w:r>
      <w:r>
        <w:rPr>
          <w:rFonts w:hint="eastAsia" w:ascii="方正仿宋简体" w:eastAsia="方正仿宋简体"/>
          <w:b/>
          <w:color w:val="000000" w:themeColor="text1"/>
          <w:sz w:val="32"/>
          <w:szCs w:val="32"/>
          <w:lang w:eastAsia="zh-CN"/>
        </w:rPr>
        <w:t>中心全面贯彻落实市委、市政府关于加强政务公开的工作要求，认真落实《条例》和年度政务公开工作要点，遵循公正、公平、合法、便民的原则，</w:t>
      </w:r>
      <w:r>
        <w:rPr>
          <w:rFonts w:hint="eastAsia" w:ascii="方正仿宋简体" w:eastAsia="方正仿宋简体"/>
          <w:b/>
          <w:color w:val="000000" w:themeColor="text1"/>
          <w:sz w:val="32"/>
          <w:szCs w:val="32"/>
          <w:lang w:val="en-US" w:eastAsia="zh-CN"/>
        </w:rPr>
        <w:t>坚持党建引领，</w:t>
      </w:r>
      <w:r>
        <w:rPr>
          <w:rFonts w:hint="default" w:ascii="方正仿宋简体" w:eastAsia="方正仿宋简体"/>
          <w:b/>
          <w:color w:val="000000" w:themeColor="text1"/>
          <w:sz w:val="32"/>
          <w:szCs w:val="32"/>
          <w:lang w:val="en-US" w:eastAsia="zh-CN"/>
        </w:rPr>
        <w:t>深化放管服改革</w:t>
      </w:r>
      <w:r>
        <w:rPr>
          <w:rFonts w:hint="eastAsia" w:ascii="方正仿宋简体" w:eastAsia="方正仿宋简体"/>
          <w:b/>
          <w:color w:val="000000" w:themeColor="text1"/>
          <w:sz w:val="32"/>
          <w:szCs w:val="32"/>
          <w:lang w:val="en-US" w:eastAsia="zh-CN"/>
        </w:rPr>
        <w:t>，将市政府门户网站、市住房公积金管理中心门户网站作为政府信息公开主渠道，同时积极拓展新闻媒体，开展政策宣传活动</w:t>
      </w:r>
      <w:r>
        <w:rPr>
          <w:rFonts w:hint="eastAsia" w:ascii="方正仿宋简体" w:eastAsia="方正仿宋简体"/>
          <w:b/>
          <w:color w:val="000000" w:themeColor="text1"/>
          <w:sz w:val="32"/>
          <w:szCs w:val="32"/>
          <w:lang w:eastAsia="zh-CN"/>
        </w:rPr>
        <w:t>月等多种形式，主动公开住房公积金相关信息</w:t>
      </w:r>
      <w:r>
        <w:rPr>
          <w:rFonts w:hint="eastAsia" w:ascii="方正仿宋简体" w:eastAsia="方正仿宋简体"/>
          <w:b/>
          <w:color w:val="000000" w:themeColor="text1"/>
          <w:sz w:val="32"/>
          <w:szCs w:val="32"/>
          <w:lang w:val="en-US" w:eastAsia="zh-CN"/>
        </w:rPr>
        <w:t>，不断提高公积金工作透明度，主动接受社会监督，促进了各项工作顺利发展。</w:t>
      </w:r>
    </w:p>
    <w:p>
      <w:pPr>
        <w:spacing w:line="590" w:lineRule="exact"/>
        <w:ind w:right="-105" w:rightChars="-50" w:firstLine="642" w:firstLineChars="200"/>
        <w:rPr>
          <w:rFonts w:hint="eastAsia" w:ascii="方正楷体简体" w:eastAsia="方正楷体简体"/>
          <w:b/>
          <w:color w:val="000000" w:themeColor="text1"/>
          <w:sz w:val="32"/>
          <w:szCs w:val="32"/>
          <w:lang w:eastAsia="zh-CN"/>
        </w:rPr>
      </w:pPr>
      <w:r>
        <w:rPr>
          <w:rFonts w:hint="eastAsia" w:ascii="方正楷体简体" w:eastAsia="方正楷体简体"/>
          <w:b/>
          <w:color w:val="000000" w:themeColor="text1"/>
          <w:sz w:val="32"/>
          <w:szCs w:val="32"/>
        </w:rPr>
        <w:t>（一）</w:t>
      </w:r>
      <w:r>
        <w:rPr>
          <w:rFonts w:hint="eastAsia" w:ascii="方正楷体简体" w:eastAsia="方正楷体简体"/>
          <w:b/>
          <w:color w:val="000000" w:themeColor="text1"/>
          <w:sz w:val="32"/>
          <w:szCs w:val="32"/>
          <w:lang w:eastAsia="zh-CN"/>
        </w:rPr>
        <w:t>继续加大</w:t>
      </w:r>
      <w:r>
        <w:rPr>
          <w:rFonts w:hint="eastAsia" w:ascii="方正楷体简体" w:eastAsia="方正楷体简体"/>
          <w:b/>
          <w:color w:val="000000" w:themeColor="text1"/>
          <w:sz w:val="32"/>
          <w:szCs w:val="32"/>
        </w:rPr>
        <w:t>主动公开</w:t>
      </w:r>
      <w:r>
        <w:rPr>
          <w:rFonts w:hint="eastAsia" w:ascii="方正楷体简体" w:eastAsia="方正楷体简体"/>
          <w:b/>
          <w:color w:val="000000" w:themeColor="text1"/>
          <w:sz w:val="32"/>
          <w:szCs w:val="32"/>
          <w:lang w:eastAsia="zh-CN"/>
        </w:rPr>
        <w:t>力度</w:t>
      </w:r>
    </w:p>
    <w:p>
      <w:pPr>
        <w:spacing w:line="590" w:lineRule="exact"/>
        <w:ind w:right="-105" w:rightChars="-50" w:firstLine="642" w:firstLineChars="200"/>
        <w:rPr>
          <w:rFonts w:hint="eastAsia"/>
          <w:lang w:val="en-US" w:eastAsia="zh-CN"/>
        </w:rPr>
      </w:pPr>
      <w:r>
        <w:rPr>
          <w:rFonts w:hint="eastAsia" w:ascii="方正仿宋简体" w:eastAsia="方正仿宋简体"/>
          <w:b/>
          <w:color w:val="000000" w:themeColor="text1"/>
          <w:sz w:val="32"/>
          <w:szCs w:val="32"/>
          <w:lang w:val="en-US" w:eastAsia="zh-CN"/>
        </w:rPr>
        <w:t>一是坚持做好市政府网站及中心网站的动态类栏目的日常更新，主动公开中心工作进展、服务举措、法规文件制发等信息，截止到12月31日，通过市政府网站、中心门户网站共发布各类信息243条，微信公众号推送、发布各类信息39条，通过各媒体发布新闻稿件22余条。二是加大会议公开力度，为让缴存职工了解公积金中心决策过程，对公开的部分重点会议增加了一图读懂相关图解，并对涉及民生事项的相关议题关联了图文解读和相关媒体解读。让缴存职工及时了解中心的行政决策、动态信息。三是做好重点工作公开。及时编制发布并解读《济宁市住房公积金2020年年度报告》，每季度初定期公开上一季度住房公积金缴存、提取、贷款、财务以及风险状况等信息，增强公积金管理工作透明度。</w:t>
      </w:r>
    </w:p>
    <w:p>
      <w:pPr>
        <w:spacing w:line="590" w:lineRule="exact"/>
        <w:ind w:right="-105" w:rightChars="-50" w:firstLine="420" w:firstLineChars="200"/>
      </w:pPr>
    </w:p>
    <w:p>
      <w:pPr>
        <w:spacing w:line="240" w:lineRule="auto"/>
        <w:ind w:right="-105" w:rightChars="-50" w:firstLine="642" w:firstLineChars="200"/>
        <w:rPr>
          <w:rFonts w:hint="eastAsia" w:ascii="方正仿宋简体" w:eastAsia="方正仿宋简体"/>
          <w:b/>
          <w:color w:val="000000" w:themeColor="text1"/>
          <w:sz w:val="32"/>
          <w:szCs w:val="32"/>
          <w:lang w:val="en-US" w:eastAsia="zh-CN"/>
        </w:rPr>
      </w:pPr>
      <w:r>
        <w:rPr>
          <w:rFonts w:hint="eastAsia" w:ascii="方正仿宋简体" w:eastAsia="方正仿宋简体"/>
          <w:b/>
          <w:color w:val="000000" w:themeColor="text1"/>
          <w:sz w:val="32"/>
          <w:szCs w:val="32"/>
          <w:lang w:val="en-US" w:eastAsia="zh-CN"/>
        </w:rPr>
        <w:drawing>
          <wp:inline distT="0" distB="0" distL="114300" distR="114300">
            <wp:extent cx="5643245" cy="2886075"/>
            <wp:effectExtent l="0" t="0" r="14605" b="9525"/>
            <wp:docPr id="1" name="图片 1" descr="截图录屏_选择区域_2022010710333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截图录屏_选择区域_20220107103336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324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default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71135" cy="3292475"/>
            <wp:effectExtent l="0" t="0" r="5715" b="3175"/>
            <wp:docPr id="2" name="图片 2" descr="截图录屏_选择区域_202111181125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图录屏_选择区域_20211118112518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</w:p>
    <w:p>
      <w:pPr>
        <w:spacing w:line="590" w:lineRule="exact"/>
        <w:ind w:right="-105" w:rightChars="-50" w:firstLine="642" w:firstLineChars="200"/>
        <w:rPr>
          <w:rFonts w:hint="eastAsia" w:ascii="方正楷体简体" w:eastAsia="方正楷体简体"/>
          <w:b/>
          <w:color w:val="000000" w:themeColor="text1"/>
          <w:sz w:val="32"/>
          <w:szCs w:val="32"/>
        </w:rPr>
      </w:pPr>
      <w:r>
        <w:rPr>
          <w:rFonts w:hint="eastAsia" w:ascii="方正楷体简体" w:eastAsia="方正楷体简体"/>
          <w:b/>
          <w:color w:val="000000" w:themeColor="text1"/>
          <w:sz w:val="32"/>
          <w:szCs w:val="32"/>
        </w:rPr>
        <w:t>（二）依申请公开情况</w:t>
      </w:r>
    </w:p>
    <w:p>
      <w:pPr>
        <w:spacing w:line="590" w:lineRule="exact"/>
        <w:ind w:right="-105" w:rightChars="-50" w:firstLine="642" w:firstLineChars="200"/>
        <w:rPr>
          <w:rFonts w:hint="default" w:ascii="方正仿宋简体" w:eastAsia="方正仿宋简体"/>
          <w:b/>
          <w:color w:val="000000" w:themeColor="text1"/>
          <w:sz w:val="32"/>
          <w:szCs w:val="32"/>
          <w:lang w:val="en-US" w:eastAsia="zh-CN"/>
        </w:rPr>
      </w:pPr>
      <w:r>
        <w:rPr>
          <w:rFonts w:hint="eastAsia" w:ascii="方正仿宋简体" w:eastAsia="方正仿宋简体"/>
          <w:b/>
          <w:color w:val="000000" w:themeColor="text1"/>
          <w:sz w:val="32"/>
          <w:szCs w:val="32"/>
          <w:lang w:val="en-US" w:eastAsia="zh-CN"/>
        </w:rPr>
        <w:t>2021年中心未收到依申请公开件。</w:t>
      </w:r>
    </w:p>
    <w:p>
      <w:pPr>
        <w:spacing w:line="590" w:lineRule="exact"/>
        <w:ind w:right="-105" w:rightChars="-50" w:firstLine="642" w:firstLineChars="200"/>
        <w:rPr>
          <w:rFonts w:hint="eastAsia" w:ascii="方正楷体简体" w:eastAsia="方正楷体简体"/>
          <w:b/>
          <w:color w:val="000000" w:themeColor="text1"/>
          <w:sz w:val="32"/>
          <w:szCs w:val="32"/>
        </w:rPr>
      </w:pPr>
      <w:r>
        <w:rPr>
          <w:rFonts w:hint="eastAsia" w:ascii="方正楷体简体" w:eastAsia="方正楷体简体"/>
          <w:b/>
          <w:color w:val="000000" w:themeColor="text1"/>
          <w:sz w:val="32"/>
          <w:szCs w:val="32"/>
        </w:rPr>
        <w:t>（三）政府信息管理情况</w:t>
      </w:r>
    </w:p>
    <w:p>
      <w:pPr>
        <w:widowControl/>
        <w:spacing w:line="576" w:lineRule="exact"/>
        <w:ind w:firstLine="642" w:firstLineChars="200"/>
        <w:jc w:val="left"/>
      </w:pPr>
      <w:r>
        <w:rPr>
          <w:rFonts w:hint="eastAsia" w:eastAsia="方正仿宋简体" w:cs="Times New Roman"/>
          <w:b/>
          <w:bCs/>
          <w:sz w:val="32"/>
          <w:szCs w:val="32"/>
          <w:lang w:val="en-US" w:eastAsia="zh-CN"/>
        </w:rPr>
        <w:t>一是</w:t>
      </w: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加强组织领导，完善工作制度。</w:t>
      </w:r>
      <w:r>
        <w:rPr>
          <w:rFonts w:hint="eastAsia" w:eastAsia="方正仿宋简体" w:cs="Times New Roman"/>
          <w:b/>
          <w:bCs/>
          <w:sz w:val="32"/>
          <w:szCs w:val="32"/>
          <w:lang w:val="en-US" w:eastAsia="zh-CN"/>
        </w:rPr>
        <w:t>由</w:t>
      </w: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政务公开工作领导小组统筹负责全</w:t>
      </w:r>
      <w:r>
        <w:rPr>
          <w:rFonts w:hint="eastAsia" w:eastAsia="方正仿宋简体" w:cs="Times New Roman"/>
          <w:b/>
          <w:bCs/>
          <w:sz w:val="32"/>
          <w:szCs w:val="32"/>
          <w:lang w:val="en-US" w:eastAsia="zh-CN"/>
        </w:rPr>
        <w:t>中心</w:t>
      </w: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政府信息公开工作。及时召开</w:t>
      </w:r>
      <w:r>
        <w:rPr>
          <w:rFonts w:hint="eastAsia" w:eastAsia="方正仿宋简体" w:cs="Times New Roman"/>
          <w:b/>
          <w:bCs/>
          <w:sz w:val="32"/>
          <w:szCs w:val="32"/>
          <w:lang w:val="en-US" w:eastAsia="zh-CN"/>
        </w:rPr>
        <w:t>中心</w:t>
      </w: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领导班子例会，安排部署政府信息公开工作。同时，进一步完善了《2021年政务公开实施方案》</w:t>
      </w:r>
      <w:r>
        <w:rPr>
          <w:rFonts w:hint="eastAsia" w:eastAsia="方正仿宋简体" w:cs="Times New Roman"/>
          <w:b/>
          <w:bCs/>
          <w:sz w:val="32"/>
          <w:szCs w:val="32"/>
          <w:lang w:val="en-US" w:eastAsia="zh-CN"/>
        </w:rPr>
        <w:t>，制发了</w:t>
      </w: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《济</w:t>
      </w:r>
      <w:r>
        <w:rPr>
          <w:rFonts w:hint="eastAsia" w:eastAsia="方正仿宋简体" w:cs="Times New Roman"/>
          <w:b/>
          <w:bCs/>
          <w:sz w:val="32"/>
          <w:szCs w:val="32"/>
          <w:lang w:val="en-US" w:eastAsia="zh-CN"/>
        </w:rPr>
        <w:t>宁市</w:t>
      </w: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住房公积金中心</w:t>
      </w:r>
      <w:r>
        <w:rPr>
          <w:rFonts w:hint="eastAsia" w:eastAsia="方正仿宋简体" w:cs="Times New Roman"/>
          <w:b/>
          <w:bCs/>
          <w:sz w:val="32"/>
          <w:szCs w:val="32"/>
          <w:lang w:val="en-US" w:eastAsia="zh-CN"/>
        </w:rPr>
        <w:t>宣传报道和</w:t>
      </w: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信息</w:t>
      </w:r>
      <w:r>
        <w:rPr>
          <w:rFonts w:hint="eastAsia" w:eastAsia="方正仿宋简体" w:cs="Times New Roman"/>
          <w:b/>
          <w:bCs/>
          <w:sz w:val="32"/>
          <w:szCs w:val="32"/>
          <w:lang w:val="en-US" w:eastAsia="zh-CN"/>
        </w:rPr>
        <w:t>公开保密审查</w:t>
      </w: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制度》，</w:t>
      </w:r>
      <w:r>
        <w:rPr>
          <w:rFonts w:hint="eastAsia" w:eastAsia="方正仿宋简体" w:cs="Times New Roman"/>
          <w:b/>
          <w:bCs/>
          <w:sz w:val="32"/>
          <w:szCs w:val="32"/>
          <w:lang w:val="en-US" w:eastAsia="zh-CN"/>
        </w:rPr>
        <w:t>在确保党和国家秘密安全的情况下，进一步加大了信息公开的力度</w:t>
      </w: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。</w:t>
      </w:r>
      <w:r>
        <w:rPr>
          <w:rFonts w:hint="eastAsia" w:eastAsia="方正仿宋简体" w:cs="Times New Roman"/>
          <w:b/>
          <w:bCs/>
          <w:sz w:val="32"/>
          <w:szCs w:val="32"/>
          <w:lang w:val="en-US" w:eastAsia="zh-CN"/>
        </w:rPr>
        <w:t>二是加大学习力度，</w:t>
      </w: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组织</w:t>
      </w:r>
      <w:r>
        <w:rPr>
          <w:rFonts w:hint="eastAsia" w:eastAsia="方正仿宋简体" w:cs="Times New Roman"/>
          <w:b/>
          <w:bCs/>
          <w:sz w:val="32"/>
          <w:szCs w:val="32"/>
          <w:lang w:val="en-US" w:eastAsia="zh-CN"/>
        </w:rPr>
        <w:t>中心</w:t>
      </w: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机关干部认真学习政务公开相关要求，进一步统一思想，提高对信息公开工作的思想认识。</w:t>
      </w:r>
    </w:p>
    <w:p>
      <w:pPr>
        <w:spacing w:line="590" w:lineRule="exact"/>
        <w:ind w:right="-105" w:rightChars="-50" w:firstLine="642" w:firstLineChars="200"/>
        <w:rPr>
          <w:rFonts w:ascii="方正楷体简体" w:eastAsia="方正楷体简体"/>
          <w:b/>
          <w:color w:val="000000" w:themeColor="text1"/>
          <w:sz w:val="32"/>
          <w:szCs w:val="32"/>
        </w:rPr>
      </w:pPr>
      <w:r>
        <w:rPr>
          <w:rFonts w:hint="eastAsia" w:ascii="方正楷体简体" w:eastAsia="方正楷体简体"/>
          <w:b/>
          <w:color w:val="000000" w:themeColor="text1"/>
          <w:sz w:val="32"/>
          <w:szCs w:val="32"/>
        </w:rPr>
        <w:t>（四）政府信息公开平台建设情况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2" w:firstLineChars="200"/>
        <w:textAlignment w:val="auto"/>
        <w:rPr>
          <w:rFonts w:hint="eastAsia" w:eastAsia="方正仿宋简体" w:cs="Times New Roman"/>
          <w:b/>
          <w:bCs/>
          <w:sz w:val="32"/>
          <w:szCs w:val="32"/>
          <w:lang w:val="en-US" w:eastAsia="zh-CN"/>
        </w:rPr>
      </w:pPr>
      <w:r>
        <w:rPr>
          <w:rFonts w:hint="eastAsia" w:eastAsia="方正仿宋简体" w:cs="Times New Roman"/>
          <w:b/>
          <w:bCs/>
          <w:sz w:val="32"/>
          <w:szCs w:val="32"/>
          <w:lang w:val="en-US" w:eastAsia="zh-CN"/>
        </w:rPr>
        <w:t>一是</w:t>
      </w: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除利用日常</w:t>
      </w:r>
      <w:r>
        <w:rPr>
          <w:rFonts w:hint="eastAsia" w:eastAsia="方正仿宋简体" w:cs="Times New Roman"/>
          <w:b/>
          <w:bCs/>
          <w:sz w:val="32"/>
          <w:szCs w:val="32"/>
          <w:lang w:val="en-US" w:eastAsia="zh-CN"/>
        </w:rPr>
        <w:t>政府</w:t>
      </w: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信息公开的主渠道市政府门户网站、市住房公积金管理中心门户网站、市住房公积金政务微博、微信、</w:t>
      </w: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zh-CN" w:eastAsia="zh-CN"/>
        </w:rPr>
        <w:t>手机APP以及报纸期刊、新闻媒体、服务大厅公开专栏</w:t>
      </w: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外，积极利用归集</w:t>
      </w: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扩面“千万工程”</w:t>
      </w: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逾期催收</w:t>
      </w: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工作以及民意“5”来听干部职工进社区活动，深入企业，服务职工，宣传公积金政策，发放公积金资料，让政务公开工作直接对企对人，使更多的企业及个人了解住房公积金，享受到住房公积金的政策红利</w:t>
      </w:r>
      <w:r>
        <w:rPr>
          <w:rFonts w:hint="eastAsia" w:eastAsia="方正仿宋简体" w:cs="Times New Roman"/>
          <w:b/>
          <w:bCs/>
          <w:sz w:val="32"/>
          <w:szCs w:val="32"/>
          <w:lang w:val="en-US" w:eastAsia="zh-CN"/>
        </w:rPr>
        <w:t>。二是不断加大各服务场所中政务公开区域建设</w:t>
      </w: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。在全市范围内设有27处服务场所，其中，23处提供人工服务，4处提供自助服务，</w:t>
      </w:r>
      <w:r>
        <w:rPr>
          <w:rFonts w:hint="eastAsia" w:eastAsia="方正仿宋简体" w:cs="Times New Roman"/>
          <w:b/>
          <w:bCs/>
          <w:sz w:val="32"/>
          <w:szCs w:val="32"/>
          <w:lang w:val="en-US" w:eastAsia="zh-CN"/>
        </w:rPr>
        <w:t>在各服务场所均配备了自助查询机、摆放了业务指南，印制了业务指南明白纸，极大地方便了办事群众，截止12月31日，各服务场所共接待人数达17076人次。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5609590" cy="4207510"/>
            <wp:effectExtent l="0" t="0" r="10160" b="2540"/>
            <wp:docPr id="3" name="图片 3" descr="图片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90" w:lineRule="exact"/>
        <w:ind w:right="-105" w:rightChars="-50" w:firstLine="642" w:firstLineChars="200"/>
        <w:rPr>
          <w:rFonts w:hint="eastAsia" w:ascii="方正楷体简体" w:eastAsia="方正楷体简体"/>
          <w:b/>
          <w:color w:val="000000" w:themeColor="text1"/>
          <w:sz w:val="32"/>
          <w:szCs w:val="32"/>
        </w:rPr>
      </w:pPr>
      <w:r>
        <w:rPr>
          <w:rFonts w:hint="eastAsia" w:ascii="方正楷体简体" w:eastAsia="方正楷体简体"/>
          <w:b/>
          <w:color w:val="000000" w:themeColor="text1"/>
          <w:sz w:val="32"/>
          <w:szCs w:val="32"/>
        </w:rPr>
        <w:t>（五）监督保障情况</w:t>
      </w:r>
    </w:p>
    <w:p>
      <w:pPr>
        <w:widowControl/>
        <w:spacing w:line="576" w:lineRule="exact"/>
        <w:ind w:firstLine="642" w:firstLineChars="200"/>
        <w:jc w:val="left"/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实行监督检查和责任追究制，结合中心合规文化建设，专门抽调政治素质高，业务能力强，纪律作风硬的人员组成政务公开工作监督小组，对各科室、分支机构政务公开工作情况进行经常性监督检查。</w:t>
      </w: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深入推进</w:t>
      </w: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政务公开工作</w:t>
      </w: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大排查、</w:t>
      </w: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政务公开工作</w:t>
      </w: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问题大整改、</w:t>
      </w: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政务公开工作</w:t>
      </w: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意识大提升活动，努力形成风清气正的良好政治生态和干事创业环境。</w:t>
      </w: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设立了投诉意见箱，自觉接受群众监督，广泛听取各方面意见，及时发现和解决政务公开工作中存在的问题，政务公开工作取得了实质性进展。</w:t>
      </w:r>
    </w:p>
    <w:p>
      <w:pPr>
        <w:spacing w:line="590" w:lineRule="exact"/>
        <w:ind w:right="-105" w:rightChars="-50" w:firstLine="642" w:firstLineChars="200"/>
        <w:rPr>
          <w:rFonts w:ascii="方正黑体简体" w:eastAsia="方正黑体简体"/>
          <w:b/>
          <w:color w:val="000000" w:themeColor="text1"/>
          <w:sz w:val="32"/>
          <w:szCs w:val="32"/>
        </w:rPr>
      </w:pPr>
      <w:r>
        <w:rPr>
          <w:rFonts w:hint="eastAsia" w:ascii="方正黑体简体" w:eastAsia="方正黑体简体"/>
          <w:b/>
          <w:color w:val="000000" w:themeColor="text1"/>
          <w:sz w:val="32"/>
          <w:szCs w:val="32"/>
        </w:rPr>
        <w:t>二、主动公开政府信息情况</w:t>
      </w:r>
    </w:p>
    <w:tbl>
      <w:tblPr>
        <w:tblStyle w:val="8"/>
        <w:tblW w:w="877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 w:themeFill="background1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35"/>
        <w:gridCol w:w="2133"/>
        <w:gridCol w:w="2216"/>
        <w:gridCol w:w="19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8773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方正黑体简体" w:eastAsia="方正黑体简体"/>
                <w:b/>
                <w:sz w:val="24"/>
                <w:szCs w:val="24"/>
              </w:rPr>
            </w:pPr>
            <w:r>
              <w:rPr>
                <w:rFonts w:hint="eastAsia" w:ascii="方正黑体简体" w:hAnsi="宋体" w:eastAsia="方正黑体简体" w:cs="宋体"/>
                <w:b/>
                <w:sz w:val="24"/>
                <w:szCs w:val="24"/>
                <w:lang w:bidi="ar"/>
              </w:rPr>
              <w:t>第二十条第（一）项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方正仿宋简体" w:eastAsia="方正仿宋简体"/>
                <w:b/>
                <w:sz w:val="24"/>
                <w:szCs w:val="24"/>
              </w:rPr>
            </w:pPr>
            <w:r>
              <w:rPr>
                <w:rFonts w:hint="eastAsia" w:ascii="方正仿宋简体" w:hAnsi="宋体" w:eastAsia="方正仿宋简体" w:cs="宋体"/>
                <w:b/>
                <w:sz w:val="24"/>
                <w:szCs w:val="24"/>
                <w:lang w:bidi="ar"/>
              </w:rPr>
              <w:t>信息内容</w:t>
            </w:r>
          </w:p>
        </w:tc>
        <w:tc>
          <w:tcPr>
            <w:tcW w:w="213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方正仿宋简体" w:eastAsia="方正仿宋简体"/>
                <w:b/>
                <w:sz w:val="24"/>
                <w:szCs w:val="24"/>
              </w:rPr>
            </w:pPr>
            <w:r>
              <w:rPr>
                <w:rFonts w:hint="eastAsia" w:ascii="方正仿宋简体" w:hAnsi="宋体" w:eastAsia="方正仿宋简体" w:cs="宋体"/>
                <w:b/>
                <w:sz w:val="24"/>
                <w:szCs w:val="24"/>
                <w:lang w:bidi="ar"/>
              </w:rPr>
              <w:t>本年制发件数</w:t>
            </w:r>
          </w:p>
        </w:tc>
        <w:tc>
          <w:tcPr>
            <w:tcW w:w="2216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方正仿宋简体" w:eastAsia="方正仿宋简体"/>
                <w:b/>
                <w:sz w:val="24"/>
                <w:szCs w:val="24"/>
              </w:rPr>
            </w:pPr>
            <w:r>
              <w:rPr>
                <w:rFonts w:hint="eastAsia" w:ascii="方正仿宋简体" w:hAnsi="宋体" w:eastAsia="方正仿宋简体" w:cs="宋体"/>
                <w:b/>
                <w:sz w:val="24"/>
                <w:szCs w:val="24"/>
                <w:lang w:bidi="ar"/>
              </w:rPr>
              <w:t>本年废止件数</w:t>
            </w:r>
          </w:p>
        </w:tc>
        <w:tc>
          <w:tcPr>
            <w:tcW w:w="1989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方正仿宋简体" w:eastAsia="方正仿宋简体"/>
                <w:b/>
                <w:sz w:val="24"/>
                <w:szCs w:val="24"/>
              </w:rPr>
            </w:pPr>
            <w:r>
              <w:rPr>
                <w:rFonts w:hint="eastAsia" w:ascii="方正仿宋简体" w:hAnsi="宋体" w:eastAsia="方正仿宋简体" w:cs="宋体"/>
                <w:b/>
                <w:sz w:val="24"/>
                <w:szCs w:val="24"/>
                <w:lang w:bidi="ar"/>
              </w:rPr>
              <w:t>现行有效件数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left"/>
              <w:rPr>
                <w:rFonts w:ascii="方正仿宋简体" w:eastAsia="方正仿宋简体"/>
                <w:b/>
                <w:sz w:val="24"/>
                <w:szCs w:val="24"/>
              </w:rPr>
            </w:pPr>
            <w:r>
              <w:rPr>
                <w:rFonts w:hint="eastAsia" w:ascii="方正仿宋简体" w:hAnsi="宋体" w:eastAsia="方正仿宋简体" w:cs="宋体"/>
                <w:b/>
                <w:sz w:val="24"/>
                <w:szCs w:val="24"/>
                <w:lang w:bidi="ar"/>
              </w:rPr>
              <w:t>规章</w:t>
            </w:r>
          </w:p>
        </w:tc>
        <w:tc>
          <w:tcPr>
            <w:tcW w:w="213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eastAsia" w:ascii="方正仿宋简体" w:eastAsia="方正仿宋简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宋体" w:eastAsia="方正仿宋简体" w:cs="宋体"/>
                <w:b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2216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方正仿宋简体" w:eastAsia="方正仿宋简体"/>
                <w:b/>
                <w:sz w:val="24"/>
                <w:szCs w:val="24"/>
              </w:rPr>
            </w:pPr>
            <w:r>
              <w:rPr>
                <w:rFonts w:hint="eastAsia" w:ascii="方正仿宋简体" w:hAnsi="宋体" w:eastAsia="方正仿宋简体" w:cs="宋体"/>
                <w:b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1989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eastAsia" w:ascii="方正仿宋简体" w:eastAsia="方正仿宋简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4"/>
                <w:szCs w:val="24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left"/>
              <w:rPr>
                <w:rFonts w:ascii="方正仿宋简体" w:eastAsia="方正仿宋简体"/>
                <w:b/>
                <w:sz w:val="24"/>
                <w:szCs w:val="24"/>
              </w:rPr>
            </w:pPr>
            <w:r>
              <w:rPr>
                <w:rFonts w:hint="eastAsia" w:ascii="方正仿宋简体" w:hAnsi="宋体" w:eastAsia="方正仿宋简体" w:cs="宋体"/>
                <w:b/>
                <w:sz w:val="24"/>
                <w:szCs w:val="24"/>
                <w:lang w:bidi="ar"/>
              </w:rPr>
              <w:t>行政规范性文件</w:t>
            </w:r>
          </w:p>
        </w:tc>
        <w:tc>
          <w:tcPr>
            <w:tcW w:w="213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eastAsia" w:ascii="方正仿宋简体" w:eastAsia="方正仿宋简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宋体" w:eastAsia="方正仿宋简体" w:cs="宋体"/>
                <w:b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2216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eastAsia" w:ascii="方正仿宋简体" w:eastAsia="方正仿宋简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宋体" w:eastAsia="方正仿宋简体" w:cs="宋体"/>
                <w:b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1989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方正仿宋简体" w:eastAsia="方正仿宋简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4"/>
                <w:szCs w:val="24"/>
                <w:lang w:val="en-US" w:eastAsia="zh-CN" w:bidi="ar"/>
              </w:rPr>
              <w:t>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8773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方正仿宋简体" w:eastAsia="方正仿宋简体"/>
                <w:b/>
                <w:sz w:val="24"/>
                <w:szCs w:val="24"/>
              </w:rPr>
            </w:pPr>
            <w:r>
              <w:rPr>
                <w:rFonts w:hint="eastAsia" w:ascii="方正黑体简体" w:hAnsi="宋体" w:eastAsia="方正黑体简体" w:cs="宋体"/>
                <w:b/>
                <w:sz w:val="24"/>
                <w:szCs w:val="24"/>
                <w:lang w:bidi="ar"/>
              </w:rPr>
              <w:t>第二十条第（五）项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方正仿宋简体" w:eastAsia="方正仿宋简体"/>
                <w:b/>
                <w:sz w:val="24"/>
                <w:szCs w:val="24"/>
              </w:rPr>
            </w:pPr>
            <w:r>
              <w:rPr>
                <w:rFonts w:hint="eastAsia" w:ascii="方正仿宋简体" w:hAnsi="宋体" w:eastAsia="方正仿宋简体" w:cs="宋体"/>
                <w:b/>
                <w:sz w:val="24"/>
                <w:szCs w:val="24"/>
                <w:lang w:bidi="ar"/>
              </w:rPr>
              <w:t>信息内容</w:t>
            </w:r>
          </w:p>
        </w:tc>
        <w:tc>
          <w:tcPr>
            <w:tcW w:w="6338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方正仿宋简体" w:eastAsia="方正仿宋简体"/>
                <w:b/>
                <w:sz w:val="24"/>
                <w:szCs w:val="24"/>
              </w:rPr>
            </w:pPr>
            <w:r>
              <w:rPr>
                <w:rFonts w:hint="eastAsia" w:ascii="方正仿宋简体" w:hAnsi="宋体" w:eastAsia="方正仿宋简体" w:cs="宋体"/>
                <w:b/>
                <w:sz w:val="24"/>
                <w:szCs w:val="24"/>
                <w:lang w:bidi="ar"/>
              </w:rPr>
              <w:t>本年处理决定数量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left"/>
              <w:rPr>
                <w:rFonts w:ascii="方正仿宋简体" w:eastAsia="方正仿宋简体"/>
                <w:b/>
                <w:sz w:val="24"/>
                <w:szCs w:val="24"/>
              </w:rPr>
            </w:pPr>
            <w:r>
              <w:rPr>
                <w:rFonts w:hint="eastAsia" w:ascii="方正仿宋简体" w:hAnsi="宋体" w:eastAsia="方正仿宋简体" w:cs="宋体"/>
                <w:b/>
                <w:sz w:val="24"/>
                <w:szCs w:val="24"/>
                <w:lang w:bidi="ar"/>
              </w:rPr>
              <w:t>行政许可</w:t>
            </w:r>
          </w:p>
        </w:tc>
        <w:tc>
          <w:tcPr>
            <w:tcW w:w="6338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eastAsia" w:ascii="方正仿宋简体" w:eastAsia="方正仿宋简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4"/>
                <w:szCs w:val="24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8773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方正仿宋简体" w:eastAsia="方正仿宋简体"/>
                <w:b/>
                <w:sz w:val="24"/>
                <w:szCs w:val="24"/>
              </w:rPr>
            </w:pPr>
            <w:r>
              <w:rPr>
                <w:rFonts w:hint="eastAsia" w:ascii="方正黑体简体" w:hAnsi="宋体" w:eastAsia="方正黑体简体" w:cs="宋体"/>
                <w:b/>
                <w:sz w:val="24"/>
                <w:szCs w:val="24"/>
                <w:lang w:bidi="ar"/>
              </w:rPr>
              <w:t>第二十条第（六）项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方正仿宋简体" w:eastAsia="方正仿宋简体"/>
                <w:b/>
                <w:sz w:val="24"/>
                <w:szCs w:val="24"/>
              </w:rPr>
            </w:pPr>
            <w:r>
              <w:rPr>
                <w:rFonts w:hint="eastAsia" w:ascii="方正仿宋简体" w:hAnsi="宋体" w:eastAsia="方正仿宋简体" w:cs="宋体"/>
                <w:b/>
                <w:sz w:val="24"/>
                <w:szCs w:val="24"/>
                <w:lang w:bidi="ar"/>
              </w:rPr>
              <w:t>信息内容</w:t>
            </w:r>
          </w:p>
        </w:tc>
        <w:tc>
          <w:tcPr>
            <w:tcW w:w="6338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方正仿宋简体" w:eastAsia="方正仿宋简体"/>
                <w:b/>
                <w:sz w:val="24"/>
                <w:szCs w:val="24"/>
              </w:rPr>
            </w:pPr>
            <w:r>
              <w:rPr>
                <w:rFonts w:hint="eastAsia" w:ascii="方正仿宋简体" w:hAnsi="宋体" w:eastAsia="方正仿宋简体" w:cs="宋体"/>
                <w:b/>
                <w:sz w:val="24"/>
                <w:szCs w:val="24"/>
                <w:lang w:bidi="ar"/>
              </w:rPr>
              <w:t>本年处理决定数量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left"/>
              <w:rPr>
                <w:rFonts w:ascii="方正仿宋简体" w:eastAsia="方正仿宋简体"/>
                <w:b/>
                <w:sz w:val="24"/>
                <w:szCs w:val="24"/>
              </w:rPr>
            </w:pPr>
            <w:r>
              <w:rPr>
                <w:rFonts w:hint="eastAsia" w:ascii="方正仿宋简体" w:hAnsi="宋体" w:eastAsia="方正仿宋简体" w:cs="宋体"/>
                <w:b/>
                <w:sz w:val="24"/>
                <w:szCs w:val="24"/>
                <w:lang w:bidi="ar"/>
              </w:rPr>
              <w:t>行政处罚</w:t>
            </w:r>
          </w:p>
        </w:tc>
        <w:tc>
          <w:tcPr>
            <w:tcW w:w="6338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eastAsia" w:ascii="方正仿宋简体" w:eastAsia="方正仿宋简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宋体" w:eastAsia="方正仿宋简体" w:cs="宋体"/>
                <w:b/>
                <w:sz w:val="24"/>
                <w:szCs w:val="24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left"/>
              <w:rPr>
                <w:rFonts w:ascii="方正仿宋简体" w:eastAsia="方正仿宋简体"/>
                <w:b/>
                <w:sz w:val="24"/>
                <w:szCs w:val="24"/>
              </w:rPr>
            </w:pPr>
            <w:r>
              <w:rPr>
                <w:rFonts w:hint="eastAsia" w:ascii="方正仿宋简体" w:hAnsi="宋体" w:eastAsia="方正仿宋简体" w:cs="宋体"/>
                <w:b/>
                <w:sz w:val="24"/>
                <w:szCs w:val="24"/>
                <w:lang w:bidi="ar"/>
              </w:rPr>
              <w:t>行政强制</w:t>
            </w:r>
          </w:p>
        </w:tc>
        <w:tc>
          <w:tcPr>
            <w:tcW w:w="6338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eastAsia" w:ascii="方正仿宋简体" w:eastAsia="方正仿宋简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宋体" w:eastAsia="方正仿宋简体" w:cs="宋体"/>
                <w:b/>
                <w:sz w:val="24"/>
                <w:szCs w:val="24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8773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方正仿宋简体" w:eastAsia="方正仿宋简体"/>
                <w:b/>
                <w:sz w:val="24"/>
                <w:szCs w:val="24"/>
              </w:rPr>
            </w:pPr>
            <w:r>
              <w:rPr>
                <w:rFonts w:hint="eastAsia" w:ascii="方正黑体简体" w:hAnsi="宋体" w:eastAsia="方正黑体简体" w:cs="宋体"/>
                <w:b/>
                <w:sz w:val="24"/>
                <w:szCs w:val="24"/>
                <w:lang w:bidi="ar"/>
              </w:rPr>
              <w:t>第二十条第（八）项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方正仿宋简体" w:eastAsia="方正仿宋简体"/>
                <w:b/>
                <w:sz w:val="24"/>
                <w:szCs w:val="24"/>
              </w:rPr>
            </w:pPr>
            <w:r>
              <w:rPr>
                <w:rFonts w:hint="eastAsia" w:ascii="方正仿宋简体" w:hAnsi="宋体" w:eastAsia="方正仿宋简体" w:cs="宋体"/>
                <w:b/>
                <w:sz w:val="24"/>
                <w:szCs w:val="24"/>
                <w:lang w:bidi="ar"/>
              </w:rPr>
              <w:t>信息内容</w:t>
            </w:r>
          </w:p>
        </w:tc>
        <w:tc>
          <w:tcPr>
            <w:tcW w:w="6338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方正仿宋简体" w:eastAsia="方正仿宋简体"/>
                <w:b/>
                <w:sz w:val="24"/>
                <w:szCs w:val="24"/>
              </w:rPr>
            </w:pPr>
            <w:r>
              <w:rPr>
                <w:rFonts w:hint="eastAsia" w:ascii="方正仿宋简体" w:hAnsi="宋体" w:eastAsia="方正仿宋简体" w:cs="宋体"/>
                <w:b/>
                <w:sz w:val="24"/>
                <w:szCs w:val="24"/>
                <w:lang w:bidi="ar"/>
              </w:rPr>
              <w:t>本年收费金额（单位：万元）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left"/>
              <w:rPr>
                <w:rFonts w:ascii="方正仿宋简体" w:eastAsia="方正仿宋简体"/>
                <w:b/>
                <w:sz w:val="24"/>
                <w:szCs w:val="24"/>
              </w:rPr>
            </w:pPr>
            <w:r>
              <w:rPr>
                <w:rFonts w:hint="eastAsia" w:ascii="方正仿宋简体" w:hAnsi="宋体" w:eastAsia="方正仿宋简体" w:cs="宋体"/>
                <w:b/>
                <w:sz w:val="24"/>
                <w:szCs w:val="24"/>
                <w:lang w:bidi="ar"/>
              </w:rPr>
              <w:t>行政事业性收费</w:t>
            </w:r>
          </w:p>
        </w:tc>
        <w:tc>
          <w:tcPr>
            <w:tcW w:w="6338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spacing w:line="340" w:lineRule="exact"/>
              <w:jc w:val="center"/>
              <w:rPr>
                <w:rFonts w:hint="eastAsia" w:ascii="方正仿宋简体" w:eastAsia="方正仿宋简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sz w:val="24"/>
                <w:szCs w:val="24"/>
                <w:lang w:val="en-US" w:eastAsia="zh-CN"/>
              </w:rPr>
              <w:t>0</w:t>
            </w:r>
          </w:p>
        </w:tc>
      </w:tr>
    </w:tbl>
    <w:p>
      <w:pPr>
        <w:spacing w:before="62" w:beforeLines="10" w:after="62" w:afterLines="10" w:line="600" w:lineRule="exact"/>
        <w:ind w:firstLine="642" w:firstLineChars="200"/>
        <w:rPr>
          <w:rFonts w:ascii="方正黑体简体" w:eastAsia="方正黑体简体"/>
          <w:b/>
          <w:sz w:val="32"/>
          <w:szCs w:val="32"/>
        </w:rPr>
      </w:pPr>
      <w:r>
        <w:rPr>
          <w:rFonts w:hint="eastAsia" w:ascii="方正黑体简体" w:eastAsia="方正黑体简体"/>
          <w:b/>
          <w:sz w:val="32"/>
          <w:szCs w:val="32"/>
        </w:rPr>
        <w:t>三、收到和处理政府信息公开申请情况</w:t>
      </w:r>
    </w:p>
    <w:tbl>
      <w:tblPr>
        <w:tblStyle w:val="8"/>
        <w:tblW w:w="88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68"/>
        <w:gridCol w:w="942"/>
        <w:gridCol w:w="2878"/>
        <w:gridCol w:w="791"/>
        <w:gridCol w:w="599"/>
        <w:gridCol w:w="590"/>
        <w:gridCol w:w="598"/>
        <w:gridCol w:w="571"/>
        <w:gridCol w:w="559"/>
        <w:gridCol w:w="5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588" w:type="dxa"/>
            <w:gridSpan w:val="3"/>
            <w:vMerge w:val="restart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楷体" w:eastAsia="方正黑体简体" w:cs="楷体"/>
                <w:b/>
                <w:sz w:val="21"/>
                <w:szCs w:val="21"/>
                <w:lang w:bidi="ar"/>
              </w:rPr>
              <w:t>（本列数据的勾稽关系为：第一项加第二项之和，等于第三项加第四项之和）</w:t>
            </w:r>
          </w:p>
        </w:tc>
        <w:tc>
          <w:tcPr>
            <w:tcW w:w="4229" w:type="dxa"/>
            <w:gridSpan w:val="7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申请人情况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588" w:type="dxa"/>
            <w:gridSpan w:val="3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</w:p>
        </w:tc>
        <w:tc>
          <w:tcPr>
            <w:tcW w:w="791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自然人</w:t>
            </w:r>
          </w:p>
        </w:tc>
        <w:tc>
          <w:tcPr>
            <w:tcW w:w="2917" w:type="dxa"/>
            <w:gridSpan w:val="5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法人或其他组织</w:t>
            </w:r>
          </w:p>
        </w:tc>
        <w:tc>
          <w:tcPr>
            <w:tcW w:w="521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总计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588" w:type="dxa"/>
            <w:gridSpan w:val="3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791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商业</w:t>
            </w:r>
          </w:p>
          <w:p>
            <w:pPr>
              <w:widowControl/>
              <w:spacing w:line="300" w:lineRule="exact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企业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科研</w:t>
            </w:r>
          </w:p>
          <w:p>
            <w:pPr>
              <w:widowControl/>
              <w:spacing w:line="300" w:lineRule="exact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机构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社会公益组织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法律服务机构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其他</w:t>
            </w:r>
          </w:p>
        </w:tc>
        <w:tc>
          <w:tcPr>
            <w:tcW w:w="521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  <w:jc w:val="center"/>
        </w:trPr>
        <w:tc>
          <w:tcPr>
            <w:tcW w:w="4588" w:type="dxa"/>
            <w:gridSpan w:val="3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一、本年新收政府信息公开申请数量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eastAsia="方正仿宋简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eastAsia="方正仿宋简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eastAsia="方正仿宋简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eastAsia="方正仿宋简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eastAsia="方正仿宋简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4588" w:type="dxa"/>
            <w:gridSpan w:val="3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二、上年结转政府信息公开申请数量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三、本年度办理结果</w:t>
            </w:r>
          </w:p>
        </w:tc>
        <w:tc>
          <w:tcPr>
            <w:tcW w:w="3820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（一）予以公开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3820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（二）部分公开</w:t>
            </w:r>
            <w:r>
              <w:rPr>
                <w:rFonts w:hint="eastAsia" w:ascii="方正仿宋简体" w:hAnsi="楷体" w:eastAsia="方正仿宋简体" w:cs="楷体"/>
                <w:b/>
                <w:sz w:val="21"/>
                <w:szCs w:val="21"/>
                <w:lang w:bidi="ar"/>
              </w:rPr>
              <w:t>（区分处理的，只计这一情形，不计其他情形）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（三）不予公开</w:t>
            </w: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widowControl/>
              <w:spacing w:line="300" w:lineRule="exact"/>
              <w:jc w:val="left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1.属于国家秘密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widowControl/>
              <w:spacing w:line="300" w:lineRule="exact"/>
              <w:jc w:val="left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2.其他法律行政法规禁止公开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widowControl/>
              <w:spacing w:line="300" w:lineRule="exact"/>
              <w:jc w:val="left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3.危及“三安全一稳定”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widowControl/>
              <w:spacing w:line="300" w:lineRule="exact"/>
              <w:jc w:val="left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4.保护第三方合法权益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widowControl/>
              <w:spacing w:line="300" w:lineRule="exact"/>
              <w:jc w:val="left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5.属于三类内部事务信息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widowControl/>
              <w:spacing w:line="300" w:lineRule="exact"/>
              <w:jc w:val="left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6.属于四类过程性信息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widowControl/>
              <w:spacing w:line="300" w:lineRule="exact"/>
              <w:jc w:val="left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7.属于行政执法案卷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widowControl/>
              <w:spacing w:line="300" w:lineRule="exact"/>
              <w:jc w:val="left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8.属于行政查询事项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（四）无法提供</w:t>
            </w: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widowControl/>
              <w:spacing w:line="300" w:lineRule="exact"/>
              <w:jc w:val="left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1.本机关不掌握相关政府信息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widowControl/>
              <w:spacing w:line="300" w:lineRule="exact"/>
              <w:jc w:val="left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2.没有现成信息需要另行制作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widowControl/>
              <w:spacing w:line="300" w:lineRule="exact"/>
              <w:jc w:val="left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3.补正后申请内容仍不明确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（五）不予处理</w:t>
            </w: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widowControl/>
              <w:spacing w:line="300" w:lineRule="exact"/>
              <w:jc w:val="left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1.信访举报投诉类申请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widowControl/>
              <w:spacing w:line="300" w:lineRule="exact"/>
              <w:jc w:val="left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2.重复申请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widowControl/>
              <w:spacing w:line="300" w:lineRule="exact"/>
              <w:jc w:val="left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3.要求提供公开出版物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widowControl/>
              <w:spacing w:line="300" w:lineRule="exact"/>
              <w:jc w:val="left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4.无正当理由大量反复申请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5.要求行政机关确认或重新出具已获取信息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（六）其他处理</w:t>
            </w: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1.申请人无正当理由逾期不补正、行政机关不再处理其政府信息公开申请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2.申请人逾期未按收费通知要求缴纳费用、行政机关不再处理其政府信息公开申请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3.其他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3820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（七）总计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588" w:type="dxa"/>
            <w:gridSpan w:val="3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四、结转下年度继续办理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</w:tbl>
    <w:p>
      <w:pPr>
        <w:spacing w:line="590" w:lineRule="exact"/>
        <w:ind w:right="-105" w:rightChars="-50" w:firstLine="642" w:firstLineChars="200"/>
        <w:rPr>
          <w:rFonts w:ascii="方正黑体简体" w:eastAsia="方正黑体简体"/>
          <w:b/>
          <w:sz w:val="32"/>
          <w:szCs w:val="32"/>
        </w:rPr>
      </w:pPr>
      <w:r>
        <w:rPr>
          <w:rFonts w:hint="eastAsia" w:ascii="方正黑体简体" w:eastAsia="方正黑体简体"/>
          <w:b/>
          <w:sz w:val="32"/>
          <w:szCs w:val="32"/>
        </w:rPr>
        <w:t>四、政府信息公开行政复议、行政诉讼情况</w:t>
      </w:r>
    </w:p>
    <w:tbl>
      <w:tblPr>
        <w:tblStyle w:val="8"/>
        <w:tblW w:w="8810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5"/>
        <w:gridCol w:w="621"/>
        <w:gridCol w:w="600"/>
        <w:gridCol w:w="591"/>
        <w:gridCol w:w="461"/>
        <w:gridCol w:w="649"/>
        <w:gridCol w:w="649"/>
        <w:gridCol w:w="650"/>
        <w:gridCol w:w="636"/>
        <w:gridCol w:w="426"/>
        <w:gridCol w:w="650"/>
        <w:gridCol w:w="650"/>
        <w:gridCol w:w="650"/>
        <w:gridCol w:w="555"/>
        <w:gridCol w:w="407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888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2" w:leftChars="-20" w:right="-42" w:rightChars="-20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行政复议</w:t>
            </w:r>
          </w:p>
        </w:tc>
        <w:tc>
          <w:tcPr>
            <w:tcW w:w="5922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2" w:leftChars="-20" w:right="-42" w:rightChars="-20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行政诉讼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5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2" w:leftChars="-20" w:right="-42" w:rightChars="-20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结果维持</w:t>
            </w:r>
          </w:p>
        </w:tc>
        <w:tc>
          <w:tcPr>
            <w:tcW w:w="621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2" w:leftChars="-20" w:right="-42" w:rightChars="-20"/>
              <w:jc w:val="center"/>
              <w:rPr>
                <w:rFonts w:ascii="方正黑体简体" w:hAnsi="宋体" w:eastAsia="方正黑体简体" w:cs="宋体"/>
                <w:b/>
                <w:sz w:val="21"/>
                <w:szCs w:val="21"/>
                <w:lang w:bidi="ar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结果</w:t>
            </w:r>
          </w:p>
          <w:p>
            <w:pPr>
              <w:widowControl/>
              <w:spacing w:line="340" w:lineRule="exact"/>
              <w:ind w:left="-42" w:leftChars="-20" w:right="-42" w:rightChars="-20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纠正</w:t>
            </w:r>
          </w:p>
        </w:tc>
        <w:tc>
          <w:tcPr>
            <w:tcW w:w="600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2" w:leftChars="-20" w:right="-42" w:rightChars="-20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其他</w:t>
            </w: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br w:type="textWrapping"/>
            </w: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结果</w:t>
            </w:r>
          </w:p>
        </w:tc>
        <w:tc>
          <w:tcPr>
            <w:tcW w:w="591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2" w:leftChars="-20" w:right="-42" w:rightChars="-20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尚未</w:t>
            </w: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br w:type="textWrapping"/>
            </w: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审结</w:t>
            </w:r>
          </w:p>
        </w:tc>
        <w:tc>
          <w:tcPr>
            <w:tcW w:w="461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2" w:leftChars="-20" w:right="-42" w:rightChars="-20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总计</w:t>
            </w:r>
          </w:p>
        </w:tc>
        <w:tc>
          <w:tcPr>
            <w:tcW w:w="3010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2" w:leftChars="-20" w:right="-42" w:rightChars="-20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未经复议直接起诉</w:t>
            </w:r>
          </w:p>
        </w:tc>
        <w:tc>
          <w:tcPr>
            <w:tcW w:w="2912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2" w:leftChars="-20" w:right="-42" w:rightChars="-20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复议后起诉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spacing w:line="340" w:lineRule="exact"/>
              <w:ind w:left="-42" w:leftChars="-20" w:right="-42" w:rightChars="-20"/>
              <w:rPr>
                <w:rFonts w:ascii="方正黑体简体" w:eastAsia="方正黑体简体"/>
                <w:b/>
                <w:sz w:val="21"/>
                <w:szCs w:val="21"/>
              </w:rPr>
            </w:pPr>
          </w:p>
        </w:tc>
        <w:tc>
          <w:tcPr>
            <w:tcW w:w="621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spacing w:line="340" w:lineRule="exact"/>
              <w:ind w:left="-42" w:leftChars="-20" w:right="-42" w:rightChars="-20"/>
              <w:rPr>
                <w:rFonts w:ascii="方正黑体简体" w:eastAsia="方正黑体简体"/>
                <w:b/>
                <w:sz w:val="21"/>
                <w:szCs w:val="21"/>
              </w:rPr>
            </w:pPr>
          </w:p>
        </w:tc>
        <w:tc>
          <w:tcPr>
            <w:tcW w:w="60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spacing w:line="340" w:lineRule="exact"/>
              <w:ind w:left="-42" w:leftChars="-20" w:right="-42" w:rightChars="-20"/>
              <w:rPr>
                <w:rFonts w:ascii="方正黑体简体" w:eastAsia="方正黑体简体"/>
                <w:b/>
                <w:sz w:val="21"/>
                <w:szCs w:val="21"/>
              </w:rPr>
            </w:pPr>
          </w:p>
        </w:tc>
        <w:tc>
          <w:tcPr>
            <w:tcW w:w="591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spacing w:line="340" w:lineRule="exact"/>
              <w:ind w:left="-42" w:leftChars="-20" w:right="-42" w:rightChars="-20"/>
              <w:rPr>
                <w:rFonts w:ascii="方正黑体简体" w:eastAsia="方正黑体简体"/>
                <w:b/>
                <w:sz w:val="21"/>
                <w:szCs w:val="21"/>
              </w:rPr>
            </w:pPr>
          </w:p>
        </w:tc>
        <w:tc>
          <w:tcPr>
            <w:tcW w:w="461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spacing w:line="340" w:lineRule="exact"/>
              <w:ind w:left="-42" w:leftChars="-20" w:right="-42" w:rightChars="-20"/>
              <w:rPr>
                <w:rFonts w:ascii="方正黑体简体" w:eastAsia="方正黑体简体"/>
                <w:b/>
                <w:sz w:val="21"/>
                <w:szCs w:val="21"/>
              </w:rPr>
            </w:pP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2" w:leftChars="-20" w:right="-42" w:rightChars="-20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结果</w:t>
            </w: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br w:type="textWrapping"/>
            </w: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维持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2" w:leftChars="-20" w:right="-42" w:rightChars="-20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结果</w:t>
            </w: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br w:type="textWrapping"/>
            </w: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纠正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2" w:leftChars="-20" w:right="-42" w:rightChars="-20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其他</w:t>
            </w: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br w:type="textWrapping"/>
            </w: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结果</w:t>
            </w:r>
          </w:p>
        </w:tc>
        <w:tc>
          <w:tcPr>
            <w:tcW w:w="6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2" w:leftChars="-20" w:right="-42" w:rightChars="-20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尚未</w:t>
            </w: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br w:type="textWrapping"/>
            </w: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审结</w:t>
            </w:r>
          </w:p>
        </w:tc>
        <w:tc>
          <w:tcPr>
            <w:tcW w:w="42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2" w:leftChars="-20" w:right="-42" w:rightChars="-20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总计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2" w:leftChars="-20" w:right="-42" w:rightChars="-20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结果</w:t>
            </w: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br w:type="textWrapping"/>
            </w: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维持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2" w:leftChars="-20" w:right="-42" w:rightChars="-20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结果</w:t>
            </w: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br w:type="textWrapping"/>
            </w: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纠正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2" w:leftChars="-20" w:right="-42" w:rightChars="-20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其他</w:t>
            </w: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br w:type="textWrapping"/>
            </w: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结果</w:t>
            </w:r>
          </w:p>
        </w:tc>
        <w:tc>
          <w:tcPr>
            <w:tcW w:w="5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2" w:leftChars="-20" w:right="-42" w:rightChars="-20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尚未</w:t>
            </w: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br w:type="textWrapping"/>
            </w: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审结</w:t>
            </w:r>
          </w:p>
        </w:tc>
        <w:tc>
          <w:tcPr>
            <w:tcW w:w="4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2" w:leftChars="-20" w:right="-42" w:rightChars="-20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 w:hRule="atLeast"/>
          <w:jc w:val="center"/>
        </w:trPr>
        <w:tc>
          <w:tcPr>
            <w:tcW w:w="61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2" w:leftChars="-20" w:right="-42" w:rightChars="-20"/>
              <w:jc w:val="center"/>
              <w:rPr>
                <w:rFonts w:hint="eastAsia" w:ascii="方正黑体简体" w:hAnsi="Times New Roman" w:eastAsia="方正黑体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黑体简体" w:hAnsi="宋体" w:eastAsia="方正黑体简体" w:cs="黑体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黑体简体" w:hAnsi="宋体" w:eastAsia="方正黑体简体" w:cs="黑体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62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2" w:leftChars="-20" w:right="-42" w:rightChars="-20"/>
              <w:jc w:val="center"/>
              <w:rPr>
                <w:rFonts w:hint="eastAsia" w:ascii="方正黑体简体" w:hAnsi="Times New Roman" w:eastAsia="方正黑体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黑体简体" w:hAnsi="宋体" w:eastAsia="方正黑体简体" w:cs="黑体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黑体简体" w:hAnsi="宋体" w:eastAsia="方正黑体简体" w:cs="黑体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2" w:leftChars="-20" w:right="-42" w:rightChars="-20"/>
              <w:jc w:val="center"/>
              <w:rPr>
                <w:rFonts w:hint="eastAsia" w:ascii="方正黑体简体" w:hAnsi="Times New Roman" w:eastAsia="方正黑体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黑体简体" w:hAnsi="宋体" w:eastAsia="方正黑体简体" w:cs="黑体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黑体简体" w:hAnsi="宋体" w:eastAsia="方正黑体简体" w:cs="黑体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2" w:leftChars="-20" w:right="-42" w:rightChars="-20"/>
              <w:jc w:val="center"/>
              <w:rPr>
                <w:rFonts w:hint="eastAsia" w:ascii="方正黑体简体" w:hAnsi="Times New Roman" w:eastAsia="方正黑体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黑体简体" w:hAnsi="宋体" w:eastAsia="方正黑体简体" w:cs="黑体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黑体简体" w:hAnsi="宋体" w:eastAsia="方正黑体简体" w:cs="黑体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46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2" w:leftChars="-20" w:right="-42" w:rightChars="-20"/>
              <w:jc w:val="center"/>
              <w:rPr>
                <w:rFonts w:hint="eastAsia" w:ascii="方正黑体简体" w:hAnsi="Times New Roman" w:eastAsia="方正黑体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黑体简体" w:hAnsi="宋体" w:eastAsia="方正黑体简体" w:cs="黑体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黑体简体" w:hAnsi="宋体" w:eastAsia="方正黑体简体" w:cs="黑体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2" w:leftChars="-20" w:right="-42" w:rightChars="-20"/>
              <w:jc w:val="center"/>
              <w:rPr>
                <w:rFonts w:hint="eastAsia" w:ascii="方正黑体简体" w:hAnsi="Times New Roman" w:eastAsia="方正黑体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黑体简体" w:hAnsi="宋体" w:eastAsia="方正黑体简体" w:cs="黑体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黑体简体" w:hAnsi="宋体" w:eastAsia="方正黑体简体" w:cs="黑体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2" w:leftChars="-20" w:right="-42" w:rightChars="-20"/>
              <w:jc w:val="center"/>
              <w:rPr>
                <w:rFonts w:hint="eastAsia" w:ascii="方正黑体简体" w:hAnsi="Times New Roman" w:eastAsia="方正黑体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黑体简体" w:hAnsi="宋体" w:eastAsia="方正黑体简体" w:cs="黑体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黑体简体" w:hAnsi="宋体" w:eastAsia="方正黑体简体" w:cs="黑体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2" w:leftChars="-20" w:right="-42" w:rightChars="-20"/>
              <w:jc w:val="center"/>
              <w:rPr>
                <w:rFonts w:hint="eastAsia" w:ascii="方正黑体简体" w:hAnsi="Times New Roman" w:eastAsia="方正黑体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黑体简体" w:hAnsi="宋体" w:eastAsia="方正黑体简体" w:cs="黑体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黑体简体" w:hAnsi="宋体" w:eastAsia="方正黑体简体" w:cs="黑体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63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2" w:leftChars="-20" w:right="-42" w:rightChars="-20"/>
              <w:jc w:val="center"/>
              <w:rPr>
                <w:rFonts w:hint="eastAsia" w:ascii="方正黑体简体" w:hAnsi="Times New Roman" w:eastAsia="方正黑体简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黑体简体" w:hAnsi="宋体" w:eastAsia="方正黑体简体" w:cs="黑体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黑体简体" w:hAnsi="宋体" w:eastAsia="方正黑体简体" w:cs="黑体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2" w:leftChars="-20" w:right="-42" w:rightChars="-20"/>
              <w:jc w:val="center"/>
              <w:rPr>
                <w:rFonts w:hint="eastAsia" w:ascii="方正黑体简体" w:eastAsia="方正黑体简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简体" w:hAnsi="宋体" w:eastAsia="方正黑体简体" w:cs="黑体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黑体简体" w:hAnsi="宋体" w:eastAsia="方正黑体简体" w:cs="黑体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2" w:leftChars="-20" w:right="-42" w:rightChars="-20"/>
              <w:jc w:val="center"/>
              <w:rPr>
                <w:rFonts w:hint="eastAsia" w:ascii="方正黑体简体" w:eastAsia="方正黑体简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简体" w:hAnsi="宋体" w:eastAsia="方正黑体简体" w:cs="黑体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黑体简体" w:hAnsi="宋体" w:eastAsia="方正黑体简体" w:cs="黑体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2" w:leftChars="-20" w:right="-42" w:rightChars="-20"/>
              <w:jc w:val="center"/>
              <w:rPr>
                <w:rFonts w:hint="eastAsia" w:ascii="方正黑体简体" w:eastAsia="方正黑体简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简体" w:hAnsi="宋体" w:eastAsia="方正黑体简体" w:cs="黑体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黑体简体" w:hAnsi="宋体" w:eastAsia="方正黑体简体" w:cs="黑体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2" w:leftChars="-20" w:right="-42" w:rightChars="-20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黑体"/>
                <w:b/>
                <w:sz w:val="21"/>
                <w:szCs w:val="21"/>
                <w:lang w:val="en-US" w:eastAsia="zh-CN" w:bidi="ar"/>
              </w:rPr>
              <w:t>0</w:t>
            </w:r>
            <w:r>
              <w:rPr>
                <w:rFonts w:hint="eastAsia" w:ascii="方正黑体简体" w:hAnsi="宋体" w:eastAsia="方正黑体简体" w:cs="黑体"/>
                <w:b/>
                <w:sz w:val="21"/>
                <w:szCs w:val="21"/>
                <w:lang w:bidi="ar"/>
              </w:rPr>
              <w:t> </w:t>
            </w:r>
          </w:p>
        </w:tc>
        <w:tc>
          <w:tcPr>
            <w:tcW w:w="55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2" w:leftChars="-20" w:right="-42" w:rightChars="-20"/>
              <w:jc w:val="center"/>
              <w:rPr>
                <w:rFonts w:hint="eastAsia" w:ascii="方正黑体简体" w:eastAsia="方正黑体简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简体" w:hAnsi="宋体" w:eastAsia="方正黑体简体" w:cs="黑体"/>
                <w:b/>
                <w:sz w:val="21"/>
                <w:szCs w:val="21"/>
                <w:lang w:bidi="ar"/>
              </w:rPr>
              <w:t> </w:t>
            </w:r>
            <w:r>
              <w:rPr>
                <w:rFonts w:hint="eastAsia" w:ascii="方正黑体简体" w:hAnsi="宋体" w:eastAsia="方正黑体简体" w:cs="黑体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40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spacing w:line="340" w:lineRule="exact"/>
              <w:ind w:left="-42" w:leftChars="-20" w:right="-42" w:rightChars="-20"/>
              <w:rPr>
                <w:rFonts w:hint="eastAsia" w:ascii="方正黑体简体" w:eastAsia="方正黑体简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简体" w:eastAsia="方正黑体简体"/>
                <w:b/>
                <w:sz w:val="21"/>
                <w:szCs w:val="21"/>
                <w:lang w:val="en-US" w:eastAsia="zh-CN"/>
              </w:rPr>
              <w:t>0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right="-105" w:rightChars="-50" w:firstLine="642" w:firstLineChars="200"/>
        <w:textAlignment w:val="auto"/>
        <w:rPr>
          <w:rFonts w:ascii="方正黑体简体" w:eastAsia="方正黑体简体"/>
          <w:b/>
          <w:sz w:val="32"/>
          <w:szCs w:val="32"/>
        </w:rPr>
      </w:pPr>
      <w:r>
        <w:rPr>
          <w:rFonts w:hint="eastAsia" w:ascii="方正黑体简体" w:eastAsia="方正黑体简体"/>
          <w:b/>
          <w:sz w:val="32"/>
          <w:szCs w:val="32"/>
        </w:rPr>
        <w:t>五、存在的主要问题及改进情况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0" w:lineRule="exact"/>
        <w:ind w:firstLine="642" w:firstLineChars="200"/>
        <w:textAlignment w:val="auto"/>
        <w:rPr>
          <w:rFonts w:hint="eastAsia" w:ascii="方正仿宋简体" w:hAnsi="Times New Roman" w:eastAsia="方正仿宋简体" w:cs="Times New Roman"/>
          <w:b/>
          <w:color w:val="000000" w:themeColor="text1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简体" w:hAnsi="Times New Roman" w:eastAsia="方正仿宋简体" w:cs="Times New Roman"/>
          <w:b/>
          <w:color w:val="000000" w:themeColor="text1"/>
          <w:kern w:val="2"/>
          <w:sz w:val="32"/>
          <w:szCs w:val="32"/>
          <w:lang w:val="en-US" w:eastAsia="zh-CN" w:bidi="ar-SA"/>
        </w:rPr>
        <w:t>2021年，中心政府信息公开工作有序进行，但仍存在以下问题需要改进：一是政府信息公开力度不够，公开意识有待进一步提升;二是制度建设有待进一步完善;三是政务公开工作形式还需进一步加强。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0" w:lineRule="exact"/>
        <w:ind w:firstLine="642" w:firstLineChars="200"/>
        <w:textAlignment w:val="auto"/>
        <w:rPr>
          <w:rFonts w:hint="eastAsia" w:ascii="方正仿宋简体" w:hAnsi="Times New Roman" w:eastAsia="方正仿宋简体" w:cs="Times New Roman"/>
          <w:b/>
          <w:color w:val="000000" w:themeColor="text1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简体" w:hAnsi="Times New Roman" w:eastAsia="方正仿宋简体" w:cs="Times New Roman"/>
          <w:b/>
          <w:color w:val="000000" w:themeColor="text1"/>
          <w:kern w:val="2"/>
          <w:sz w:val="32"/>
          <w:szCs w:val="32"/>
          <w:lang w:val="en-US" w:eastAsia="zh-CN" w:bidi="ar-SA"/>
        </w:rPr>
        <w:t>针对存在的问题，下一步中心将做好以下工作：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2" w:firstLineChars="200"/>
        <w:jc w:val="left"/>
        <w:textAlignment w:val="auto"/>
        <w:rPr>
          <w:rFonts w:hint="eastAsia" w:ascii="方正仿宋简体" w:hAnsi="Times New Roman" w:eastAsia="方正仿宋简体" w:cs="Times New Roman"/>
          <w:b/>
          <w:color w:val="000000" w:themeColor="text1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简体" w:hAnsi="Times New Roman" w:eastAsia="方正仿宋简体" w:cs="Times New Roman"/>
          <w:b/>
          <w:color w:val="000000" w:themeColor="text1"/>
          <w:kern w:val="2"/>
          <w:sz w:val="32"/>
          <w:szCs w:val="32"/>
          <w:lang w:val="en-US" w:eastAsia="zh-CN" w:bidi="ar-SA"/>
        </w:rPr>
        <w:t>一是</w:t>
      </w:r>
      <w:r>
        <w:rPr>
          <w:rFonts w:hint="eastAsia" w:ascii="方正仿宋简体" w:eastAsia="方正仿宋简体" w:cs="Times New Roman"/>
          <w:b/>
          <w:color w:val="000000" w:themeColor="text1"/>
          <w:kern w:val="2"/>
          <w:sz w:val="32"/>
          <w:szCs w:val="32"/>
          <w:lang w:val="en-US" w:eastAsia="zh-CN" w:bidi="ar-SA"/>
        </w:rPr>
        <w:t>进一步加大公开力度，</w:t>
      </w:r>
      <w:r>
        <w:rPr>
          <w:rFonts w:hint="eastAsia" w:ascii="方正仿宋简体" w:hAnsi="Times New Roman" w:eastAsia="方正仿宋简体" w:cs="Times New Roman"/>
          <w:b/>
          <w:color w:val="000000" w:themeColor="text1"/>
          <w:kern w:val="2"/>
          <w:sz w:val="32"/>
          <w:szCs w:val="32"/>
          <w:lang w:val="en-US" w:eastAsia="zh-CN" w:bidi="ar-SA"/>
        </w:rPr>
        <w:t>切实树牢以人民为中心的发展定位，秉承人民至上的理念，切实解决群众疾苦和急难愁盼的问题。要切实把人民至上的理念落实到行动上、落实到为群众办实事上。</w:t>
      </w:r>
      <w:r>
        <w:rPr>
          <w:rFonts w:hint="eastAsia" w:ascii="方正仿宋简体" w:eastAsia="方正仿宋简体" w:cs="Times New Roman"/>
          <w:b/>
          <w:color w:val="000000" w:themeColor="text1"/>
          <w:kern w:val="2"/>
          <w:sz w:val="32"/>
          <w:szCs w:val="32"/>
          <w:lang w:val="en-US" w:eastAsia="zh-CN" w:bidi="ar-SA"/>
        </w:rPr>
        <w:t>想群众之所想，把群众</w:t>
      </w:r>
      <w:r>
        <w:rPr>
          <w:rFonts w:hint="eastAsia" w:ascii="方正仿宋简体" w:hAnsi="Times New Roman" w:eastAsia="方正仿宋简体" w:cs="Times New Roman"/>
          <w:b/>
          <w:color w:val="000000" w:themeColor="text1"/>
          <w:kern w:val="2"/>
          <w:sz w:val="32"/>
          <w:szCs w:val="32"/>
          <w:lang w:val="en-US" w:eastAsia="zh-CN" w:bidi="ar-SA"/>
        </w:rPr>
        <w:t>关注</w:t>
      </w:r>
      <w:r>
        <w:rPr>
          <w:rFonts w:hint="eastAsia" w:ascii="方正仿宋简体" w:eastAsia="方正仿宋简体" w:cs="Times New Roman"/>
          <w:b/>
          <w:color w:val="000000" w:themeColor="text1"/>
          <w:kern w:val="2"/>
          <w:sz w:val="32"/>
          <w:szCs w:val="32"/>
          <w:lang w:val="en-US" w:eastAsia="zh-CN" w:bidi="ar-SA"/>
        </w:rPr>
        <w:t>的事情及时全面依法公开。</w:t>
      </w:r>
      <w:r>
        <w:rPr>
          <w:rFonts w:hint="eastAsia" w:ascii="方正仿宋简体" w:hAnsi="Times New Roman" w:eastAsia="方正仿宋简体" w:cs="Times New Roman"/>
          <w:b/>
          <w:color w:val="000000" w:themeColor="text1"/>
          <w:kern w:val="2"/>
          <w:sz w:val="32"/>
          <w:szCs w:val="32"/>
          <w:lang w:val="en-US" w:eastAsia="zh-CN" w:bidi="ar-SA"/>
        </w:rPr>
        <w:t>积极回应群众关切，切实维护缴存职工的合法权益。</w:t>
      </w:r>
      <w:r>
        <w:rPr>
          <w:rFonts w:hint="eastAsia" w:ascii="方正仿宋简体" w:eastAsia="方正仿宋简体" w:cs="Times New Roman"/>
          <w:b/>
          <w:color w:val="000000" w:themeColor="text1"/>
          <w:kern w:val="2"/>
          <w:sz w:val="32"/>
          <w:szCs w:val="32"/>
          <w:lang w:val="en-US" w:eastAsia="zh-CN" w:bidi="ar-SA"/>
        </w:rPr>
        <w:t>加大对</w:t>
      </w:r>
      <w:r>
        <w:rPr>
          <w:rFonts w:hint="eastAsia" w:ascii="方正仿宋简体" w:hAnsi="Times New Roman" w:eastAsia="方正仿宋简体" w:cs="Times New Roman"/>
          <w:b/>
          <w:color w:val="000000" w:themeColor="text1"/>
          <w:kern w:val="2"/>
          <w:sz w:val="32"/>
          <w:szCs w:val="32"/>
          <w:lang w:val="en-US" w:eastAsia="zh-CN" w:bidi="ar-SA"/>
        </w:rPr>
        <w:t>各科室、分支机构</w:t>
      </w:r>
      <w:r>
        <w:rPr>
          <w:rFonts w:hint="eastAsia" w:ascii="方正仿宋简体" w:eastAsia="方正仿宋简体" w:cs="Times New Roman"/>
          <w:b/>
          <w:color w:val="000000" w:themeColor="text1"/>
          <w:kern w:val="2"/>
          <w:sz w:val="32"/>
          <w:szCs w:val="32"/>
          <w:lang w:val="en-US" w:eastAsia="zh-CN" w:bidi="ar-SA"/>
        </w:rPr>
        <w:t>政务公开工作的检查力度，促使各科室、分支机构加强政务公开工作意识。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2" w:firstLineChars="200"/>
        <w:jc w:val="left"/>
        <w:textAlignment w:val="auto"/>
      </w:pPr>
      <w:r>
        <w:rPr>
          <w:rFonts w:hint="eastAsia" w:ascii="方正仿宋简体" w:hAnsi="Times New Roman" w:eastAsia="方正仿宋简体" w:cs="Times New Roman"/>
          <w:b/>
          <w:color w:val="000000" w:themeColor="text1"/>
          <w:kern w:val="2"/>
          <w:sz w:val="32"/>
          <w:szCs w:val="32"/>
          <w:lang w:val="en-US" w:eastAsia="zh-CN" w:bidi="ar-SA"/>
        </w:rPr>
        <w:t>二是加强制度建设，研究制定长效机制。</w:t>
      </w:r>
      <w:r>
        <w:rPr>
          <w:rFonts w:hint="eastAsia" w:ascii="方正仿宋简体" w:eastAsia="方正仿宋简体" w:cs="Times New Roman"/>
          <w:b/>
          <w:color w:val="000000" w:themeColor="text1"/>
          <w:kern w:val="2"/>
          <w:sz w:val="32"/>
          <w:szCs w:val="32"/>
          <w:lang w:val="en-US" w:eastAsia="zh-CN" w:bidi="ar-SA"/>
        </w:rPr>
        <w:t>进一步完善政务公开工作的责任制度，强化责任追究，层层落实责任。建立政务公开社会评价体系，加</w:t>
      </w:r>
      <w:r>
        <w:rPr>
          <w:rFonts w:hint="eastAsia" w:ascii="方正仿宋简体" w:hAnsi="Times New Roman" w:eastAsia="方正仿宋简体" w:cs="Times New Roman"/>
          <w:b/>
          <w:color w:val="000000" w:themeColor="text1"/>
          <w:kern w:val="2"/>
          <w:sz w:val="32"/>
          <w:szCs w:val="32"/>
          <w:lang w:val="en-US" w:eastAsia="zh-CN" w:bidi="ar-SA"/>
        </w:rPr>
        <w:t>强群众对中心政务公开工作的监督和评价。各科室、分支机构主要负责人要带好队伍、严格要求、加强管理。</w:t>
      </w:r>
      <w:r>
        <w:rPr>
          <w:rFonts w:hint="eastAsia" w:ascii="方正仿宋简体" w:eastAsia="方正仿宋简体" w:cs="Times New Roman"/>
          <w:b/>
          <w:color w:val="000000" w:themeColor="text1"/>
          <w:kern w:val="2"/>
          <w:sz w:val="32"/>
          <w:szCs w:val="32"/>
          <w:lang w:val="en-US" w:eastAsia="zh-CN" w:bidi="ar-SA"/>
        </w:rPr>
        <w:t>努力做好本部门的政务公开工作</w:t>
      </w:r>
      <w:r>
        <w:rPr>
          <w:rFonts w:hint="eastAsia" w:ascii="方正仿宋简体" w:hAnsi="Times New Roman" w:eastAsia="方正仿宋简体" w:cs="Times New Roman"/>
          <w:b/>
          <w:color w:val="000000" w:themeColor="text1"/>
          <w:kern w:val="2"/>
          <w:sz w:val="32"/>
          <w:szCs w:val="32"/>
          <w:lang w:val="en-US" w:eastAsia="zh-CN" w:bidi="ar-SA"/>
        </w:rPr>
        <w:t>。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0" w:lineRule="exact"/>
        <w:ind w:firstLine="642" w:firstLineChars="200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方正仿宋简体" w:eastAsia="方正仿宋简体" w:cs="Times New Roman"/>
          <w:b/>
          <w:color w:val="000000" w:themeColor="text1"/>
          <w:kern w:val="2"/>
          <w:sz w:val="32"/>
          <w:szCs w:val="32"/>
          <w:lang w:val="en-US" w:eastAsia="zh-CN" w:bidi="ar-SA"/>
        </w:rPr>
        <w:t>三是创新政务公开工作形式。把政务公开工作与社会服务承诺相结合，充分利用住房公积金窗口服务的优势，把面对面做好政务公开工作发挥好，在服务群众时，</w:t>
      </w:r>
      <w:r>
        <w:rPr>
          <w:rFonts w:hint="eastAsia" w:ascii="方正仿宋简体" w:hAnsi="Times New Roman" w:eastAsia="方正仿宋简体" w:cs="Times New Roman"/>
          <w:b/>
          <w:color w:val="000000" w:themeColor="text1"/>
          <w:kern w:val="2"/>
          <w:sz w:val="32"/>
          <w:szCs w:val="32"/>
          <w:lang w:val="en-US" w:eastAsia="zh-CN" w:bidi="ar-SA"/>
        </w:rPr>
        <w:t>牢固树立民生为重、服务为先的导向，把群众放心上，把群众当亲人，以群众满意作为工作的出发点和落脚点，让办事群众到住房公积金每个办事窗口都能找到家的温馨感觉，让办事顺心、开心。多多征求办事群众的意见建议，将征集调查工作发挥其应有之能，提高群众参与政务的积极性，为住房公积金事业发展建言献策。让办事群众主人翁意识进一步加强，对住房公积金依法管理给予理解和大力支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right="-105" w:rightChars="-50" w:firstLine="642" w:firstLineChars="200"/>
        <w:textAlignment w:val="auto"/>
        <w:rPr>
          <w:rFonts w:hint="eastAsia" w:ascii="方正黑体简体" w:eastAsia="方正黑体简体"/>
          <w:b/>
          <w:sz w:val="32"/>
          <w:szCs w:val="32"/>
        </w:rPr>
      </w:pPr>
      <w:r>
        <w:rPr>
          <w:rFonts w:hint="eastAsia" w:ascii="方正黑体简体" w:eastAsia="方正黑体简体"/>
          <w:b/>
          <w:sz w:val="32"/>
          <w:szCs w:val="32"/>
        </w:rPr>
        <w:t>六、其他需要报告的事项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2" w:firstLineChars="200"/>
        <w:jc w:val="left"/>
        <w:textAlignment w:val="auto"/>
        <w:rPr>
          <w:rFonts w:hint="eastAsia" w:ascii="方正仿宋简体" w:hAnsi="Times New Roman" w:eastAsia="方正仿宋简体" w:cs="Times New Roman"/>
          <w:b/>
          <w:color w:val="000000" w:themeColor="text1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简体" w:hAnsi="Calibri" w:eastAsia="方正仿宋简体" w:cs="Times New Roman"/>
          <w:b/>
          <w:color w:val="000000" w:themeColor="text1"/>
          <w:kern w:val="2"/>
          <w:sz w:val="32"/>
          <w:szCs w:val="32"/>
          <w:lang w:val="en-US" w:eastAsia="zh-CN" w:bidi="ar-SA"/>
        </w:rPr>
        <w:t>2021年，中心认真贯彻市委、市政府《2021年政务公开工作任务分解表》，结合工作实际，细化任务目标，认真全面依法做好政务公开工作。依据《政府信息公开信息处理费管理办法》，本中心依申请公开不收费，2021年度中心未收到依申请公开件。2021年度中心共收到一件人大代表建议为：市十七届人大七次会议代表第122号：《关于取消公积金异地提取户籍限制的建议》，此建议已办结</w:t>
      </w:r>
      <w:r>
        <w:rPr>
          <w:rFonts w:hint="eastAsia" w:ascii="方正仿宋简体" w:hAnsi="Times New Roman" w:eastAsia="方正仿宋简体" w:cs="Times New Roman"/>
          <w:b/>
          <w:color w:val="000000" w:themeColor="text1"/>
          <w:kern w:val="2"/>
          <w:sz w:val="32"/>
          <w:szCs w:val="32"/>
          <w:lang w:val="en-US" w:eastAsia="zh-CN" w:bidi="ar-SA"/>
        </w:rPr>
        <w:t>，人大代表对办理结果满意。2021年度未收到政协委员提案。</w:t>
      </w:r>
    </w:p>
    <w:p>
      <w:pPr>
        <w:spacing w:line="576" w:lineRule="exact"/>
        <w:ind w:firstLine="640" w:firstLineChars="200"/>
        <w:rPr>
          <w:rFonts w:hint="eastAsia" w:ascii="仿宋" w:hAnsi="仿宋" w:eastAsia="仿宋" w:cs="仿宋"/>
          <w:sz w:val="32"/>
          <w:szCs w:val="32"/>
          <w:shd w:val="clear" w:color="auto" w:fill="FFFFFF"/>
        </w:rPr>
      </w:pPr>
    </w:p>
    <w:p>
      <w:pPr>
        <w:spacing w:line="576" w:lineRule="exact"/>
        <w:ind w:firstLine="640" w:firstLineChars="200"/>
        <w:rPr>
          <w:rFonts w:hint="eastAsia" w:ascii="仿宋" w:hAnsi="仿宋" w:eastAsia="仿宋" w:cs="仿宋"/>
          <w:sz w:val="32"/>
          <w:szCs w:val="32"/>
          <w:shd w:val="clear" w:color="auto" w:fill="FFFFFF"/>
        </w:rPr>
      </w:pPr>
    </w:p>
    <w:p>
      <w:pPr>
        <w:spacing w:line="576" w:lineRule="exact"/>
        <w:ind w:firstLine="640" w:firstLineChars="200"/>
        <w:rPr>
          <w:rFonts w:hint="eastAsia" w:ascii="仿宋" w:hAnsi="仿宋" w:eastAsia="仿宋" w:cs="仿宋"/>
          <w:sz w:val="32"/>
          <w:szCs w:val="32"/>
          <w:shd w:val="clear" w:color="auto" w:fill="FFFFFF"/>
        </w:rPr>
      </w:pPr>
    </w:p>
    <w:p>
      <w:pPr>
        <w:spacing w:line="576" w:lineRule="exact"/>
        <w:ind w:firstLine="640" w:firstLineChars="200"/>
        <w:rPr>
          <w:rFonts w:hint="eastAsia" w:ascii="仿宋" w:hAnsi="仿宋" w:eastAsia="仿宋" w:cs="仿宋"/>
          <w:sz w:val="32"/>
          <w:szCs w:val="32"/>
          <w:shd w:val="clear" w:color="auto" w:fill="FFFFFF"/>
        </w:rPr>
      </w:pP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  <w:shd w:val="clear" w:color="auto" w:fill="FFFFFF"/>
        </w:rPr>
      </w:pP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 xml:space="preserve">                    </w:t>
      </w:r>
      <w:r>
        <w:rPr>
          <w:rFonts w:hint="eastAsia" w:ascii="方正仿宋简体" w:hAnsi="Calibri" w:eastAsia="方正仿宋简体" w:cs="Times New Roman"/>
          <w:b/>
          <w:color w:val="000000" w:themeColor="text1"/>
          <w:kern w:val="2"/>
          <w:sz w:val="32"/>
          <w:szCs w:val="32"/>
          <w:lang w:val="en-US" w:eastAsia="zh-CN" w:bidi="ar-SA"/>
        </w:rPr>
        <w:t xml:space="preserve"> 济宁市住房公积金管理中心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 xml:space="preserve">                         </w:t>
      </w:r>
      <w:r>
        <w:rPr>
          <w:rFonts w:hint="eastAsia" w:ascii="方正仿宋简体" w:hAnsi="Calibri" w:eastAsia="方正仿宋简体" w:cs="Times New Roman"/>
          <w:b/>
          <w:color w:val="000000" w:themeColor="text1"/>
          <w:kern w:val="2"/>
          <w:sz w:val="32"/>
          <w:szCs w:val="32"/>
          <w:lang w:val="en-US" w:eastAsia="zh-CN" w:bidi="ar-SA"/>
        </w:rPr>
        <w:t>2022年1月17日</w:t>
      </w:r>
    </w:p>
    <w:p>
      <w:pPr>
        <w:spacing w:line="576" w:lineRule="exact"/>
        <w:ind w:firstLine="640" w:firstLineChars="200"/>
        <w:rPr>
          <w:rFonts w:ascii="仿宋" w:hAnsi="仿宋" w:eastAsia="仿宋" w:cs="仿宋"/>
          <w:sz w:val="32"/>
          <w:szCs w:val="32"/>
          <w:shd w:val="clear" w:color="auto" w:fill="FFFFFF"/>
        </w:rPr>
      </w:pPr>
    </w:p>
    <w:p>
      <w:pPr>
        <w:spacing w:line="600" w:lineRule="exact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600" w:lineRule="exact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600" w:lineRule="exact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600" w:lineRule="exact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600" w:lineRule="exact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600" w:lineRule="exact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600" w:lineRule="exact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600" w:lineRule="exact"/>
        <w:rPr>
          <w:rFonts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417" w:right="1531" w:bottom="1417" w:left="153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汉仪瑞意宋简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altName w:val="方正楷体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altName w:val="方正黑体_GBK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172A27"/>
    <w:rsid w:val="00172A27"/>
    <w:rsid w:val="001B2098"/>
    <w:rsid w:val="0044316C"/>
    <w:rsid w:val="004544DF"/>
    <w:rsid w:val="00491960"/>
    <w:rsid w:val="005237DC"/>
    <w:rsid w:val="005C7EDD"/>
    <w:rsid w:val="005D38DA"/>
    <w:rsid w:val="00950F2E"/>
    <w:rsid w:val="00A11E50"/>
    <w:rsid w:val="00A839D5"/>
    <w:rsid w:val="00C654C5"/>
    <w:rsid w:val="00D93D70"/>
    <w:rsid w:val="16DFEC19"/>
    <w:rsid w:val="17C59877"/>
    <w:rsid w:val="1D9AED25"/>
    <w:rsid w:val="1FDDB556"/>
    <w:rsid w:val="24377C6C"/>
    <w:rsid w:val="3BFDDADE"/>
    <w:rsid w:val="3E53CA76"/>
    <w:rsid w:val="3EFEB671"/>
    <w:rsid w:val="3EFFB063"/>
    <w:rsid w:val="3F3C2EE9"/>
    <w:rsid w:val="3F7EB65E"/>
    <w:rsid w:val="3F9B1B62"/>
    <w:rsid w:val="3FFD0A85"/>
    <w:rsid w:val="3FFD5A15"/>
    <w:rsid w:val="4D4AD7AB"/>
    <w:rsid w:val="4E684E73"/>
    <w:rsid w:val="55FBD72F"/>
    <w:rsid w:val="565A8DC5"/>
    <w:rsid w:val="59FC534D"/>
    <w:rsid w:val="5CBF2E0C"/>
    <w:rsid w:val="5EFA22FD"/>
    <w:rsid w:val="5FED3C9C"/>
    <w:rsid w:val="5FFC2BA0"/>
    <w:rsid w:val="5FFF977D"/>
    <w:rsid w:val="66C90C3F"/>
    <w:rsid w:val="6B5A42B8"/>
    <w:rsid w:val="6EFF63BB"/>
    <w:rsid w:val="6FAF2395"/>
    <w:rsid w:val="6FF36BD8"/>
    <w:rsid w:val="6FFDE101"/>
    <w:rsid w:val="77CDD7E3"/>
    <w:rsid w:val="783FCC21"/>
    <w:rsid w:val="7A5FF987"/>
    <w:rsid w:val="7B79E88C"/>
    <w:rsid w:val="7BFBF647"/>
    <w:rsid w:val="7CDBF945"/>
    <w:rsid w:val="7E7759AB"/>
    <w:rsid w:val="7F5D1C12"/>
    <w:rsid w:val="7FBD2D49"/>
    <w:rsid w:val="7FEE4873"/>
    <w:rsid w:val="7FF67A42"/>
    <w:rsid w:val="7FFFD183"/>
    <w:rsid w:val="9CCF9615"/>
    <w:rsid w:val="AF54718F"/>
    <w:rsid w:val="B5572430"/>
    <w:rsid w:val="B93D9F7E"/>
    <w:rsid w:val="BAFFDF30"/>
    <w:rsid w:val="BC614D12"/>
    <w:rsid w:val="BF7F5E76"/>
    <w:rsid w:val="BFF32753"/>
    <w:rsid w:val="CBFF5B9E"/>
    <w:rsid w:val="D71FFBFA"/>
    <w:rsid w:val="D7ACDDA4"/>
    <w:rsid w:val="DBD23C55"/>
    <w:rsid w:val="DDB1CA62"/>
    <w:rsid w:val="DE622378"/>
    <w:rsid w:val="DEF7EAD3"/>
    <w:rsid w:val="E7FF3B69"/>
    <w:rsid w:val="E8FFB28D"/>
    <w:rsid w:val="EFDB917D"/>
    <w:rsid w:val="EFFBEE79"/>
    <w:rsid w:val="EFFC02BB"/>
    <w:rsid w:val="F5E50778"/>
    <w:rsid w:val="F5FEBAA6"/>
    <w:rsid w:val="F7E5061D"/>
    <w:rsid w:val="FADB567F"/>
    <w:rsid w:val="FBDF5ECE"/>
    <w:rsid w:val="FC573370"/>
    <w:rsid w:val="FD6FC755"/>
    <w:rsid w:val="FDB0AC22"/>
    <w:rsid w:val="FDDF8808"/>
    <w:rsid w:val="FDFF420B"/>
    <w:rsid w:val="FE7FC90E"/>
    <w:rsid w:val="FEBF1367"/>
    <w:rsid w:val="FEDBC220"/>
    <w:rsid w:val="FEE69DFD"/>
    <w:rsid w:val="FEF5A61D"/>
    <w:rsid w:val="FF460500"/>
    <w:rsid w:val="FF77B95D"/>
    <w:rsid w:val="FFADD0F8"/>
    <w:rsid w:val="FFDFC842"/>
    <w:rsid w:val="FFEB36E5"/>
    <w:rsid w:val="FFFCB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name="header"/>
    <w:lsdException w:qFormat="1" w:uiPriority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link w:val="13"/>
    <w:qFormat/>
    <w:uiPriority w:val="99"/>
    <w:pPr>
      <w:spacing w:beforeAutospacing="1" w:afterAutospacing="1"/>
      <w:jc w:val="left"/>
      <w:outlineLvl w:val="0"/>
    </w:pPr>
    <w:rPr>
      <w:rFonts w:ascii="宋体" w:hAnsi="宋体" w:cs="宋体"/>
      <w:b/>
      <w:bCs/>
      <w:kern w:val="44"/>
      <w:sz w:val="48"/>
      <w:szCs w:val="4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next w:val="2"/>
    <w:qFormat/>
    <w:uiPriority w:val="0"/>
    <w:pPr>
      <w:spacing w:after="120"/>
      <w:ind w:left="420" w:leftChars="200"/>
    </w:pPr>
  </w:style>
  <w:style w:type="paragraph" w:styleId="5">
    <w:name w:val="footer"/>
    <w:basedOn w:val="1"/>
    <w:link w:val="12"/>
    <w:semiHidden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semiHidden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ascii="Calibri" w:hAnsi="Calibri"/>
      <w:kern w:val="0"/>
      <w:sz w:val="24"/>
    </w:rPr>
  </w:style>
  <w:style w:type="character" w:styleId="10">
    <w:name w:val="Strong"/>
    <w:basedOn w:val="9"/>
    <w:qFormat/>
    <w:uiPriority w:val="22"/>
    <w:rPr>
      <w:b/>
    </w:rPr>
  </w:style>
  <w:style w:type="character" w:customStyle="1" w:styleId="11">
    <w:name w:val="页眉 Char"/>
    <w:basedOn w:val="9"/>
    <w:link w:val="6"/>
    <w:semiHidden/>
    <w:qFormat/>
    <w:uiPriority w:val="0"/>
    <w:rPr>
      <w:kern w:val="2"/>
      <w:sz w:val="18"/>
      <w:szCs w:val="18"/>
    </w:rPr>
  </w:style>
  <w:style w:type="character" w:customStyle="1" w:styleId="12">
    <w:name w:val="页脚 Char"/>
    <w:basedOn w:val="9"/>
    <w:link w:val="5"/>
    <w:semiHidden/>
    <w:qFormat/>
    <w:uiPriority w:val="0"/>
    <w:rPr>
      <w:kern w:val="2"/>
      <w:sz w:val="18"/>
      <w:szCs w:val="18"/>
    </w:rPr>
  </w:style>
  <w:style w:type="character" w:customStyle="1" w:styleId="13">
    <w:name w:val="标题 1 Char"/>
    <w:basedOn w:val="9"/>
    <w:link w:val="4"/>
    <w:qFormat/>
    <w:uiPriority w:val="99"/>
    <w:rPr>
      <w:rFonts w:ascii="宋体" w:hAnsi="宋体" w:cs="宋体"/>
      <w:b/>
      <w:bCs/>
      <w:kern w:val="44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721</Words>
  <Characters>4115</Characters>
  <Lines>34</Lines>
  <Paragraphs>9</Paragraphs>
  <TotalTime>33</TotalTime>
  <ScaleCrop>false</ScaleCrop>
  <LinksUpToDate>false</LinksUpToDate>
  <CharactersWithSpaces>4827</CharactersWithSpaces>
  <Application>WPS Office_11.8.2.9958_F1E327BC-269C-435d-A152-05C5408002CA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2019-08-11T00:25:00Z</dcterms:created>
  <dc:creator>Administrator</dc:creator>
  <cp:lastModifiedBy>thtf</cp:lastModifiedBy>
  <dcterms:modified xsi:type="dcterms:W3CDTF">2022-10-13T09:53:49Z</dcterms:modified>
  <dc:title>济宁市住房公积金管理中心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2052-11.8.2.9958</vt:lpwstr>
  </property>
</Properties>
</file>