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ind w:right="-96" w:rightChars="-50"/>
        <w:jc w:val="center"/>
        <w:rPr>
          <w:rFonts w:ascii="方正小标宋简体" w:eastAsia="方正小标宋简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济宁市人民政府外事办公室</w:t>
      </w:r>
      <w:r>
        <w:rPr>
          <w:rFonts w:hint="eastAsia" w:ascii="方正小标宋简体" w:eastAsia="方正小标宋简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2021年政府信息公开工作年度报告</w:t>
      </w:r>
    </w:p>
    <w:p>
      <w:pPr>
        <w:spacing w:line="590" w:lineRule="exact"/>
        <w:ind w:right="-96" w:rightChars="-50" w:firstLine="624" w:firstLineChars="200"/>
        <w:rPr>
          <w:rFonts w:ascii="方正仿宋简体" w:eastAsia="方正仿宋简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90" w:lineRule="exact"/>
        <w:ind w:right="-96" w:rightChars="-50" w:firstLine="624" w:firstLineChars="200"/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本报告由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济宁市人民政府外事办公室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按照《中华人民共和国政府信息公开条例》（以下简称《条例》）和《中华人民共和国政府信息公开工作年度报告格式》（国办公开办函〔2021〕30号）要求编制。</w:t>
      </w:r>
    </w:p>
    <w:p>
      <w:pPr>
        <w:spacing w:line="590" w:lineRule="exact"/>
        <w:ind w:right="-96" w:rightChars="-50" w:firstLine="624" w:firstLineChars="200"/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本报告内容包括总体情况、主动公开政府信息情况、收到和处理政府信息公开申请情况、政府信息公开行政复议和行政诉讼情况、存在的主要问题及改进情况、其他需要报告的事项等六部分内容。</w:t>
      </w:r>
    </w:p>
    <w:p>
      <w:pPr>
        <w:spacing w:line="590" w:lineRule="exact"/>
        <w:ind w:right="-96" w:rightChars="-50" w:firstLine="624" w:firstLineChars="200"/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本报告所列数据的统计期限自2021年1月1日起至2021年12月31日止。本报告电子版可在“中国·济宁”政府门户网站（具体网址）查阅或下载。如对本报告有疑问，请与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济宁市人民政府外事办公室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联系（地址：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济宁市太白湖新区省运会指挥中心圣贤路7号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，联系电话：0537-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2348660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）。</w:t>
      </w:r>
    </w:p>
    <w:p>
      <w:pPr>
        <w:spacing w:line="590" w:lineRule="exact"/>
        <w:ind w:right="-96" w:rightChars="-50" w:firstLine="624" w:firstLineChars="200"/>
        <w:rPr>
          <w:rFonts w:hint="eastAsia" w:ascii="方正黑体简体" w:eastAsia="方正黑体简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黑体简体" w:eastAsia="方正黑体简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一、总体情况</w:t>
      </w:r>
      <w:r>
        <w:rPr>
          <w:rFonts w:hint="eastAsia" w:ascii="方正黑体简体" w:eastAsia="方正黑体简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90" w:lineRule="exact"/>
        <w:ind w:right="-96" w:rightChars="-50" w:firstLine="624" w:firstLineChars="200"/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2021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，市外办认真贯彻落实《中华人民共和国政府信息公开条例》和省、市信息公开工作部署要求，坚持以公开透明、公平公正为主线，以服务中心、方便群众为立足点，以促进权力公开透明运行和重点领域信息公开工作为重点，围绕中心、贴近民生、强化措施，依法、及时、准确地公本部门政府信息，推进政府信息公开工作深入开展。</w:t>
      </w:r>
    </w:p>
    <w:p>
      <w:pPr>
        <w:spacing w:line="590" w:lineRule="exact"/>
        <w:ind w:right="-96" w:rightChars="-50" w:firstLine="624" w:firstLineChars="200"/>
        <w:rPr>
          <w:rFonts w:ascii="方正楷体简体" w:eastAsia="方正楷体简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楷体简体" w:eastAsia="方正楷体简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（一）主动公开情况</w:t>
      </w:r>
    </w:p>
    <w:p>
      <w:pPr>
        <w:spacing w:line="590" w:lineRule="exact"/>
        <w:ind w:right="-96" w:rightChars="-50" w:firstLine="624" w:firstLineChars="200"/>
        <w:rPr>
          <w:rFonts w:hint="eastAsia" w:ascii="方正仿宋简体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1、机构职能</w:t>
      </w:r>
    </w:p>
    <w:p>
      <w:pPr>
        <w:spacing w:line="590" w:lineRule="exact"/>
        <w:ind w:right="-96" w:rightChars="-50" w:firstLine="624" w:firstLineChars="200"/>
        <w:rPr>
          <w:rFonts w:hint="default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已按照统一格式公开本级政府部门负责人姓名、内设机构职 </w:t>
      </w:r>
      <w:r>
        <w:rPr>
          <w:rFonts w:hint="default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性别、民族、出生年月、学历学位、政治面貌、照片等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84" w:firstLineChars="200"/>
        <w:jc w:val="both"/>
        <w:textAlignment w:val="auto"/>
        <w:rPr>
          <w:highlight w:val="yellow"/>
        </w:rPr>
      </w:pPr>
      <w:r>
        <w:rPr>
          <w:highlight w:val="yellow"/>
        </w:rPr>
        <w:drawing>
          <wp:inline distT="0" distB="0" distL="114300" distR="114300">
            <wp:extent cx="5272405" cy="4478655"/>
            <wp:effectExtent l="0" t="0" r="4445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84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lang w:val="en-US" w:eastAsia="zh-CN"/>
        </w:rPr>
      </w:pPr>
      <w:r>
        <w:drawing>
          <wp:inline distT="0" distB="0" distL="114300" distR="114300">
            <wp:extent cx="5271770" cy="3746500"/>
            <wp:effectExtent l="0" t="0" r="5080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84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lang w:val="en-US" w:eastAsia="zh-CN"/>
        </w:rPr>
      </w:pPr>
      <w:r>
        <w:drawing>
          <wp:inline distT="0" distB="0" distL="114300" distR="114300">
            <wp:extent cx="5273675" cy="4145915"/>
            <wp:effectExtent l="0" t="0" r="3175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84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4500880" cy="3441065"/>
            <wp:effectExtent l="0" t="0" r="1397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84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9865" cy="1430655"/>
            <wp:effectExtent l="0" t="0" r="6985" b="1714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84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1770" cy="2768600"/>
            <wp:effectExtent l="0" t="0" r="5080" b="1270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84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1770" cy="2231390"/>
            <wp:effectExtent l="0" t="0" r="5080" b="1651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24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sz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lang w:val="en-US" w:eastAsia="zh-CN"/>
        </w:rPr>
        <w:t>（二）重点领域信息</w:t>
      </w:r>
    </w:p>
    <w:p>
      <w:pPr>
        <w:spacing w:line="590" w:lineRule="exact"/>
        <w:ind w:right="-96" w:rightChars="-50" w:firstLine="624" w:firstLineChars="200"/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已公开本级政府和部门预决算说明、表格、“三公”经费预决算情况以及重点部门的绩效文本、重点项目绩效目标和绩效评价结果。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96" w:rightChars="-50" w:firstLine="384" w:firstLineChars="200"/>
        <w:jc w:val="center"/>
        <w:textAlignment w:val="auto"/>
      </w:pPr>
      <w:r>
        <w:drawing>
          <wp:inline distT="0" distB="0" distL="114300" distR="114300">
            <wp:extent cx="5269865" cy="3205480"/>
            <wp:effectExtent l="0" t="0" r="6985" b="1397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96" w:rightChars="-50" w:firstLine="624" w:firstLineChars="200"/>
        <w:textAlignment w:val="auto"/>
        <w:rPr>
          <w:rFonts w:ascii="方正楷体简体" w:eastAsia="方正楷体简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楷体简体" w:eastAsia="方正楷体简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（二）依申请公开情况</w:t>
      </w:r>
    </w:p>
    <w:p>
      <w:pPr>
        <w:spacing w:line="590" w:lineRule="exact"/>
        <w:ind w:right="-96" w:rightChars="-50" w:firstLine="624" w:firstLineChars="200"/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截至2021年12月31日，市外办共收到政府信息公开申请0件，政府信息公开行政诉讼0件。</w:t>
      </w:r>
    </w:p>
    <w:p>
      <w:pPr>
        <w:spacing w:line="590" w:lineRule="exact"/>
        <w:ind w:right="-96" w:rightChars="-50" w:firstLine="624" w:firstLineChars="200"/>
        <w:rPr>
          <w:rFonts w:ascii="方正楷体简体" w:eastAsia="方正楷体简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楷体简体" w:eastAsia="方正楷体简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（三）政府信息管理情况</w:t>
      </w:r>
    </w:p>
    <w:p>
      <w:pPr>
        <w:spacing w:line="590" w:lineRule="exact"/>
        <w:ind w:right="-96" w:rightChars="-50" w:firstLine="624" w:firstLineChars="200"/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是做好政府公报的发布。将2013年以来的政府公报全部在政府门户网站专栏发布。二是做好政策文件的发布。在网站首页设置政策文件查询模块，将政策文件按照发文字号进行归类，同时提供根据主题、正文、发文年份等信息进行查询。</w:t>
      </w:r>
    </w:p>
    <w:p>
      <w:pPr>
        <w:spacing w:line="590" w:lineRule="exact"/>
        <w:ind w:right="-96" w:rightChars="-50" w:firstLine="624" w:firstLineChars="200"/>
        <w:rPr>
          <w:rFonts w:hint="eastAsia" w:ascii="方正楷体简体" w:eastAsia="方正楷体简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楷体简体" w:eastAsia="方正楷体简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（四）政府信息公开平台建设情况</w:t>
      </w:r>
    </w:p>
    <w:p>
      <w:pPr>
        <w:spacing w:line="590" w:lineRule="exact"/>
        <w:ind w:right="-96" w:rightChars="-50" w:firstLine="624" w:firstLineChars="200"/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是优化政府门户网站政务公开专栏。根据国家、省对政务公开工作最新要求全面升级改版政府门户网站，优化调整栏目设置。在首页设置境外安全提醒、重点领域信息公开、政策解读以及政策查询专区，为公众查阅提供更加便利、便捷条件。二是建设政务“两微一端”。更新完善“济宁外事”微信公众号，充分发挥其传播快、覆盖广、社会渗透力强的优势，多形式发布，分众化传播，形成了政府信息公开新态势。</w:t>
      </w:r>
      <w:r>
        <w:rPr>
          <w:rFonts w:hint="default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充分利用视频、图文等群众喜闻乐见的方式进行政策解读，不断提高传播的广度和深度，真正使政策贴进群众需求、深入人心。</w:t>
      </w:r>
    </w:p>
    <w:p>
      <w:pPr>
        <w:pStyle w:val="3"/>
        <w:keepNext w:val="0"/>
        <w:keepLines w:val="0"/>
        <w:widowControl/>
        <w:suppressLineNumbers w:val="0"/>
        <w:autoSpaceDE w:val="0"/>
        <w:autoSpaceDN/>
        <w:ind w:left="0" w:firstLine="645"/>
        <w:jc w:val="center"/>
        <w:rPr>
          <w:rFonts w:hint="eastAsia" w:ascii="仿宋_GB2312" w:eastAsia="仿宋_GB2312" w:cs="仿宋_GB2312"/>
          <w:color w:val="3D3D3D"/>
          <w:sz w:val="31"/>
          <w:szCs w:val="31"/>
          <w:shd w:val="clear" w:fill="FFFFFF"/>
        </w:rPr>
      </w:pPr>
      <w:r>
        <w:drawing>
          <wp:inline distT="0" distB="0" distL="114300" distR="114300">
            <wp:extent cx="3952875" cy="8086725"/>
            <wp:effectExtent l="0" t="0" r="9525" b="9525"/>
            <wp:docPr id="12" name="图片 1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autoSpaceDE w:val="0"/>
        <w:autoSpaceDN/>
        <w:ind w:left="0" w:firstLine="645"/>
        <w:rPr>
          <w:rFonts w:ascii="方正楷体简体" w:eastAsia="方正楷体简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楷体简体" w:eastAsia="方正楷体简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（五）监督保障情况</w:t>
      </w:r>
    </w:p>
    <w:p>
      <w:pPr>
        <w:spacing w:line="590" w:lineRule="exact"/>
        <w:ind w:right="-96" w:rightChars="-50" w:firstLine="624" w:firstLineChars="200"/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2021年，主要负责同志共听取三次政务公开工作汇报，要求切实把加强政务公开工作摆在更加突出的位置，细化政务公开工作任务，确保政务公开信息定期梳理、内容准确、发布及时。加强对责任科室依托网站平台及时发布政府信息情况的督查考核，制定《济宁市人民政府外事办公室政府信息公开登记表》，严格按照规范公文办理和保密工作要求，要求拟制公文必须明确公开属性，在公文审核阶段一并报批。政务公开领导小组办公室强化日常监督和定期督查评估，并将政务公开工作纳入绩效考核。</w:t>
      </w:r>
    </w:p>
    <w:p>
      <w:pPr>
        <w:spacing w:line="590" w:lineRule="exact"/>
        <w:ind w:right="-96" w:rightChars="-50" w:firstLine="624" w:firstLineChars="200"/>
        <w:rPr>
          <w:rFonts w:ascii="方正黑体简体" w:eastAsia="方正黑体简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黑体简体" w:eastAsia="方正黑体简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二、主动公开政府信息情况</w:t>
      </w:r>
    </w:p>
    <w:tbl>
      <w:tblPr>
        <w:tblStyle w:val="4"/>
        <w:tblW w:w="87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133"/>
        <w:gridCol w:w="2216"/>
        <w:gridCol w:w="19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黑体简体" w:eastAsia="方正黑体简体"/>
                <w:b/>
                <w:sz w:val="24"/>
                <w:szCs w:val="24"/>
              </w:rPr>
            </w:pPr>
            <w:r>
              <w:rPr>
                <w:rFonts w:hint="eastAsia" w:ascii="方正黑体简体" w:hAnsi="宋体" w:eastAsia="方正黑体简体" w:cs="宋体"/>
                <w:b/>
                <w:sz w:val="24"/>
                <w:szCs w:val="24"/>
                <w:lang w:bidi="ar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213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本年制发件数</w:t>
            </w:r>
          </w:p>
        </w:tc>
        <w:tc>
          <w:tcPr>
            <w:tcW w:w="2216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本年废止件数</w:t>
            </w:r>
          </w:p>
        </w:tc>
        <w:tc>
          <w:tcPr>
            <w:tcW w:w="1989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现行有效件数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规章</w:t>
            </w:r>
          </w:p>
        </w:tc>
        <w:tc>
          <w:tcPr>
            <w:tcW w:w="213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2216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1989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行政规范性文件</w:t>
            </w:r>
          </w:p>
        </w:tc>
        <w:tc>
          <w:tcPr>
            <w:tcW w:w="213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2216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1989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方正仿宋简体" w:eastAsia="方正仿宋简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  <w:t>0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黑体简体" w:hAnsi="宋体" w:eastAsia="方正黑体简体" w:cs="宋体"/>
                <w:b/>
                <w:sz w:val="24"/>
                <w:szCs w:val="24"/>
                <w:lang w:bidi="ar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行政许可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黑体简体" w:hAnsi="宋体" w:eastAsia="方正黑体简体" w:cs="宋体"/>
                <w:b/>
                <w:sz w:val="24"/>
                <w:szCs w:val="24"/>
                <w:lang w:bidi="ar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行政处罚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行政强制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黑体简体" w:hAnsi="宋体" w:eastAsia="方正黑体简体" w:cs="宋体"/>
                <w:b/>
                <w:sz w:val="24"/>
                <w:szCs w:val="24"/>
                <w:lang w:bidi="ar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本年收费金额（单位：万元）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ascii="方正仿宋简体" w:eastAsia="方正仿宋简体"/>
                <w:b/>
                <w:sz w:val="24"/>
                <w:szCs w:val="24"/>
              </w:rPr>
            </w:pPr>
            <w:r>
              <w:rPr>
                <w:rFonts w:hint="eastAsia" w:ascii="方正仿宋简体" w:hAnsi="宋体" w:eastAsia="方正仿宋简体" w:cs="宋体"/>
                <w:b/>
                <w:sz w:val="24"/>
                <w:szCs w:val="24"/>
                <w:lang w:bidi="ar"/>
              </w:rPr>
              <w:t>行政事业性收费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  <w:t>0</w:t>
            </w:r>
          </w:p>
        </w:tc>
      </w:tr>
    </w:tbl>
    <w:p>
      <w:pPr>
        <w:spacing w:before="62" w:beforeLines="10" w:after="62" w:afterLines="10" w:line="600" w:lineRule="exact"/>
        <w:ind w:firstLine="624" w:firstLineChars="200"/>
        <w:jc w:val="left"/>
        <w:rPr>
          <w:rFonts w:ascii="方正黑体简体" w:eastAsia="方正黑体简体"/>
          <w:b/>
          <w:sz w:val="32"/>
          <w:szCs w:val="32"/>
        </w:rPr>
      </w:pPr>
      <w:r>
        <w:rPr>
          <w:rFonts w:hint="eastAsia" w:ascii="方正黑体简体" w:eastAsia="方正黑体简体"/>
          <w:b/>
          <w:sz w:val="32"/>
          <w:szCs w:val="32"/>
        </w:rPr>
        <w:t>三、收到和处理政府信息公开申请情况</w:t>
      </w:r>
    </w:p>
    <w:tbl>
      <w:tblPr>
        <w:tblStyle w:val="4"/>
        <w:tblW w:w="88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8"/>
        <w:gridCol w:w="942"/>
        <w:gridCol w:w="2878"/>
        <w:gridCol w:w="791"/>
        <w:gridCol w:w="599"/>
        <w:gridCol w:w="590"/>
        <w:gridCol w:w="598"/>
        <w:gridCol w:w="571"/>
        <w:gridCol w:w="559"/>
        <w:gridCol w:w="5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楷体" w:eastAsia="方正黑体简体" w:cs="楷体"/>
                <w:b/>
                <w:sz w:val="21"/>
                <w:szCs w:val="21"/>
                <w:lang w:bidi="ar"/>
              </w:rPr>
              <w:t>（本列数据的勾稽关系为：第一项加第二项之和，等于第三项加第四项之和）</w:t>
            </w:r>
          </w:p>
        </w:tc>
        <w:tc>
          <w:tcPr>
            <w:tcW w:w="4229" w:type="dxa"/>
            <w:gridSpan w:val="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</w:p>
        </w:tc>
        <w:tc>
          <w:tcPr>
            <w:tcW w:w="791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自然人</w:t>
            </w:r>
          </w:p>
        </w:tc>
        <w:tc>
          <w:tcPr>
            <w:tcW w:w="2917" w:type="dxa"/>
            <w:gridSpan w:val="5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法人或其他组织</w:t>
            </w:r>
          </w:p>
        </w:tc>
        <w:tc>
          <w:tcPr>
            <w:tcW w:w="521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791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商业</w:t>
            </w:r>
          </w:p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企业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科研</w:t>
            </w:r>
          </w:p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机构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社会公益组织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法律服务机构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其他</w:t>
            </w:r>
          </w:p>
        </w:tc>
        <w:tc>
          <w:tcPr>
            <w:tcW w:w="521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一、本年新收政府信息公开申请数量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二、上年结转政府信息公开申请数量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三、本年度办理结果</w:t>
            </w: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（一）予以公开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（二）部分公开</w:t>
            </w:r>
            <w:r>
              <w:rPr>
                <w:rFonts w:hint="eastAsia" w:ascii="方正仿宋简体" w:hAnsi="楷体" w:eastAsia="方正仿宋简体" w:cs="楷体"/>
                <w:b/>
                <w:sz w:val="21"/>
                <w:szCs w:val="21"/>
                <w:lang w:bidi="ar"/>
              </w:rPr>
              <w:t>（区分处理的，只计这一情形，不计其他情形）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（三）不予公开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1.属于国家秘密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2.其他法律行政法规禁止公开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3.危及“三安全一稳定”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4.保护第三方合法权益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5.属于三类内部事务信息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6.属于四类过程性信息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7.属于行政执法案卷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8.属于行政查询事项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（四）无法提供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1.本机关不掌握相关政府信息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2.没有现成信息需要另行制作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3.补正后申请内容仍不明确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（五）不予处理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1.信访举报投诉类申请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2.重复申请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3.要求提供公开出版物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4.无正当理由大量反复申请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5.要求行政机关确认或重新出具已获取信息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（六）其他处理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1.申请人无正当理由逾期不补正、行政机关不再处理其政府信息公开申请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</w:pPr>
          </w:p>
          <w:p>
            <w:pPr>
              <w:widowControl/>
              <w:spacing w:line="300" w:lineRule="exact"/>
              <w:jc w:val="center"/>
              <w:rPr>
                <w:rFonts w:hint="eastAsia" w:ascii="方正仿宋简体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3.其他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（七）总计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宋体" w:eastAsia="方正仿宋简体" w:cs="宋体"/>
                <w:b/>
                <w:sz w:val="21"/>
                <w:szCs w:val="21"/>
                <w:lang w:bidi="ar"/>
              </w:rPr>
              <w:t>四、结转下年度继续办理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方正仿宋简体" w:eastAsia="方正仿宋简体"/>
                <w:b/>
                <w:sz w:val="21"/>
                <w:szCs w:val="21"/>
              </w:rPr>
            </w:pPr>
            <w:r>
              <w:rPr>
                <w:rFonts w:hint="eastAsia" w:ascii="方正仿宋简体" w:hAnsi="Calibri" w:eastAsia="方正仿宋简体" w:cs="Calibri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spacing w:line="300" w:lineRule="exact"/>
              <w:jc w:val="center"/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1"/>
                <w:szCs w:val="21"/>
                <w:lang w:val="en-US" w:eastAsia="zh-CN"/>
              </w:rPr>
              <w:t>0</w:t>
            </w:r>
          </w:p>
        </w:tc>
      </w:tr>
    </w:tbl>
    <w:p>
      <w:pPr>
        <w:numPr>
          <w:ilvl w:val="0"/>
          <w:numId w:val="1"/>
        </w:numPr>
        <w:spacing w:line="590" w:lineRule="exact"/>
        <w:ind w:right="-96" w:rightChars="-50" w:firstLine="624" w:firstLineChars="200"/>
        <w:jc w:val="left"/>
        <w:rPr>
          <w:rFonts w:hint="eastAsia" w:ascii="方正黑体简体" w:eastAsia="方正黑体简体"/>
          <w:b/>
          <w:sz w:val="32"/>
          <w:szCs w:val="32"/>
        </w:rPr>
      </w:pPr>
      <w:r>
        <w:rPr>
          <w:rFonts w:hint="eastAsia" w:ascii="方正黑体简体" w:eastAsia="方正黑体简体"/>
          <w:b/>
          <w:sz w:val="32"/>
          <w:szCs w:val="32"/>
        </w:rPr>
        <w:t>政府信息公开行政复议、行政诉讼情况</w:t>
      </w:r>
    </w:p>
    <w:tbl>
      <w:tblPr>
        <w:tblStyle w:val="4"/>
        <w:tblW w:w="8810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621"/>
        <w:gridCol w:w="600"/>
        <w:gridCol w:w="591"/>
        <w:gridCol w:w="461"/>
        <w:gridCol w:w="649"/>
        <w:gridCol w:w="649"/>
        <w:gridCol w:w="650"/>
        <w:gridCol w:w="636"/>
        <w:gridCol w:w="426"/>
        <w:gridCol w:w="650"/>
        <w:gridCol w:w="650"/>
        <w:gridCol w:w="650"/>
        <w:gridCol w:w="555"/>
        <w:gridCol w:w="407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88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行政复议</w:t>
            </w:r>
          </w:p>
        </w:tc>
        <w:tc>
          <w:tcPr>
            <w:tcW w:w="5922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结果维持</w:t>
            </w:r>
          </w:p>
        </w:tc>
        <w:tc>
          <w:tcPr>
            <w:tcW w:w="621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hAnsi="宋体" w:eastAsia="方正黑体简体" w:cs="宋体"/>
                <w:b/>
                <w:sz w:val="21"/>
                <w:szCs w:val="21"/>
                <w:lang w:bidi="ar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结果</w:t>
            </w:r>
          </w:p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纠正</w:t>
            </w:r>
          </w:p>
        </w:tc>
        <w:tc>
          <w:tcPr>
            <w:tcW w:w="60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其他</w:t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结果</w:t>
            </w:r>
          </w:p>
        </w:tc>
        <w:tc>
          <w:tcPr>
            <w:tcW w:w="59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尚未</w:t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审结</w:t>
            </w:r>
          </w:p>
        </w:tc>
        <w:tc>
          <w:tcPr>
            <w:tcW w:w="46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总计</w:t>
            </w:r>
          </w:p>
        </w:tc>
        <w:tc>
          <w:tcPr>
            <w:tcW w:w="301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未经复议直接起诉</w:t>
            </w:r>
          </w:p>
        </w:tc>
        <w:tc>
          <w:tcPr>
            <w:tcW w:w="291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</w:p>
        </w:tc>
        <w:tc>
          <w:tcPr>
            <w:tcW w:w="621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</w:p>
        </w:tc>
        <w:tc>
          <w:tcPr>
            <w:tcW w:w="6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</w:p>
        </w:tc>
        <w:tc>
          <w:tcPr>
            <w:tcW w:w="59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</w:p>
        </w:tc>
        <w:tc>
          <w:tcPr>
            <w:tcW w:w="46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结果</w:t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维持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结果</w:t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其他</w:t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结果</w:t>
            </w:r>
          </w:p>
        </w:tc>
        <w:tc>
          <w:tcPr>
            <w:tcW w:w="6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尚未</w:t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审结</w:t>
            </w:r>
          </w:p>
        </w:tc>
        <w:tc>
          <w:tcPr>
            <w:tcW w:w="4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总计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结果</w:t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维持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结果</w:t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其他</w:t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结果</w:t>
            </w:r>
          </w:p>
        </w:tc>
        <w:tc>
          <w:tcPr>
            <w:tcW w:w="5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尚未</w:t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审结</w:t>
            </w:r>
          </w:p>
        </w:tc>
        <w:tc>
          <w:tcPr>
            <w:tcW w:w="4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宋体"/>
                <w:b/>
                <w:sz w:val="21"/>
                <w:szCs w:val="21"/>
                <w:lang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61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eastAsia" w:ascii="方正黑体简体" w:eastAsia="方正黑体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2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eastAsia" w:ascii="方正黑体简体" w:eastAsia="方正黑体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eastAsia" w:ascii="方正黑体简体" w:eastAsia="方正黑体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方正黑体简体" w:eastAsia="方正黑体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4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eastAsia" w:ascii="方正黑体简体" w:eastAsia="方正黑体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eastAsia" w:ascii="方正黑体简体" w:eastAsia="方正黑体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eastAsia" w:ascii="方正黑体简体" w:eastAsia="方正黑体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eastAsia" w:ascii="方正黑体简体" w:eastAsia="方正黑体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eastAsia" w:ascii="方正黑体简体" w:eastAsia="方正黑体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eastAsia" w:ascii="方正黑体简体" w:eastAsia="方正黑体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简体" w:eastAsia="方正黑体简体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ascii="方正黑体简体" w:eastAsia="方正黑体简体"/>
                <w:b/>
                <w:sz w:val="21"/>
                <w:szCs w:val="21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eastAsia" w:ascii="方正黑体简体" w:eastAsia="方正黑体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简体" w:hAnsi="宋体" w:eastAsia="方正黑体简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40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38" w:leftChars="-20" w:right="-38" w:rightChars="-20"/>
              <w:jc w:val="center"/>
              <w:rPr>
                <w:rFonts w:hint="eastAsia" w:ascii="方正黑体简体" w:eastAsia="方正黑体简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简体" w:eastAsia="方正黑体简体"/>
                <w:b/>
                <w:sz w:val="21"/>
                <w:szCs w:val="21"/>
                <w:lang w:val="en-US" w:eastAsia="zh-CN"/>
              </w:rPr>
              <w:t>0</w:t>
            </w:r>
          </w:p>
        </w:tc>
      </w:tr>
    </w:tbl>
    <w:p>
      <w:pPr>
        <w:spacing w:line="590" w:lineRule="exact"/>
        <w:ind w:right="-96" w:rightChars="-50" w:firstLine="624" w:firstLineChars="200"/>
        <w:rPr>
          <w:rFonts w:ascii="方正黑体简体" w:eastAsia="方正黑体简体"/>
          <w:b/>
          <w:sz w:val="32"/>
          <w:szCs w:val="32"/>
        </w:rPr>
      </w:pPr>
      <w:r>
        <w:rPr>
          <w:rFonts w:hint="eastAsia" w:ascii="方正黑体简体" w:eastAsia="方正黑体简体"/>
          <w:b/>
          <w:sz w:val="32"/>
          <w:szCs w:val="32"/>
        </w:rPr>
        <w:t>五、存在的主要问题及改进情况</w:t>
      </w:r>
    </w:p>
    <w:p>
      <w:pPr>
        <w:spacing w:line="590" w:lineRule="exact"/>
        <w:ind w:right="-96" w:rightChars="-50" w:firstLine="624" w:firstLineChars="200"/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2021年，我办政府信息公开工作虽取得新的成效，仍存在一些问题，如公开渠道有待多样化，公开机制还需进一步完善等。2022年，我办将认真贯彻中央、省、市有关文件精神，不断完善政务信息公开的体制机制，全面拓展我办政务信息公开的深度、广度。主要打算如下：</w:t>
      </w:r>
    </w:p>
    <w:p>
      <w:pPr>
        <w:spacing w:line="590" w:lineRule="exact"/>
        <w:ind w:right="-96" w:rightChars="-50" w:firstLine="624" w:firstLineChars="200"/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1、进一步丰富政策法规解读的表现形式，图文并茂，增强可读性、生动性。完善重要事项和决策信息公开工作。</w:t>
      </w:r>
    </w:p>
    <w:p>
      <w:pPr>
        <w:spacing w:line="590" w:lineRule="exact"/>
        <w:ind w:right="-96" w:rightChars="-50" w:firstLine="624" w:firstLineChars="200"/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2、进一步完善重大决策公开和办公会议公开，建立有效的信息采集、审核、发布、更新制度，深入推进决策、执行、管理、服务、结果五公开。</w:t>
      </w:r>
    </w:p>
    <w:p>
      <w:pPr>
        <w:spacing w:line="590" w:lineRule="exact"/>
        <w:ind w:right="-96" w:rightChars="-50" w:firstLine="624" w:firstLineChars="200"/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3、进一步改善门户网站的服务效能，提高重点政务信息的公开实效，确保依申请公开和政务服务平台办事渠道畅通，力争为广大群众提供更方便、更全面的政府信息公开服务。</w:t>
      </w:r>
    </w:p>
    <w:p>
      <w:pPr>
        <w:spacing w:line="590" w:lineRule="exact"/>
        <w:ind w:right="-96" w:rightChars="-50" w:firstLine="624" w:firstLineChars="200"/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4、进一步加大业务人员的培训力度，提高政务公开、信息公开工作的业务素养。</w:t>
      </w:r>
    </w:p>
    <w:p>
      <w:pPr>
        <w:spacing w:line="590" w:lineRule="exact"/>
        <w:ind w:right="-96" w:rightChars="-50" w:firstLine="624" w:firstLineChars="200"/>
        <w:rPr>
          <w:rFonts w:ascii="方正黑体简体" w:eastAsia="方正黑体简体"/>
          <w:b/>
          <w:sz w:val="32"/>
          <w:szCs w:val="32"/>
        </w:rPr>
      </w:pPr>
      <w:r>
        <w:rPr>
          <w:rFonts w:hint="eastAsia" w:ascii="方正黑体简体" w:eastAsia="方正黑体简体"/>
          <w:b/>
          <w:sz w:val="32"/>
          <w:szCs w:val="32"/>
        </w:rPr>
        <w:t>六、其他需要报告的事项</w:t>
      </w:r>
    </w:p>
    <w:p>
      <w:pPr>
        <w:spacing w:line="590" w:lineRule="exact"/>
        <w:ind w:right="-96" w:rightChars="-50" w:firstLine="624" w:firstLineChars="200"/>
        <w:rPr>
          <w:rFonts w:hint="eastAsia" w:ascii="方正仿宋简体" w:hAnsi="Times New Roman" w:eastAsia="方正仿宋简体" w:cs="Times New Roman"/>
          <w:b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eastAsia="方正仿宋简体"/>
          <w:b/>
          <w:sz w:val="32"/>
          <w:szCs w:val="32"/>
        </w:rPr>
        <w:t>（</w:t>
      </w:r>
      <w:r>
        <w:rPr>
          <w:rFonts w:hint="eastAsia" w:ascii="方正仿宋简体" w:eastAsia="方正仿宋简体"/>
          <w:b/>
          <w:sz w:val="32"/>
          <w:szCs w:val="32"/>
          <w:lang w:eastAsia="zh-CN"/>
        </w:rPr>
        <w:t>一</w:t>
      </w:r>
      <w:r>
        <w:rPr>
          <w:rFonts w:hint="eastAsia" w:ascii="方正仿宋简体" w:eastAsia="方正仿宋简体"/>
          <w:b/>
          <w:sz w:val="32"/>
          <w:szCs w:val="32"/>
        </w:rPr>
        <w:t>）</w:t>
      </w:r>
      <w:r>
        <w:rPr>
          <w:rFonts w:hint="eastAsia" w:ascii="方正仿宋简体" w:hAnsi="Times New Roman" w:eastAsia="方正仿宋简体" w:cs="Times New Roman"/>
          <w:b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已发布2021年政务公开工作要点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-96" w:rightChars="-50" w:firstLine="384" w:firstLineChars="200"/>
        <w:textAlignment w:val="auto"/>
        <w:rPr>
          <w:rFonts w:hint="eastAsia" w:ascii="方正仿宋简体" w:hAnsi="Times New Roman" w:eastAsia="方正仿宋简体" w:cs="Times New Roman"/>
          <w:b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3930015"/>
            <wp:effectExtent l="0" t="0" r="9525" b="133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24" w:firstLineChars="200"/>
        <w:rPr>
          <w:rFonts w:hint="default" w:ascii="仿宋_GB2312" w:hAnsi="仿宋_GB2312" w:eastAsia="仿宋_GB2312" w:cs="仿宋_GB2312"/>
          <w:b/>
          <w:bCs/>
          <w:sz w:val="32"/>
          <w:szCs w:val="40"/>
          <w:lang w:val="en-US" w:eastAsia="zh-CN"/>
        </w:rPr>
      </w:pPr>
      <w:r>
        <w:rPr>
          <w:rFonts w:hint="eastAsia" w:ascii="方正仿宋简体" w:eastAsia="方正仿宋简体"/>
          <w:b/>
          <w:sz w:val="32"/>
          <w:szCs w:val="32"/>
        </w:rPr>
        <w:t>（</w:t>
      </w:r>
      <w:r>
        <w:rPr>
          <w:rFonts w:hint="eastAsia" w:ascii="方正仿宋简体" w:eastAsia="方正仿宋简体"/>
          <w:b/>
          <w:sz w:val="32"/>
          <w:szCs w:val="32"/>
          <w:lang w:eastAsia="zh-CN"/>
        </w:rPr>
        <w:t>二</w:t>
      </w:r>
      <w:r>
        <w:rPr>
          <w:rFonts w:hint="eastAsia" w:ascii="方正仿宋简体" w:eastAsia="方正仿宋简体"/>
          <w:b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创新举措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24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  <w:t>充分利用视频、图文等群众喜闻乐见的方式进行政策解读，不断提高传播的广度和深度，真正使政策贴进群众需求、深入人心。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384" w:firstLineChars="200"/>
        <w:jc w:val="center"/>
        <w:textAlignment w:val="auto"/>
      </w:pPr>
      <w:r>
        <w:drawing>
          <wp:inline distT="0" distB="0" distL="114300" distR="114300">
            <wp:extent cx="3823335" cy="4593590"/>
            <wp:effectExtent l="0" t="0" r="5715" b="1651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24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40"/>
          <w:lang w:val="en-US" w:eastAsia="zh-CN"/>
        </w:rPr>
        <w:t>为及时让在济宁市的外籍人士第一时间了解防疫信息、疫苗接种情况，市外办主动提供英语、日语等7语种服务，并提供了 24 小时不同语种的咨询服务电话。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84" w:firstLineChars="200"/>
        <w:jc w:val="center"/>
        <w:textAlignment w:val="auto"/>
        <w:rPr>
          <w:rFonts w:hint="eastAsia" w:ascii="方正仿宋简体" w:eastAsia="方正仿宋简体"/>
          <w:b/>
          <w:sz w:val="32"/>
          <w:szCs w:val="32"/>
        </w:rPr>
      </w:pPr>
      <w:r>
        <w:drawing>
          <wp:inline distT="0" distB="0" distL="114300" distR="114300">
            <wp:extent cx="5048250" cy="2680970"/>
            <wp:effectExtent l="0" t="0" r="0" b="508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96" w:rightChars="-50" w:firstLine="384" w:firstLineChars="200"/>
        <w:jc w:val="center"/>
        <w:textAlignment w:val="auto"/>
        <w:rPr>
          <w:rFonts w:hint="eastAsia" w:ascii="方正仿宋简体" w:eastAsia="方正仿宋简体"/>
          <w:b/>
          <w:sz w:val="32"/>
          <w:szCs w:val="32"/>
        </w:rPr>
      </w:pPr>
      <w:r>
        <w:drawing>
          <wp:inline distT="0" distB="0" distL="114300" distR="114300">
            <wp:extent cx="4032885" cy="5491480"/>
            <wp:effectExtent l="0" t="0" r="5715" b="1397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2885" cy="549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363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 w:val="0"/>
          <w:bCs w:val="0"/>
          <w:spacing w:val="0"/>
          <w:sz w:val="32"/>
          <w:szCs w:val="32"/>
        </w:rPr>
        <w:t>（一）本年度未收到信息公开申请事项，无收取信息处理费情况。 </w:t>
      </w: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FF0000"/>
          <w:spacing w:val="0"/>
          <w:sz w:val="32"/>
          <w:szCs w:val="32"/>
        </w:rPr>
        <w:t> 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363"/>
        <w:textAlignment w:val="auto"/>
        <w:rPr>
          <w:rFonts w:hint="default" w:ascii="Calibri" w:hAnsi="Calibri" w:cs="Calibri"/>
          <w:b w:val="0"/>
          <w:bCs w:val="0"/>
          <w:sz w:val="24"/>
          <w:szCs w:val="24"/>
        </w:rPr>
      </w:pPr>
      <w:r>
        <w:rPr>
          <w:rStyle w:val="6"/>
          <w:rFonts w:hint="eastAsia" w:ascii="仿宋_GB2312" w:hAnsi="仿宋_GB2312" w:eastAsia="仿宋_GB2312" w:cs="仿宋_GB2312"/>
          <w:b w:val="0"/>
          <w:bCs w:val="0"/>
          <w:spacing w:val="0"/>
          <w:sz w:val="32"/>
          <w:szCs w:val="32"/>
        </w:rPr>
        <w:t>（二）本年度未收到人大代表建议和政协提案。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96" w:rightChars="-50" w:firstLine="624" w:firstLineChars="200"/>
        <w:textAlignment w:val="auto"/>
        <w:rPr>
          <w:rFonts w:hint="eastAsia" w:ascii="方正仿宋简体" w:eastAsia="方正仿宋简体"/>
          <w:b/>
          <w:sz w:val="32"/>
          <w:szCs w:val="32"/>
        </w:rPr>
      </w:pPr>
    </w:p>
    <w:p>
      <w:pPr>
        <w:spacing w:line="590" w:lineRule="exact"/>
        <w:ind w:right="-96" w:rightChars="-50" w:firstLine="624" w:firstLineChars="200"/>
        <w:rPr>
          <w:rFonts w:ascii="方正仿宋简体" w:eastAsia="方正仿宋简体"/>
          <w:b/>
          <w:sz w:val="32"/>
          <w:szCs w:val="32"/>
        </w:rPr>
      </w:pPr>
    </w:p>
    <w:p>
      <w:pPr>
        <w:spacing w:line="590" w:lineRule="exact"/>
        <w:ind w:right="-96" w:rightChars="-50" w:firstLine="624" w:firstLineChars="200"/>
        <w:rPr>
          <w:rFonts w:ascii="方正仿宋简体" w:eastAsia="方正仿宋简体"/>
          <w:b/>
          <w:sz w:val="32"/>
          <w:szCs w:val="32"/>
        </w:rPr>
      </w:pPr>
    </w:p>
    <w:p>
      <w:pPr>
        <w:spacing w:line="590" w:lineRule="exact"/>
        <w:ind w:right="-96" w:rightChars="-50" w:firstLine="624" w:firstLineChars="200"/>
        <w:rPr>
          <w:rFonts w:ascii="方正仿宋简体" w:eastAsia="方正仿宋简体"/>
          <w:b/>
          <w:sz w:val="32"/>
          <w:szCs w:val="32"/>
        </w:rPr>
      </w:pPr>
    </w:p>
    <w:p>
      <w:pPr>
        <w:spacing w:line="590" w:lineRule="exact"/>
        <w:ind w:right="-96" w:rightChars="-50"/>
        <w:rPr>
          <w:rFonts w:ascii="方正仿宋简体" w:eastAsia="方正仿宋简体"/>
          <w:b/>
          <w:sz w:val="32"/>
          <w:szCs w:val="32"/>
        </w:rPr>
      </w:pPr>
    </w:p>
    <w:p/>
    <w:sectPr>
      <w:footerReference r:id="rId3" w:type="default"/>
      <w:footerReference r:id="rId4" w:type="even"/>
      <w:pgSz w:w="11906" w:h="16838"/>
      <w:pgMar w:top="1191" w:right="1588" w:bottom="1191" w:left="1588" w:header="851" w:footer="1559" w:gutter="0"/>
      <w:pgNumType w:fmt="numberInDash"/>
      <w:cols w:space="425" w:num="1"/>
      <w:titlePg/>
      <w:docGrid w:type="linesAndChars" w:linePitch="628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12052647"/>
    </w:sdtPr>
    <w:sdtContent>
      <w:p>
        <w:pPr>
          <w:pStyle w:val="2"/>
          <w:wordWrap w:val="0"/>
          <w:jc w:val="right"/>
        </w:pPr>
        <w:r>
          <w:rPr>
            <w:rFonts w:asciiTheme="minorEastAsia" w:hAnsiTheme="minorEastAsia"/>
            <w:b/>
            <w:sz w:val="28"/>
            <w:szCs w:val="28"/>
          </w:rPr>
          <w:fldChar w:fldCharType="begin"/>
        </w:r>
        <w:r>
          <w:rPr>
            <w:rFonts w:asciiTheme="minorEastAsia" w:hAnsiTheme="minorEastAsia"/>
            <w:b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b/>
            <w:sz w:val="28"/>
            <w:szCs w:val="28"/>
          </w:rPr>
          <w:fldChar w:fldCharType="separate"/>
        </w:r>
        <w:r>
          <w:rPr>
            <w:rFonts w:asciiTheme="minorEastAsia" w:hAnsiTheme="minorEastAsia"/>
            <w:b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b/>
            <w:sz w:val="28"/>
            <w:szCs w:val="28"/>
          </w:rPr>
          <w:t xml:space="preserve"> 21 -</w:t>
        </w:r>
        <w:r>
          <w:rPr>
            <w:rFonts w:asciiTheme="minorEastAsia" w:hAnsiTheme="minorEastAsia"/>
            <w:b/>
            <w:sz w:val="28"/>
            <w:szCs w:val="28"/>
          </w:rPr>
          <w:fldChar w:fldCharType="end"/>
        </w:r>
        <w:r>
          <w:rPr>
            <w:rFonts w:hint="eastAsia" w:asciiTheme="minorEastAsia" w:hAnsiTheme="minorEastAsia"/>
            <w:b/>
            <w:sz w:val="28"/>
            <w:szCs w:val="28"/>
          </w:rPr>
          <w:t xml:space="preserve"> </w:t>
        </w:r>
        <w:r>
          <w:rPr>
            <w:rFonts w:hint="eastAsia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94842155"/>
    </w:sdtPr>
    <w:sdtEndPr>
      <w:rPr>
        <w:rFonts w:asciiTheme="minorEastAsia" w:hAnsiTheme="minorEastAsia"/>
        <w:b/>
        <w:sz w:val="28"/>
        <w:szCs w:val="28"/>
      </w:rPr>
    </w:sdtEndPr>
    <w:sdtContent>
      <w:p>
        <w:pPr>
          <w:pStyle w:val="2"/>
          <w:ind w:firstLine="180" w:firstLineChars="100"/>
          <w:rPr>
            <w:rFonts w:asciiTheme="minorEastAsia" w:hAnsiTheme="minorEastAsia"/>
            <w:b/>
            <w:sz w:val="28"/>
            <w:szCs w:val="28"/>
          </w:rPr>
        </w:pPr>
        <w:r>
          <w:rPr>
            <w:rFonts w:asciiTheme="minorEastAsia" w:hAnsiTheme="minorEastAsia"/>
            <w:b/>
            <w:sz w:val="28"/>
            <w:szCs w:val="28"/>
          </w:rPr>
          <w:fldChar w:fldCharType="begin"/>
        </w:r>
        <w:r>
          <w:rPr>
            <w:rFonts w:asciiTheme="minorEastAsia" w:hAnsiTheme="minorEastAsia"/>
            <w:b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b/>
            <w:sz w:val="28"/>
            <w:szCs w:val="28"/>
          </w:rPr>
          <w:fldChar w:fldCharType="separate"/>
        </w:r>
        <w:r>
          <w:rPr>
            <w:rFonts w:asciiTheme="minorEastAsia" w:hAnsiTheme="minorEastAsia"/>
            <w:b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b/>
            <w:sz w:val="28"/>
            <w:szCs w:val="28"/>
          </w:rPr>
          <w:t xml:space="preserve"> 20 -</w:t>
        </w:r>
        <w:r>
          <w:rPr>
            <w:rFonts w:asciiTheme="minorEastAsia" w:hAnsiTheme="minorEastAsia"/>
            <w:b/>
            <w:sz w:val="28"/>
            <w:szCs w:val="28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A68EA59"/>
    <w:multiLevelType w:val="singleLevel"/>
    <w:tmpl w:val="CA68EA59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3F1728"/>
    <w:rsid w:val="01D131F9"/>
    <w:rsid w:val="168C32E7"/>
    <w:rsid w:val="2D7C6055"/>
    <w:rsid w:val="3C7110E6"/>
    <w:rsid w:val="435E55B1"/>
    <w:rsid w:val="4A3F1728"/>
    <w:rsid w:val="61AF5192"/>
    <w:rsid w:val="703D218A"/>
    <w:rsid w:val="7AD9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character" w:styleId="6">
    <w:name w:val="Strong"/>
    <w:basedOn w:val="5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2022-01-11T07:07:00Z</dcterms:created>
  <dc:creator>Cynthia</dc:creator>
  <cp:lastModifiedBy>coroliyan</cp:lastModifiedBy>
  <dcterms:modified xsi:type="dcterms:W3CDTF">2022-01-27T07:53:42Z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ICV">
    <vt:lpwstr>AB4E3598D1A54F2DB065083113B49C19</vt:lpwstr>
  </property>
</Properties>
</file>