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color w:val="auto"/>
          <w:sz w:val="44"/>
          <w:szCs w:val="52"/>
        </w:rPr>
      </w:pPr>
      <w:r>
        <w:rPr>
          <w:rFonts w:hint="default" w:ascii="Times New Roman" w:hAnsi="Times New Roman" w:eastAsia="方正小标宋简体" w:cs="Times New Roman"/>
          <w:b/>
          <w:bCs/>
          <w:color w:val="auto"/>
          <w:sz w:val="44"/>
          <w:szCs w:val="52"/>
        </w:rPr>
        <w:t>济宁市民政局202</w:t>
      </w:r>
      <w:r>
        <w:rPr>
          <w:rFonts w:hint="eastAsia" w:ascii="Times New Roman" w:hAnsi="Times New Roman" w:eastAsia="方正小标宋简体" w:cs="Times New Roman"/>
          <w:b/>
          <w:bCs/>
          <w:color w:val="auto"/>
          <w:sz w:val="44"/>
          <w:szCs w:val="52"/>
          <w:lang w:val="en-US" w:eastAsia="zh-CN"/>
        </w:rPr>
        <w:t>5</w:t>
      </w:r>
      <w:r>
        <w:rPr>
          <w:rFonts w:hint="default" w:ascii="Times New Roman" w:hAnsi="Times New Roman" w:eastAsia="方正小标宋简体" w:cs="Times New Roman"/>
          <w:b/>
          <w:bCs/>
          <w:color w:val="auto"/>
          <w:sz w:val="44"/>
          <w:szCs w:val="52"/>
        </w:rPr>
        <w:t>年政府信息公开工作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color w:val="auto"/>
          <w:sz w:val="44"/>
          <w:szCs w:val="52"/>
        </w:rPr>
      </w:pPr>
      <w:r>
        <w:rPr>
          <w:rFonts w:hint="default" w:ascii="Times New Roman" w:hAnsi="Times New Roman" w:eastAsia="方正小标宋简体" w:cs="Times New Roman"/>
          <w:b/>
          <w:bCs/>
          <w:color w:val="auto"/>
          <w:sz w:val="44"/>
          <w:szCs w:val="52"/>
        </w:rPr>
        <w:t>年度报告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Style w:val="15"/>
          <w:rFonts w:hint="default" w:ascii="Times New Roman" w:hAnsi="Times New Roman" w:eastAsia="方正仿宋简体" w:cs="Times New Roman"/>
          <w:b/>
          <w:bCs w:val="0"/>
          <w:i w:val="0"/>
          <w:iCs w:val="0"/>
          <w:caps w:val="0"/>
          <w:color w:val="auto"/>
          <w:spacing w:val="0"/>
          <w:sz w:val="32"/>
          <w:szCs w:val="32"/>
        </w:rPr>
      </w:pPr>
      <w:r>
        <w:rPr>
          <w:rStyle w:val="15"/>
          <w:rFonts w:hint="default" w:ascii="Times New Roman" w:hAnsi="Times New Roman" w:eastAsia="方正仿宋简体" w:cs="Times New Roman"/>
          <w:b/>
          <w:bCs w:val="0"/>
          <w:i w:val="0"/>
          <w:iCs w:val="0"/>
          <w:caps w:val="0"/>
          <w:color w:val="auto"/>
          <w:spacing w:val="0"/>
          <w:kern w:val="2"/>
          <w:sz w:val="32"/>
          <w:szCs w:val="32"/>
          <w:lang w:bidi="ar-SA"/>
        </w:rPr>
        <w:t>本报告由</w:t>
      </w:r>
      <w:r>
        <w:rPr>
          <w:rStyle w:val="15"/>
          <w:rFonts w:hint="default" w:ascii="Times New Roman" w:hAnsi="Times New Roman" w:eastAsia="方正仿宋简体" w:cs="Times New Roman"/>
          <w:b/>
          <w:bCs w:val="0"/>
          <w:i w:val="0"/>
          <w:iCs w:val="0"/>
          <w:caps w:val="0"/>
          <w:color w:val="auto"/>
          <w:spacing w:val="0"/>
          <w:kern w:val="2"/>
          <w:sz w:val="32"/>
          <w:szCs w:val="32"/>
          <w:lang w:eastAsia="zh-CN" w:bidi="ar-SA"/>
        </w:rPr>
        <w:t>济宁市民政局</w:t>
      </w:r>
      <w:r>
        <w:rPr>
          <w:rStyle w:val="15"/>
          <w:rFonts w:hint="default" w:ascii="Times New Roman" w:hAnsi="Times New Roman" w:eastAsia="方正仿宋简体" w:cs="Times New Roman"/>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按照《中华人民共和国政府信息公开条例》（以下简称《条例》）和《中华人民共和国政府信息公开工作年度报告格式》（国办公开办函〔2021〕30号）要求编制。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b/>
          <w:bCs w:val="0"/>
          <w:i w:val="0"/>
          <w:iCs w:val="0"/>
          <w:caps w:val="0"/>
          <w:color w:val="auto"/>
          <w:spacing w:val="0"/>
          <w:sz w:val="32"/>
          <w:szCs w:val="32"/>
        </w:rPr>
      </w:pPr>
      <w:r>
        <w:rPr>
          <w:rStyle w:val="15"/>
          <w:rFonts w:hint="default" w:ascii="Times New Roman" w:hAnsi="Times New Roman" w:eastAsia="方正仿宋简体" w:cs="Times New Roman"/>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cs="Times New Roman"/>
          <w:b/>
          <w:bCs w:val="0"/>
          <w:i w:val="0"/>
          <w:iCs w:val="0"/>
          <w:caps w:val="0"/>
          <w:color w:val="auto"/>
          <w:spacing w:val="0"/>
          <w:sz w:val="32"/>
          <w:szCs w:val="32"/>
        </w:rPr>
      </w:pPr>
      <w:r>
        <w:rPr>
          <w:rStyle w:val="15"/>
          <w:rFonts w:hint="default" w:ascii="Times New Roman" w:hAnsi="Times New Roman" w:eastAsia="方正仿宋简体" w:cs="Times New Roman"/>
          <w:b/>
          <w:bCs w:val="0"/>
          <w:i w:val="0"/>
          <w:iCs w:val="0"/>
          <w:caps w:val="0"/>
          <w:color w:val="auto"/>
          <w:spacing w:val="0"/>
          <w:kern w:val="2"/>
          <w:sz w:val="32"/>
          <w:szCs w:val="32"/>
          <w:lang w:bidi="ar-SA"/>
        </w:rPr>
        <w:t>本报告所列数据的统计期限自202</w:t>
      </w:r>
      <w:r>
        <w:rPr>
          <w:rStyle w:val="15"/>
          <w:rFonts w:hint="eastAsia" w:ascii="Times New Roman" w:hAnsi="Times New Roman" w:eastAsia="方正仿宋简体" w:cs="Times New Roman"/>
          <w:b/>
          <w:bCs w:val="0"/>
          <w:i w:val="0"/>
          <w:iCs w:val="0"/>
          <w:caps w:val="0"/>
          <w:color w:val="auto"/>
          <w:spacing w:val="0"/>
          <w:kern w:val="2"/>
          <w:sz w:val="32"/>
          <w:szCs w:val="32"/>
          <w:lang w:val="en-US" w:eastAsia="zh-CN" w:bidi="ar-SA"/>
        </w:rPr>
        <w:t>5</w:t>
      </w:r>
      <w:r>
        <w:rPr>
          <w:rStyle w:val="15"/>
          <w:rFonts w:hint="default" w:ascii="Times New Roman" w:hAnsi="Times New Roman" w:eastAsia="方正仿宋简体" w:cs="Times New Roman"/>
          <w:b/>
          <w:bCs w:val="0"/>
          <w:i w:val="0"/>
          <w:iCs w:val="0"/>
          <w:caps w:val="0"/>
          <w:color w:val="auto"/>
          <w:spacing w:val="0"/>
          <w:kern w:val="2"/>
          <w:sz w:val="32"/>
          <w:szCs w:val="32"/>
          <w:lang w:bidi="ar-SA"/>
        </w:rPr>
        <w:t>年</w:t>
      </w:r>
      <w:r>
        <w:rPr>
          <w:rStyle w:val="15"/>
          <w:rFonts w:hint="eastAsia" w:ascii="Times New Roman" w:hAnsi="Times New Roman" w:eastAsia="方正仿宋简体" w:cs="Times New Roman"/>
          <w:b/>
          <w:bCs w:val="0"/>
          <w:i w:val="0"/>
          <w:iCs w:val="0"/>
          <w:caps w:val="0"/>
          <w:color w:val="auto"/>
          <w:spacing w:val="0"/>
          <w:kern w:val="2"/>
          <w:sz w:val="32"/>
          <w:szCs w:val="32"/>
          <w:lang w:val="en-US" w:eastAsia="zh-CN" w:bidi="ar-SA"/>
        </w:rPr>
        <w:t>1</w:t>
      </w:r>
      <w:r>
        <w:rPr>
          <w:rStyle w:val="15"/>
          <w:rFonts w:hint="default" w:ascii="Times New Roman" w:hAnsi="Times New Roman" w:eastAsia="方正仿宋简体" w:cs="Times New Roman"/>
          <w:b/>
          <w:bCs w:val="0"/>
          <w:i w:val="0"/>
          <w:iCs w:val="0"/>
          <w:caps w:val="0"/>
          <w:color w:val="auto"/>
          <w:spacing w:val="0"/>
          <w:kern w:val="2"/>
          <w:sz w:val="32"/>
          <w:szCs w:val="32"/>
          <w:lang w:bidi="ar-SA"/>
        </w:rPr>
        <w:t>月</w:t>
      </w:r>
      <w:r>
        <w:rPr>
          <w:rStyle w:val="15"/>
          <w:rFonts w:hint="eastAsia" w:ascii="Times New Roman" w:hAnsi="Times New Roman" w:eastAsia="方正仿宋简体" w:cs="Times New Roman"/>
          <w:b/>
          <w:bCs w:val="0"/>
          <w:i w:val="0"/>
          <w:iCs w:val="0"/>
          <w:caps w:val="0"/>
          <w:color w:val="auto"/>
          <w:spacing w:val="0"/>
          <w:kern w:val="2"/>
          <w:sz w:val="32"/>
          <w:szCs w:val="32"/>
          <w:lang w:val="en-US" w:eastAsia="zh-CN" w:bidi="ar-SA"/>
        </w:rPr>
        <w:t>1</w:t>
      </w:r>
      <w:r>
        <w:rPr>
          <w:rStyle w:val="15"/>
          <w:rFonts w:hint="default" w:ascii="Times New Roman" w:hAnsi="Times New Roman" w:eastAsia="方正仿宋简体" w:cs="Times New Roman"/>
          <w:b/>
          <w:bCs w:val="0"/>
          <w:i w:val="0"/>
          <w:iCs w:val="0"/>
          <w:caps w:val="0"/>
          <w:color w:val="auto"/>
          <w:spacing w:val="0"/>
          <w:kern w:val="2"/>
          <w:sz w:val="32"/>
          <w:szCs w:val="32"/>
          <w:lang w:bidi="ar-SA"/>
        </w:rPr>
        <w:t>日起至202</w:t>
      </w:r>
      <w:r>
        <w:rPr>
          <w:rStyle w:val="15"/>
          <w:rFonts w:hint="eastAsia" w:ascii="Times New Roman" w:hAnsi="Times New Roman" w:eastAsia="方正仿宋简体" w:cs="Times New Roman"/>
          <w:b/>
          <w:bCs w:val="0"/>
          <w:i w:val="0"/>
          <w:iCs w:val="0"/>
          <w:caps w:val="0"/>
          <w:color w:val="auto"/>
          <w:spacing w:val="0"/>
          <w:kern w:val="2"/>
          <w:sz w:val="32"/>
          <w:szCs w:val="32"/>
          <w:lang w:val="en-US" w:eastAsia="zh-CN" w:bidi="ar-SA"/>
        </w:rPr>
        <w:t>5</w:t>
      </w:r>
      <w:r>
        <w:rPr>
          <w:rStyle w:val="15"/>
          <w:rFonts w:hint="default" w:ascii="Times New Roman" w:hAnsi="Times New Roman" w:eastAsia="方正仿宋简体" w:cs="Times New Roman"/>
          <w:b/>
          <w:bCs w:val="0"/>
          <w:i w:val="0"/>
          <w:iCs w:val="0"/>
          <w:caps w:val="0"/>
          <w:color w:val="auto"/>
          <w:spacing w:val="0"/>
          <w:kern w:val="2"/>
          <w:sz w:val="32"/>
          <w:szCs w:val="32"/>
          <w:lang w:bidi="ar-SA"/>
        </w:rPr>
        <w:t>年12月31日止。本报告电子版可在“中国·济宁”政府门户网站</w:t>
      </w:r>
      <w:r>
        <w:rPr>
          <w:rFonts w:hint="default" w:ascii="Times New Roman" w:hAnsi="Times New Roman" w:eastAsia="方正仿宋简体" w:cs="Times New Roman"/>
          <w:b/>
          <w:bCs/>
          <w:i w:val="0"/>
          <w:iCs w:val="0"/>
          <w:caps w:val="0"/>
          <w:color w:val="auto"/>
          <w:spacing w:val="0"/>
          <w:sz w:val="32"/>
          <w:szCs w:val="32"/>
        </w:rPr>
        <w:t>（http://www.jining.gov.cn/）</w:t>
      </w:r>
      <w:r>
        <w:rPr>
          <w:rStyle w:val="15"/>
          <w:rFonts w:hint="default" w:ascii="Times New Roman" w:hAnsi="Times New Roman" w:eastAsia="方正仿宋简体" w:cs="Times New Roman"/>
          <w:b/>
          <w:bCs w:val="0"/>
          <w:i w:val="0"/>
          <w:iCs w:val="0"/>
          <w:caps w:val="0"/>
          <w:color w:val="auto"/>
          <w:spacing w:val="0"/>
          <w:kern w:val="2"/>
          <w:sz w:val="32"/>
          <w:szCs w:val="32"/>
          <w:lang w:bidi="ar-SA"/>
        </w:rPr>
        <w:t>查阅或下载。</w:t>
      </w:r>
      <w:r>
        <w:rPr>
          <w:rFonts w:hint="default" w:ascii="Times New Roman" w:hAnsi="Times New Roman" w:eastAsia="方正仿宋简体" w:cs="Times New Roman"/>
          <w:b/>
          <w:bCs w:val="0"/>
          <w:i w:val="0"/>
          <w:iCs w:val="0"/>
          <w:caps w:val="0"/>
          <w:color w:val="auto"/>
          <w:spacing w:val="0"/>
          <w:sz w:val="32"/>
          <w:szCs w:val="32"/>
          <w:shd w:val="clear" w:color="auto" w:fill="FFFFFF"/>
        </w:rPr>
        <w:t>如对本报告有疑问，请与</w:t>
      </w:r>
      <w:r>
        <w:rPr>
          <w:rFonts w:hint="default" w:ascii="Times New Roman" w:hAnsi="Times New Roman" w:eastAsia="方正仿宋简体" w:cs="Times New Roman"/>
          <w:b/>
          <w:bCs/>
          <w:i w:val="0"/>
          <w:iCs w:val="0"/>
          <w:caps w:val="0"/>
          <w:color w:val="auto"/>
          <w:spacing w:val="0"/>
          <w:sz w:val="32"/>
          <w:szCs w:val="32"/>
        </w:rPr>
        <w:t>济宁市民政局联系（地址：济宁市太白湖新区省运会指挥中心；联系电话：0537-22539</w:t>
      </w:r>
      <w:r>
        <w:rPr>
          <w:rFonts w:hint="eastAsia" w:ascii="Times New Roman" w:hAnsi="Times New Roman" w:eastAsia="方正仿宋简体" w:cs="Times New Roman"/>
          <w:b/>
          <w:bCs/>
          <w:i w:val="0"/>
          <w:iCs w:val="0"/>
          <w:caps w:val="0"/>
          <w:color w:val="auto"/>
          <w:spacing w:val="0"/>
          <w:sz w:val="32"/>
          <w:szCs w:val="32"/>
          <w:lang w:val="en-US" w:eastAsia="zh-CN"/>
        </w:rPr>
        <w:t>29</w:t>
      </w:r>
      <w:r>
        <w:rPr>
          <w:rFonts w:hint="default" w:ascii="Times New Roman" w:hAnsi="Times New Roman" w:eastAsia="方正仿宋简体" w:cs="Times New Roman"/>
          <w:b/>
          <w:bCs/>
          <w:i w:val="0"/>
          <w:iCs w:val="0"/>
          <w:caps w:val="0"/>
          <w:color w:val="auto"/>
          <w:spacing w:val="0"/>
          <w:sz w:val="32"/>
          <w:szCs w:val="32"/>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黑体简体" w:cs="Times New Roman"/>
          <w:b/>
          <w:bCs/>
          <w:i w:val="0"/>
          <w:iCs w:val="0"/>
          <w:caps w:val="0"/>
          <w:color w:val="auto"/>
          <w:spacing w:val="0"/>
          <w:sz w:val="32"/>
          <w:szCs w:val="32"/>
        </w:rPr>
      </w:pPr>
      <w:r>
        <w:rPr>
          <w:rFonts w:hint="default" w:ascii="Times New Roman" w:hAnsi="Times New Roman" w:eastAsia="方正黑体简体" w:cs="Times New Roman"/>
          <w:b/>
          <w:bCs/>
          <w:i w:val="0"/>
          <w:iCs w:val="0"/>
          <w:caps w:val="0"/>
          <w:color w:val="auto"/>
          <w:spacing w:val="0"/>
          <w:sz w:val="32"/>
          <w:szCs w:val="32"/>
        </w:rPr>
        <w:t>总体情况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Fonts w:hint="default" w:ascii="Times New Roman" w:hAnsi="Times New Roman" w:eastAsia="方正仿宋简体" w:cs="Times New Roman"/>
          <w:b/>
          <w:bCs/>
          <w:i w:val="0"/>
          <w:iCs w:val="0"/>
          <w:caps w:val="0"/>
          <w:color w:val="auto"/>
          <w:spacing w:val="0"/>
          <w:sz w:val="32"/>
          <w:szCs w:val="32"/>
        </w:rPr>
      </w:pPr>
      <w:r>
        <w:rPr>
          <w:rFonts w:hint="default" w:ascii="Times New Roman" w:hAnsi="Times New Roman" w:eastAsia="方正仿宋简体" w:cs="Times New Roman"/>
          <w:b/>
          <w:bCs/>
          <w:i w:val="0"/>
          <w:iCs w:val="0"/>
          <w:caps w:val="0"/>
          <w:color w:val="auto"/>
          <w:spacing w:val="0"/>
          <w:sz w:val="32"/>
          <w:szCs w:val="32"/>
          <w:lang w:val="en-US" w:eastAsia="zh-CN"/>
        </w:rPr>
        <w:t>202</w:t>
      </w:r>
      <w:r>
        <w:rPr>
          <w:rFonts w:hint="eastAsia" w:ascii="Times New Roman" w:hAnsi="Times New Roman" w:eastAsia="方正仿宋简体" w:cs="Times New Roman"/>
          <w:b/>
          <w:bCs/>
          <w:i w:val="0"/>
          <w:iCs w:val="0"/>
          <w:caps w:val="0"/>
          <w:color w:val="auto"/>
          <w:spacing w:val="0"/>
          <w:sz w:val="32"/>
          <w:szCs w:val="32"/>
          <w:lang w:val="en-US" w:eastAsia="zh-CN"/>
        </w:rPr>
        <w:t>5</w:t>
      </w:r>
      <w:r>
        <w:rPr>
          <w:rFonts w:hint="default" w:ascii="Times New Roman" w:hAnsi="Times New Roman" w:eastAsia="方正仿宋简体" w:cs="Times New Roman"/>
          <w:b/>
          <w:bCs/>
          <w:i w:val="0"/>
          <w:iCs w:val="0"/>
          <w:caps w:val="0"/>
          <w:color w:val="auto"/>
          <w:spacing w:val="0"/>
          <w:sz w:val="32"/>
          <w:szCs w:val="32"/>
          <w:lang w:val="en-US" w:eastAsia="zh-CN"/>
        </w:rPr>
        <w:t>年，济宁市民政局认真贯彻《条例》和国家、省、市关于推进政务公开工作的部署要求，依法依规履行政府信息公开职能，扎实做好</w:t>
      </w:r>
      <w:r>
        <w:rPr>
          <w:rFonts w:hint="eastAsia" w:ascii="Times New Roman" w:hAnsi="Times New Roman" w:eastAsia="方正仿宋简体" w:cs="Times New Roman"/>
          <w:b/>
          <w:bCs/>
          <w:i w:val="0"/>
          <w:iCs w:val="0"/>
          <w:caps w:val="0"/>
          <w:color w:val="auto"/>
          <w:spacing w:val="0"/>
          <w:sz w:val="32"/>
          <w:szCs w:val="32"/>
          <w:lang w:val="en-US" w:eastAsia="zh-CN"/>
        </w:rPr>
        <w:t>民政</w:t>
      </w:r>
      <w:r>
        <w:rPr>
          <w:rFonts w:hint="default" w:ascii="Times New Roman" w:hAnsi="Times New Roman" w:eastAsia="方正仿宋简体" w:cs="Times New Roman"/>
          <w:b/>
          <w:bCs/>
          <w:i w:val="0"/>
          <w:iCs w:val="0"/>
          <w:caps w:val="0"/>
          <w:color w:val="auto"/>
          <w:spacing w:val="0"/>
          <w:sz w:val="32"/>
          <w:szCs w:val="32"/>
          <w:lang w:val="en-US" w:eastAsia="zh-CN"/>
        </w:rPr>
        <w:t>领域政务公开工作，</w:t>
      </w:r>
      <w:r>
        <w:rPr>
          <w:rFonts w:hint="eastAsia" w:ascii="Times New Roman" w:hAnsi="Times New Roman" w:eastAsia="方正仿宋简体" w:cs="Times New Roman"/>
          <w:b/>
          <w:bCs/>
          <w:i w:val="0"/>
          <w:iCs w:val="0"/>
          <w:caps w:val="0"/>
          <w:color w:val="auto"/>
          <w:spacing w:val="0"/>
          <w:sz w:val="32"/>
          <w:szCs w:val="32"/>
          <w:lang w:val="en-US" w:eastAsia="zh-CN"/>
        </w:rPr>
        <w:t>推进</w:t>
      </w:r>
      <w:r>
        <w:rPr>
          <w:rFonts w:hint="default" w:ascii="Times New Roman" w:hAnsi="Times New Roman" w:eastAsia="方正仿宋简体" w:cs="Times New Roman"/>
          <w:b/>
          <w:bCs/>
          <w:i w:val="0"/>
          <w:iCs w:val="0"/>
          <w:caps w:val="0"/>
          <w:color w:val="auto"/>
          <w:spacing w:val="0"/>
          <w:sz w:val="32"/>
          <w:szCs w:val="32"/>
          <w:lang w:val="en-US" w:eastAsia="zh-CN"/>
        </w:rPr>
        <w:t>多维度、全链条的政务公开体系</w:t>
      </w:r>
      <w:r>
        <w:rPr>
          <w:rFonts w:hint="eastAsia" w:ascii="Times New Roman" w:hAnsi="Times New Roman" w:eastAsia="方正仿宋简体" w:cs="Times New Roman"/>
          <w:b/>
          <w:bCs/>
          <w:i w:val="0"/>
          <w:iCs w:val="0"/>
          <w:caps w:val="0"/>
          <w:color w:val="auto"/>
          <w:spacing w:val="0"/>
          <w:sz w:val="32"/>
          <w:szCs w:val="32"/>
          <w:lang w:val="en-US" w:eastAsia="zh-CN"/>
        </w:rPr>
        <w:t>建设。</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Style w:val="15"/>
          <w:rFonts w:hint="eastAsia" w:ascii="方正楷体简体" w:hAnsi="方正楷体简体" w:eastAsia="方正楷体简体" w:cs="方正楷体简体"/>
          <w:b/>
          <w:bCs w:val="0"/>
          <w:i w:val="0"/>
          <w:iCs w:val="0"/>
          <w:caps w:val="0"/>
          <w:color w:val="auto"/>
          <w:spacing w:val="0"/>
          <w:kern w:val="2"/>
          <w:sz w:val="32"/>
          <w:szCs w:val="32"/>
          <w:highlight w:val="none"/>
          <w:lang w:bidi="ar-SA"/>
        </w:rPr>
      </w:pPr>
      <w:r>
        <w:rPr>
          <w:rStyle w:val="15"/>
          <w:rFonts w:hint="eastAsia" w:ascii="方正楷体简体" w:hAnsi="方正楷体简体" w:eastAsia="方正楷体简体" w:cs="方正楷体简体"/>
          <w:b/>
          <w:bCs w:val="0"/>
          <w:i w:val="0"/>
          <w:iCs w:val="0"/>
          <w:caps w:val="0"/>
          <w:color w:val="auto"/>
          <w:spacing w:val="0"/>
          <w:kern w:val="2"/>
          <w:sz w:val="32"/>
          <w:szCs w:val="32"/>
          <w:highlight w:val="none"/>
          <w:lang w:eastAsia="zh-CN" w:bidi="ar-SA"/>
        </w:rPr>
        <w:t>（一）主动公开</w:t>
      </w:r>
      <w:r>
        <w:rPr>
          <w:rStyle w:val="15"/>
          <w:rFonts w:hint="eastAsia" w:ascii="方正楷体简体" w:hAnsi="方正楷体简体" w:eastAsia="方正楷体简体" w:cs="方正楷体简体"/>
          <w:b/>
          <w:bCs w:val="0"/>
          <w:i w:val="0"/>
          <w:iCs w:val="0"/>
          <w:caps w:val="0"/>
          <w:color w:val="auto"/>
          <w:spacing w:val="0"/>
          <w:kern w:val="2"/>
          <w:sz w:val="32"/>
          <w:szCs w:val="32"/>
          <w:highlight w:val="none"/>
          <w:lang w:bidi="ar-SA"/>
        </w:rPr>
        <w:t>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Style w:val="15"/>
          <w:rFonts w:hint="eastAsia" w:ascii="Times New Roman" w:hAnsi="Times New Roman" w:eastAsia="方正仿宋简体" w:cs="Times New Roman"/>
          <w:b/>
          <w:bCs w:val="0"/>
          <w:i w:val="0"/>
          <w:iCs w:val="0"/>
          <w:caps w:val="0"/>
          <w:color w:val="auto"/>
          <w:spacing w:val="0"/>
          <w:kern w:val="2"/>
          <w:sz w:val="32"/>
          <w:szCs w:val="32"/>
          <w:highlight w:val="none"/>
          <w:lang w:val="en-US" w:eastAsia="zh-CN" w:bidi="ar-SA"/>
        </w:rPr>
      </w:pPr>
      <w:r>
        <w:rPr>
          <w:rStyle w:val="15"/>
          <w:rFonts w:hint="default" w:ascii="Times New Roman" w:hAnsi="Times New Roman" w:eastAsia="方正仿宋简体" w:cs="Times New Roman"/>
          <w:b/>
          <w:bCs w:val="0"/>
          <w:i w:val="0"/>
          <w:iCs w:val="0"/>
          <w:caps w:val="0"/>
          <w:color w:val="auto"/>
          <w:spacing w:val="0"/>
          <w:kern w:val="2"/>
          <w:sz w:val="32"/>
          <w:szCs w:val="32"/>
          <w:highlight w:val="none"/>
          <w:lang w:val="en-US" w:eastAsia="zh-CN" w:bidi="ar-SA"/>
        </w:rPr>
        <w:t>通过政府网站累计公开政府信息</w:t>
      </w:r>
      <w:r>
        <w:rPr>
          <w:rStyle w:val="15"/>
          <w:rFonts w:hint="eastAsia" w:ascii="Times New Roman" w:hAnsi="Times New Roman" w:eastAsia="方正仿宋简体" w:cs="Times New Roman"/>
          <w:b/>
          <w:bCs w:val="0"/>
          <w:i w:val="0"/>
          <w:iCs w:val="0"/>
          <w:caps w:val="0"/>
          <w:color w:val="auto"/>
          <w:spacing w:val="0"/>
          <w:kern w:val="2"/>
          <w:sz w:val="32"/>
          <w:szCs w:val="32"/>
          <w:highlight w:val="none"/>
          <w:lang w:val="en-US" w:eastAsia="zh-CN" w:bidi="ar-SA"/>
        </w:rPr>
        <w:t>205</w:t>
      </w:r>
      <w:r>
        <w:rPr>
          <w:rStyle w:val="15"/>
          <w:rFonts w:hint="default" w:ascii="Times New Roman" w:hAnsi="Times New Roman" w:eastAsia="方正仿宋简体" w:cs="Times New Roman"/>
          <w:b/>
          <w:bCs w:val="0"/>
          <w:i w:val="0"/>
          <w:iCs w:val="0"/>
          <w:caps w:val="0"/>
          <w:color w:val="auto"/>
          <w:spacing w:val="0"/>
          <w:kern w:val="2"/>
          <w:sz w:val="32"/>
          <w:szCs w:val="32"/>
          <w:highlight w:val="none"/>
          <w:lang w:val="en-US" w:eastAsia="zh-CN" w:bidi="ar-SA"/>
        </w:rPr>
        <w:t>条，</w:t>
      </w:r>
      <w:r>
        <w:rPr>
          <w:rStyle w:val="15"/>
          <w:rFonts w:hint="eastAsia" w:ascii="Times New Roman" w:hAnsi="Times New Roman" w:eastAsia="方正仿宋简体" w:cs="Times New Roman"/>
          <w:b/>
          <w:bCs w:val="0"/>
          <w:i w:val="0"/>
          <w:iCs w:val="0"/>
          <w:caps w:val="0"/>
          <w:color w:val="auto"/>
          <w:spacing w:val="0"/>
          <w:kern w:val="2"/>
          <w:sz w:val="32"/>
          <w:szCs w:val="32"/>
          <w:highlight w:val="none"/>
          <w:lang w:val="en-US" w:eastAsia="zh-CN" w:bidi="ar-SA"/>
        </w:rPr>
        <w:t>主要包括政策文件及解读、财政预决算、行政权力、建议提案办理情况，以及社会福利、社会救助等重点领域信息。</w:t>
      </w:r>
      <w:r>
        <w:rPr>
          <w:rStyle w:val="15"/>
          <w:rFonts w:hint="default" w:ascii="Times New Roman" w:hAnsi="Times New Roman" w:eastAsia="方正仿宋简体" w:cs="Times New Roman"/>
          <w:b/>
          <w:bCs w:val="0"/>
          <w:i w:val="0"/>
          <w:iCs w:val="0"/>
          <w:caps w:val="0"/>
          <w:color w:val="auto"/>
          <w:spacing w:val="0"/>
          <w:kern w:val="2"/>
          <w:sz w:val="32"/>
          <w:szCs w:val="32"/>
          <w:highlight w:val="none"/>
          <w:lang w:val="en-US" w:eastAsia="zh-CN" w:bidi="ar-SA"/>
        </w:rPr>
        <w:t>通过</w:t>
      </w:r>
      <w:r>
        <w:rPr>
          <w:rFonts w:hint="eastAsia" w:ascii="Times New Roman" w:hAnsi="Times New Roman" w:eastAsia="仿宋" w:cs="Times New Roman"/>
          <w:b/>
          <w:bCs/>
          <w:color w:val="auto"/>
          <w:w w:val="100"/>
          <w:kern w:val="2"/>
          <w:sz w:val="32"/>
          <w:szCs w:val="32"/>
          <w:highlight w:val="none"/>
          <w:lang w:val="en-US" w:eastAsia="zh-CN" w:bidi="ar-SA"/>
        </w:rPr>
        <w:t>政务新媒体</w:t>
      </w:r>
      <w:r>
        <w:rPr>
          <w:rStyle w:val="15"/>
          <w:rFonts w:hint="default" w:ascii="Times New Roman" w:hAnsi="Times New Roman" w:eastAsia="方正仿宋简体" w:cs="Times New Roman"/>
          <w:b/>
          <w:bCs w:val="0"/>
          <w:i w:val="0"/>
          <w:iCs w:val="0"/>
          <w:caps w:val="0"/>
          <w:color w:val="auto"/>
          <w:spacing w:val="0"/>
          <w:kern w:val="2"/>
          <w:sz w:val="32"/>
          <w:szCs w:val="32"/>
          <w:highlight w:val="none"/>
          <w:lang w:val="en-US" w:eastAsia="zh-CN" w:bidi="ar-SA"/>
        </w:rPr>
        <w:t>累计公开政府信息</w:t>
      </w:r>
      <w:r>
        <w:rPr>
          <w:rStyle w:val="15"/>
          <w:rFonts w:hint="eastAsia" w:ascii="Times New Roman" w:hAnsi="Times New Roman" w:eastAsia="方正仿宋简体" w:cs="Times New Roman"/>
          <w:b/>
          <w:bCs w:val="0"/>
          <w:i w:val="0"/>
          <w:iCs w:val="0"/>
          <w:caps w:val="0"/>
          <w:color w:val="auto"/>
          <w:spacing w:val="0"/>
          <w:kern w:val="2"/>
          <w:sz w:val="32"/>
          <w:szCs w:val="32"/>
          <w:highlight w:val="none"/>
          <w:lang w:val="en-US" w:eastAsia="zh-CN" w:bidi="ar-SA"/>
        </w:rPr>
        <w:t>231</w:t>
      </w:r>
      <w:r>
        <w:rPr>
          <w:rStyle w:val="15"/>
          <w:rFonts w:hint="default" w:ascii="Times New Roman" w:hAnsi="Times New Roman" w:eastAsia="方正仿宋简体" w:cs="Times New Roman"/>
          <w:b/>
          <w:bCs w:val="0"/>
          <w:i w:val="0"/>
          <w:iCs w:val="0"/>
          <w:caps w:val="0"/>
          <w:color w:val="auto"/>
          <w:spacing w:val="0"/>
          <w:kern w:val="2"/>
          <w:sz w:val="32"/>
          <w:szCs w:val="32"/>
          <w:highlight w:val="none"/>
          <w:lang w:val="en-US" w:eastAsia="zh-CN" w:bidi="ar-SA"/>
        </w:rPr>
        <w:t>条，</w:t>
      </w:r>
      <w:r>
        <w:rPr>
          <w:rStyle w:val="15"/>
          <w:rFonts w:hint="eastAsia" w:ascii="Times New Roman" w:hAnsi="Times New Roman" w:eastAsia="方正仿宋简体" w:cs="Times New Roman"/>
          <w:b/>
          <w:bCs w:val="0"/>
          <w:i w:val="0"/>
          <w:iCs w:val="0"/>
          <w:caps w:val="0"/>
          <w:color w:val="auto"/>
          <w:spacing w:val="0"/>
          <w:kern w:val="2"/>
          <w:sz w:val="32"/>
          <w:szCs w:val="32"/>
          <w:highlight w:val="none"/>
          <w:lang w:val="en-US" w:eastAsia="zh-CN" w:bidi="ar-SA"/>
        </w:rPr>
        <w:t>组织和参加省、市新闻发布会5场，通过新闻媒体公开信息200余条。</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30"/>
        <w:jc w:val="both"/>
        <w:textAlignment w:val="auto"/>
        <w:rPr>
          <w:rStyle w:val="15"/>
          <w:rFonts w:hint="default" w:ascii="Times New Roman" w:hAnsi="Times New Roman" w:eastAsia="方正楷体简体" w:cs="Times New Roman"/>
          <w:b/>
          <w:bCs w:val="0"/>
          <w:i w:val="0"/>
          <w:iCs w:val="0"/>
          <w:caps w:val="0"/>
          <w:color w:val="auto"/>
          <w:spacing w:val="0"/>
          <w:sz w:val="32"/>
          <w:szCs w:val="32"/>
          <w:lang w:eastAsia="zh-CN"/>
        </w:rPr>
      </w:pPr>
      <w:r>
        <w:rPr>
          <w:rStyle w:val="15"/>
          <w:rFonts w:hint="eastAsia" w:ascii="Times New Roman" w:hAnsi="Times New Roman" w:eastAsia="方正仿宋简体" w:cs="Times New Roman"/>
          <w:b/>
          <w:bCs w:val="0"/>
          <w:i w:val="0"/>
          <w:iCs w:val="0"/>
          <w:caps w:val="0"/>
          <w:color w:val="auto"/>
          <w:spacing w:val="0"/>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118745</wp:posOffset>
            </wp:positionH>
            <wp:positionV relativeFrom="paragraph">
              <wp:posOffset>168910</wp:posOffset>
            </wp:positionV>
            <wp:extent cx="5080000" cy="3810000"/>
            <wp:effectExtent l="4445" t="4445" r="20955" b="1460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15"/>
          <w:rFonts w:hint="eastAsia" w:ascii="Times New Roman" w:hAnsi="Times New Roman" w:eastAsia="方正楷体简体" w:cs="Times New Roman"/>
          <w:b/>
          <w:bCs w:val="0"/>
          <w:i w:val="0"/>
          <w:iCs w:val="0"/>
          <w:caps w:val="0"/>
          <w:color w:val="auto"/>
          <w:spacing w:val="0"/>
          <w:sz w:val="32"/>
          <w:szCs w:val="32"/>
          <w:lang w:eastAsia="zh-CN"/>
        </w:rPr>
        <w:t>（二）</w:t>
      </w:r>
      <w:r>
        <w:rPr>
          <w:rStyle w:val="15"/>
          <w:rFonts w:hint="default" w:ascii="Times New Roman" w:hAnsi="Times New Roman" w:eastAsia="方正楷体简体" w:cs="Times New Roman"/>
          <w:b/>
          <w:bCs w:val="0"/>
          <w:i w:val="0"/>
          <w:iCs w:val="0"/>
          <w:caps w:val="0"/>
          <w:color w:val="auto"/>
          <w:spacing w:val="0"/>
          <w:sz w:val="32"/>
          <w:szCs w:val="32"/>
          <w:lang w:eastAsia="zh-CN"/>
        </w:rPr>
        <w:t>依申请公开情况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5"/>
          <w:rFonts w:hint="eastAsia" w:ascii="Times New Roman" w:hAnsi="Times New Roman" w:eastAsia="方正楷体简体" w:cs="Times New Roman"/>
          <w:b/>
          <w:bCs w:val="0"/>
          <w:i w:val="0"/>
          <w:iCs w:val="0"/>
          <w:caps w:val="0"/>
          <w:color w:val="auto"/>
          <w:spacing w:val="0"/>
          <w:sz w:val="32"/>
          <w:szCs w:val="32"/>
          <w:lang w:eastAsia="zh-CN"/>
        </w:rPr>
      </w:pPr>
      <w:r>
        <w:rPr>
          <w:rFonts w:hint="eastAsia" w:ascii="Times New Roman" w:hAnsi="Times New Roman" w:eastAsia="方正仿宋简体" w:cs="Times New Roman"/>
          <w:b/>
          <w:bCs/>
          <w:color w:val="auto"/>
          <w:sz w:val="32"/>
          <w:szCs w:val="32"/>
          <w:u w:val="none"/>
          <w:lang w:val="en-US" w:eastAsia="zh-CN"/>
        </w:rPr>
        <w:t>持续做好流程优化，进一步规范</w:t>
      </w:r>
      <w:r>
        <w:rPr>
          <w:rFonts w:hint="default" w:ascii="Times New Roman" w:hAnsi="Times New Roman" w:eastAsia="方正仿宋简体" w:cs="Times New Roman"/>
          <w:b/>
          <w:bCs/>
          <w:color w:val="auto"/>
          <w:sz w:val="32"/>
          <w:szCs w:val="32"/>
          <w:u w:val="none"/>
          <w:lang w:val="en-US" w:eastAsia="zh-CN"/>
        </w:rPr>
        <w:t>依申请公开</w:t>
      </w:r>
      <w:r>
        <w:rPr>
          <w:rFonts w:hint="eastAsia" w:ascii="Times New Roman" w:hAnsi="Times New Roman" w:eastAsia="方正仿宋简体" w:cs="Times New Roman"/>
          <w:b/>
          <w:bCs/>
          <w:color w:val="auto"/>
          <w:sz w:val="32"/>
          <w:szCs w:val="32"/>
          <w:u w:val="none"/>
          <w:lang w:val="en-US" w:eastAsia="zh-CN"/>
        </w:rPr>
        <w:t>“登记-会商-办理-审核-答复”</w:t>
      </w:r>
      <w:r>
        <w:rPr>
          <w:rFonts w:hint="default" w:ascii="Times New Roman" w:hAnsi="Times New Roman" w:eastAsia="方正仿宋简体" w:cs="Times New Roman"/>
          <w:b/>
          <w:bCs/>
          <w:color w:val="auto"/>
          <w:sz w:val="32"/>
          <w:szCs w:val="32"/>
          <w:u w:val="none"/>
          <w:lang w:val="en-US" w:eastAsia="zh-CN"/>
        </w:rPr>
        <w:t>程序</w:t>
      </w:r>
      <w:r>
        <w:rPr>
          <w:rFonts w:hint="eastAsia" w:ascii="Times New Roman" w:hAnsi="Times New Roman" w:eastAsia="方正仿宋简体" w:cs="Times New Roman"/>
          <w:b/>
          <w:bCs/>
          <w:color w:val="auto"/>
          <w:sz w:val="32"/>
          <w:szCs w:val="32"/>
          <w:u w:val="none"/>
          <w:lang w:val="en-US" w:eastAsia="zh-CN"/>
        </w:rPr>
        <w:t>。</w:t>
      </w:r>
      <w:r>
        <w:rPr>
          <w:rFonts w:hint="default" w:ascii="Times New Roman" w:hAnsi="Times New Roman" w:eastAsia="方正仿宋简体" w:cs="Times New Roman"/>
          <w:b/>
          <w:bCs/>
          <w:color w:val="auto"/>
          <w:sz w:val="32"/>
          <w:szCs w:val="32"/>
          <w:u w:val="none"/>
          <w:lang w:val="en-US" w:eastAsia="zh-CN"/>
        </w:rPr>
        <w:t>共收到政府信息公开申请</w:t>
      </w:r>
      <w:r>
        <w:rPr>
          <w:rFonts w:hint="eastAsia" w:ascii="Times New Roman" w:hAnsi="Times New Roman" w:eastAsia="方正仿宋简体" w:cs="Times New Roman"/>
          <w:b/>
          <w:bCs/>
          <w:color w:val="auto"/>
          <w:sz w:val="32"/>
          <w:szCs w:val="32"/>
          <w:u w:val="none"/>
          <w:lang w:val="en-US" w:eastAsia="zh-CN"/>
        </w:rPr>
        <w:t>8</w:t>
      </w:r>
      <w:r>
        <w:rPr>
          <w:rFonts w:hint="default" w:ascii="Times New Roman" w:hAnsi="Times New Roman" w:eastAsia="方正仿宋简体" w:cs="Times New Roman"/>
          <w:b/>
          <w:bCs/>
          <w:color w:val="auto"/>
          <w:sz w:val="32"/>
          <w:szCs w:val="32"/>
          <w:u w:val="none"/>
          <w:lang w:val="en-US" w:eastAsia="zh-CN"/>
        </w:rPr>
        <w:t>件，</w:t>
      </w:r>
      <w:r>
        <w:rPr>
          <w:rFonts w:hint="eastAsia" w:ascii="Times New Roman" w:hAnsi="Times New Roman" w:eastAsia="方正仿宋简体" w:cs="Times New Roman"/>
          <w:b/>
          <w:bCs/>
          <w:color w:val="auto"/>
          <w:sz w:val="32"/>
          <w:szCs w:val="32"/>
          <w:u w:val="none"/>
          <w:lang w:val="en-US" w:eastAsia="zh-CN"/>
        </w:rPr>
        <w:t>已</w:t>
      </w:r>
      <w:r>
        <w:rPr>
          <w:rFonts w:hint="default" w:ascii="Times New Roman" w:hAnsi="Times New Roman" w:eastAsia="方正仿宋简体" w:cs="Times New Roman"/>
          <w:b/>
          <w:bCs/>
          <w:color w:val="auto"/>
          <w:sz w:val="32"/>
          <w:szCs w:val="32"/>
          <w:u w:val="none"/>
          <w:lang w:val="en-US" w:eastAsia="zh-CN"/>
        </w:rPr>
        <w:t>答复</w:t>
      </w:r>
      <w:r>
        <w:rPr>
          <w:rFonts w:hint="eastAsia" w:ascii="Times New Roman" w:hAnsi="Times New Roman" w:eastAsia="方正仿宋简体" w:cs="Times New Roman"/>
          <w:b/>
          <w:bCs/>
          <w:color w:val="auto"/>
          <w:sz w:val="32"/>
          <w:szCs w:val="32"/>
          <w:u w:val="none"/>
          <w:lang w:val="en-US" w:eastAsia="zh-CN"/>
        </w:rPr>
        <w:t>7</w:t>
      </w:r>
      <w:r>
        <w:rPr>
          <w:rFonts w:hint="default" w:ascii="Times New Roman" w:hAnsi="Times New Roman" w:eastAsia="方正仿宋简体" w:cs="Times New Roman"/>
          <w:b/>
          <w:bCs/>
          <w:color w:val="auto"/>
          <w:sz w:val="32"/>
          <w:szCs w:val="32"/>
          <w:u w:val="none"/>
          <w:lang w:val="en-US" w:eastAsia="zh-CN"/>
        </w:rPr>
        <w:t>件，结转下年度继续办理</w:t>
      </w:r>
      <w:r>
        <w:rPr>
          <w:rFonts w:hint="eastAsia" w:ascii="Times New Roman" w:hAnsi="Times New Roman" w:eastAsia="方正仿宋简体" w:cs="Times New Roman"/>
          <w:b/>
          <w:bCs/>
          <w:color w:val="auto"/>
          <w:sz w:val="32"/>
          <w:szCs w:val="32"/>
          <w:u w:val="none"/>
          <w:lang w:val="en-US" w:eastAsia="zh-CN"/>
        </w:rPr>
        <w:t>1件</w:t>
      </w:r>
      <w:r>
        <w:rPr>
          <w:rFonts w:hint="default" w:ascii="Times New Roman" w:hAnsi="Times New Roman" w:eastAsia="方正仿宋简体" w:cs="Times New Roman"/>
          <w:b/>
          <w:bCs/>
          <w:color w:val="auto"/>
          <w:sz w:val="32"/>
          <w:szCs w:val="32"/>
          <w:u w:val="none"/>
          <w:lang w:val="en-US" w:eastAsia="zh-CN"/>
        </w:rPr>
        <w:t>；全年政府信息公开行政复议0件，行政诉讼0件。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5"/>
          <w:rFonts w:hint="default" w:ascii="Times New Roman" w:hAnsi="Times New Roman" w:eastAsia="方正楷体简体" w:cs="Times New Roman"/>
          <w:b/>
          <w:bCs w:val="0"/>
          <w:i w:val="0"/>
          <w:iCs w:val="0"/>
          <w:caps w:val="0"/>
          <w:color w:val="auto"/>
          <w:spacing w:val="0"/>
          <w:sz w:val="32"/>
          <w:szCs w:val="32"/>
          <w:lang w:eastAsia="zh-CN"/>
        </w:rPr>
      </w:pPr>
      <w:r>
        <w:rPr>
          <w:rStyle w:val="15"/>
          <w:rFonts w:hint="default" w:ascii="Times New Roman" w:hAnsi="Times New Roman" w:eastAsia="方正楷体简体" w:cs="Times New Roman"/>
          <w:b/>
          <w:bCs w:val="0"/>
          <w:i w:val="0"/>
          <w:iCs w:val="0"/>
          <w:caps w:val="0"/>
          <w:color w:val="auto"/>
          <w:spacing w:val="0"/>
          <w:sz w:val="32"/>
          <w:szCs w:val="32"/>
          <w:lang w:eastAsia="zh-CN"/>
        </w:rPr>
        <w:drawing>
          <wp:anchor distT="0" distB="0" distL="114300" distR="114300" simplePos="0" relativeHeight="251660288" behindDoc="0" locked="0" layoutInCell="1" allowOverlap="1">
            <wp:simplePos x="0" y="0"/>
            <wp:positionH relativeFrom="column">
              <wp:posOffset>-50165</wp:posOffset>
            </wp:positionH>
            <wp:positionV relativeFrom="paragraph">
              <wp:posOffset>73025</wp:posOffset>
            </wp:positionV>
            <wp:extent cx="5604510" cy="2442210"/>
            <wp:effectExtent l="4445" t="4445" r="10795"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Style w:val="15"/>
          <w:rFonts w:hint="eastAsia" w:ascii="Times New Roman" w:hAnsi="Times New Roman" w:eastAsia="方正楷体简体" w:cs="Times New Roman"/>
          <w:b/>
          <w:bCs w:val="0"/>
          <w:i w:val="0"/>
          <w:iCs w:val="0"/>
          <w:caps w:val="0"/>
          <w:color w:val="auto"/>
          <w:spacing w:val="0"/>
          <w:sz w:val="32"/>
          <w:szCs w:val="32"/>
          <w:lang w:eastAsia="zh-CN"/>
        </w:rPr>
        <w:t>（三）</w:t>
      </w:r>
      <w:r>
        <w:rPr>
          <w:rStyle w:val="15"/>
          <w:rFonts w:hint="default" w:ascii="Times New Roman" w:hAnsi="Times New Roman" w:eastAsia="方正楷体简体" w:cs="Times New Roman"/>
          <w:b/>
          <w:bCs w:val="0"/>
          <w:i w:val="0"/>
          <w:iCs w:val="0"/>
          <w:caps w:val="0"/>
          <w:color w:val="auto"/>
          <w:spacing w:val="0"/>
          <w:sz w:val="32"/>
          <w:szCs w:val="32"/>
          <w:lang w:eastAsia="zh-CN"/>
        </w:rPr>
        <w:t>政府信息管理情况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5"/>
          <w:rFonts w:hint="default" w:ascii="Times New Roman" w:hAnsi="Times New Roman" w:eastAsia="方正仿宋简体" w:cs="Times New Roman"/>
          <w:b/>
          <w:bCs w:val="0"/>
          <w:i w:val="0"/>
          <w:iCs w:val="0"/>
          <w:caps w:val="0"/>
          <w:color w:val="auto"/>
          <w:spacing w:val="0"/>
          <w:kern w:val="2"/>
          <w:sz w:val="32"/>
          <w:szCs w:val="32"/>
          <w:lang w:val="en-US" w:bidi="ar-SA"/>
        </w:rPr>
      </w:pPr>
      <w:r>
        <w:rPr>
          <w:rFonts w:hint="eastAsia" w:ascii="Times New Roman" w:hAnsi="Times New Roman" w:eastAsia="仿宋" w:cs="Times New Roman"/>
          <w:b/>
          <w:bCs/>
          <w:color w:val="auto"/>
          <w:w w:val="100"/>
          <w:kern w:val="2"/>
          <w:sz w:val="32"/>
          <w:szCs w:val="32"/>
          <w:highlight w:val="none"/>
          <w:lang w:val="en-US" w:eastAsia="zh-CN" w:bidi="ar-SA"/>
        </w:rPr>
        <w:t>全面</w:t>
      </w:r>
      <w:r>
        <w:rPr>
          <w:rFonts w:hint="default" w:ascii="Times New Roman" w:hAnsi="Times New Roman" w:eastAsia="仿宋" w:cs="Times New Roman"/>
          <w:b/>
          <w:bCs/>
          <w:color w:val="auto"/>
          <w:sz w:val="32"/>
          <w:szCs w:val="32"/>
          <w:highlight w:val="none"/>
          <w:u w:val="none"/>
          <w:lang w:val="en-US" w:eastAsia="zh-CN"/>
        </w:rPr>
        <w:t>落实公开属性源头</w:t>
      </w:r>
      <w:r>
        <w:rPr>
          <w:rFonts w:hint="eastAsia" w:ascii="Times New Roman" w:hAnsi="Times New Roman" w:eastAsia="仿宋" w:cs="Times New Roman"/>
          <w:b/>
          <w:bCs/>
          <w:color w:val="auto"/>
          <w:sz w:val="32"/>
          <w:szCs w:val="32"/>
          <w:highlight w:val="none"/>
          <w:u w:val="none"/>
          <w:lang w:val="en-US" w:eastAsia="zh-CN"/>
        </w:rPr>
        <w:t>管理</w:t>
      </w:r>
      <w:r>
        <w:rPr>
          <w:rFonts w:hint="default" w:ascii="Times New Roman" w:hAnsi="Times New Roman" w:eastAsia="仿宋" w:cs="Times New Roman"/>
          <w:b/>
          <w:bCs/>
          <w:color w:val="auto"/>
          <w:sz w:val="32"/>
          <w:szCs w:val="32"/>
          <w:highlight w:val="none"/>
          <w:u w:val="none"/>
          <w:lang w:val="en-US" w:eastAsia="zh-CN"/>
        </w:rPr>
        <w:t>，</w:t>
      </w:r>
      <w:r>
        <w:rPr>
          <w:rFonts w:hint="default" w:ascii="Times New Roman" w:hAnsi="Times New Roman" w:eastAsia="仿宋" w:cs="Times New Roman"/>
          <w:b/>
          <w:bCs/>
          <w:color w:val="auto"/>
          <w:w w:val="100"/>
          <w:kern w:val="2"/>
          <w:sz w:val="32"/>
          <w:szCs w:val="32"/>
          <w:highlight w:val="none"/>
          <w:lang w:val="en-US" w:eastAsia="zh-CN" w:bidi="ar-SA"/>
        </w:rPr>
        <w:t>在文件</w:t>
      </w:r>
      <w:r>
        <w:rPr>
          <w:rFonts w:hint="eastAsia" w:ascii="Times New Roman" w:hAnsi="Times New Roman" w:eastAsia="仿宋" w:cs="Times New Roman"/>
          <w:b/>
          <w:bCs/>
          <w:color w:val="auto"/>
          <w:w w:val="100"/>
          <w:kern w:val="2"/>
          <w:sz w:val="32"/>
          <w:szCs w:val="32"/>
          <w:highlight w:val="none"/>
          <w:lang w:val="en-US" w:eastAsia="zh-CN" w:bidi="ar-SA"/>
        </w:rPr>
        <w:t>起草阶段明确文件</w:t>
      </w:r>
      <w:r>
        <w:rPr>
          <w:rFonts w:hint="default" w:ascii="Times New Roman" w:hAnsi="Times New Roman" w:eastAsia="仿宋" w:cs="Times New Roman"/>
          <w:b/>
          <w:bCs/>
          <w:color w:val="auto"/>
          <w:w w:val="100"/>
          <w:kern w:val="2"/>
          <w:sz w:val="32"/>
          <w:szCs w:val="32"/>
          <w:highlight w:val="none"/>
          <w:lang w:val="en-US" w:eastAsia="zh-CN" w:bidi="ar-SA"/>
        </w:rPr>
        <w:t>主动公开、依申请公开、不予公开</w:t>
      </w:r>
      <w:r>
        <w:rPr>
          <w:rFonts w:hint="eastAsia" w:ascii="Times New Roman" w:hAnsi="Times New Roman" w:eastAsia="仿宋" w:cs="Times New Roman"/>
          <w:b/>
          <w:bCs/>
          <w:color w:val="auto"/>
          <w:w w:val="100"/>
          <w:kern w:val="2"/>
          <w:sz w:val="32"/>
          <w:szCs w:val="32"/>
          <w:highlight w:val="none"/>
          <w:lang w:val="en-US" w:eastAsia="zh-CN" w:bidi="ar-SA"/>
        </w:rPr>
        <w:t>等</w:t>
      </w:r>
      <w:r>
        <w:rPr>
          <w:rFonts w:hint="default" w:ascii="Times New Roman" w:hAnsi="Times New Roman" w:eastAsia="仿宋" w:cs="Times New Roman"/>
          <w:b/>
          <w:bCs/>
          <w:color w:val="auto"/>
          <w:w w:val="100"/>
          <w:kern w:val="2"/>
          <w:sz w:val="32"/>
          <w:szCs w:val="32"/>
          <w:highlight w:val="none"/>
          <w:lang w:val="en-US" w:eastAsia="zh-CN" w:bidi="ar-SA"/>
        </w:rPr>
        <w:t>公开属性，在文件印发时明确标注</w:t>
      </w:r>
      <w:r>
        <w:rPr>
          <w:rFonts w:hint="eastAsia" w:ascii="Times New Roman" w:hAnsi="Times New Roman" w:eastAsia="仿宋" w:cs="Times New Roman"/>
          <w:b/>
          <w:bCs/>
          <w:color w:val="auto"/>
          <w:w w:val="100"/>
          <w:kern w:val="2"/>
          <w:sz w:val="32"/>
          <w:szCs w:val="32"/>
          <w:highlight w:val="none"/>
          <w:lang w:val="en-US" w:eastAsia="zh-CN" w:bidi="ar-SA"/>
        </w:rPr>
        <w:t>。加强政府信息公开保密审查，</w:t>
      </w:r>
      <w:r>
        <w:rPr>
          <w:rFonts w:hint="default" w:ascii="Times New Roman" w:hAnsi="Times New Roman" w:eastAsia="仿宋" w:cs="Times New Roman"/>
          <w:b/>
          <w:bCs/>
          <w:color w:val="auto"/>
          <w:w w:val="100"/>
          <w:kern w:val="2"/>
          <w:sz w:val="32"/>
          <w:szCs w:val="32"/>
          <w:highlight w:val="none"/>
          <w:lang w:val="en-US" w:eastAsia="zh-CN" w:bidi="ar-SA"/>
        </w:rPr>
        <w:t>实行“三审三校”、多级审核、先审后发，严把信息发布质量关。</w:t>
      </w:r>
      <w:r>
        <w:rPr>
          <w:rFonts w:hint="eastAsia" w:ascii="Times New Roman" w:hAnsi="Times New Roman" w:eastAsia="仿宋" w:cs="Times New Roman"/>
          <w:b/>
          <w:bCs/>
          <w:color w:val="auto"/>
          <w:w w:val="100"/>
          <w:kern w:val="2"/>
          <w:sz w:val="32"/>
          <w:szCs w:val="32"/>
          <w:highlight w:val="none"/>
          <w:lang w:val="en-US" w:eastAsia="zh-CN" w:bidi="ar-SA"/>
        </w:rPr>
        <w:t>统筹政务公开与保密安全，做好信息公开前的保密审查工作和已公开信息的甄别研判，及时清理</w:t>
      </w:r>
      <w:r>
        <w:rPr>
          <w:rStyle w:val="15"/>
          <w:rFonts w:hint="eastAsia" w:ascii="Times New Roman" w:hAnsi="Times New Roman" w:eastAsia="方正仿宋简体" w:cs="Times New Roman"/>
          <w:b/>
          <w:bCs w:val="0"/>
          <w:i w:val="0"/>
          <w:iCs w:val="0"/>
          <w:caps w:val="0"/>
          <w:color w:val="auto"/>
          <w:spacing w:val="0"/>
          <w:kern w:val="2"/>
          <w:sz w:val="32"/>
          <w:szCs w:val="32"/>
          <w:lang w:val="en-US" w:eastAsia="zh-CN" w:bidi="ar-SA"/>
        </w:rPr>
        <w:t>失效、废止文件。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5"/>
          <w:rFonts w:hint="default" w:ascii="Times New Roman" w:hAnsi="Times New Roman" w:eastAsia="方正楷体简体" w:cs="Times New Roman"/>
          <w:b/>
          <w:bCs w:val="0"/>
          <w:i w:val="0"/>
          <w:iCs w:val="0"/>
          <w:caps w:val="0"/>
          <w:color w:val="auto"/>
          <w:spacing w:val="0"/>
          <w:sz w:val="32"/>
          <w:szCs w:val="32"/>
          <w:lang w:eastAsia="zh-CN"/>
        </w:rPr>
      </w:pPr>
      <w:r>
        <w:rPr>
          <w:rStyle w:val="15"/>
          <w:rFonts w:hint="eastAsia" w:ascii="Times New Roman" w:hAnsi="Times New Roman" w:eastAsia="方正楷体简体" w:cs="Times New Roman"/>
          <w:b/>
          <w:bCs w:val="0"/>
          <w:i w:val="0"/>
          <w:iCs w:val="0"/>
          <w:caps w:val="0"/>
          <w:color w:val="auto"/>
          <w:spacing w:val="0"/>
          <w:sz w:val="32"/>
          <w:szCs w:val="32"/>
          <w:lang w:eastAsia="zh-CN"/>
        </w:rPr>
        <w:t>（四）</w:t>
      </w:r>
      <w:r>
        <w:rPr>
          <w:rStyle w:val="15"/>
          <w:rFonts w:hint="default" w:ascii="Times New Roman" w:hAnsi="Times New Roman" w:eastAsia="方正楷体简体" w:cs="Times New Roman"/>
          <w:b/>
          <w:bCs w:val="0"/>
          <w:i w:val="0"/>
          <w:iCs w:val="0"/>
          <w:caps w:val="0"/>
          <w:color w:val="auto"/>
          <w:spacing w:val="0"/>
          <w:sz w:val="32"/>
          <w:szCs w:val="32"/>
          <w:lang w:eastAsia="zh-CN"/>
        </w:rPr>
        <w:t>政府信息公开平台建设情况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color w:val="auto"/>
          <w:highlight w:val="none"/>
        </w:rPr>
      </w:pPr>
      <w:r>
        <w:rPr>
          <w:rFonts w:hint="eastAsia" w:ascii="Times New Roman" w:hAnsi="Times New Roman" w:eastAsia="仿宋" w:cs="Times New Roman"/>
          <w:b/>
          <w:bCs/>
          <w:color w:val="auto"/>
          <w:w w:val="100"/>
          <w:kern w:val="2"/>
          <w:sz w:val="32"/>
          <w:szCs w:val="32"/>
          <w:highlight w:val="none"/>
          <w:lang w:val="en-US" w:eastAsia="zh-CN" w:bidi="ar-SA"/>
        </w:rPr>
        <w:t>规范政府信息公开</w:t>
      </w:r>
      <w:r>
        <w:rPr>
          <w:rFonts w:hint="default" w:ascii="Times New Roman" w:hAnsi="Times New Roman" w:eastAsia="仿宋" w:cs="Times New Roman"/>
          <w:b/>
          <w:bCs/>
          <w:color w:val="auto"/>
          <w:w w:val="100"/>
          <w:kern w:val="2"/>
          <w:sz w:val="32"/>
          <w:szCs w:val="32"/>
          <w:highlight w:val="none"/>
          <w:lang w:val="en-US" w:eastAsia="zh-CN" w:bidi="ar-SA"/>
        </w:rPr>
        <w:t>平台建设管理</w:t>
      </w:r>
      <w:r>
        <w:rPr>
          <w:rFonts w:hint="eastAsia" w:ascii="Times New Roman" w:hAnsi="Times New Roman" w:eastAsia="仿宋" w:cs="Times New Roman"/>
          <w:b/>
          <w:bCs/>
          <w:color w:val="auto"/>
          <w:w w:val="100"/>
          <w:kern w:val="2"/>
          <w:sz w:val="32"/>
          <w:szCs w:val="32"/>
          <w:highlight w:val="none"/>
          <w:lang w:val="en-US" w:eastAsia="zh-CN" w:bidi="ar-SA"/>
        </w:rPr>
        <w:t>，持续推动政府网站、政务新媒体等内容建设，强化信息发布、互动交流、解读回应、办事服务等功能建设，在政府网站开设社会救助政策、养老服务领域信息公开、殡葬服务等专题专栏，在“济宁民政”政务新媒体开设便民服务、民政服务、政务服务等快捷</w:t>
      </w:r>
      <w:r>
        <w:rPr>
          <w:rFonts w:hint="default" w:ascii="Times New Roman" w:hAnsi="Times New Roman" w:eastAsia="仿宋" w:cs="Times New Roman"/>
          <w:b/>
          <w:bCs/>
          <w:color w:val="auto"/>
          <w:w w:val="100"/>
          <w:kern w:val="2"/>
          <w:sz w:val="32"/>
          <w:szCs w:val="32"/>
          <w:highlight w:val="none"/>
          <w:lang w:val="en-US" w:eastAsia="zh-CN" w:bidi="ar-SA"/>
        </w:rPr>
        <w:t>栏目</w:t>
      </w:r>
      <w:r>
        <w:rPr>
          <w:rFonts w:hint="eastAsia" w:ascii="Times New Roman" w:hAnsi="Times New Roman" w:eastAsia="仿宋" w:cs="Times New Roman"/>
          <w:b/>
          <w:bCs/>
          <w:color w:val="auto"/>
          <w:w w:val="100"/>
          <w:kern w:val="2"/>
          <w:sz w:val="32"/>
          <w:szCs w:val="32"/>
          <w:highlight w:val="none"/>
          <w:lang w:val="en-US" w:eastAsia="zh-CN" w:bidi="ar-SA"/>
        </w:rPr>
        <w:t>。</w:t>
      </w:r>
      <w:r>
        <w:rPr>
          <w:rFonts w:hint="default" w:ascii="Times New Roman" w:hAnsi="Times New Roman" w:eastAsia="仿宋" w:cs="Times New Roman"/>
          <w:b/>
          <w:bCs/>
          <w:color w:val="auto"/>
          <w:w w:val="100"/>
          <w:kern w:val="2"/>
          <w:sz w:val="32"/>
          <w:szCs w:val="32"/>
          <w:highlight w:val="none"/>
          <w:lang w:val="en-US" w:eastAsia="zh-CN" w:bidi="ar-SA"/>
        </w:rPr>
        <w:t>政府网站</w:t>
      </w:r>
      <w:r>
        <w:rPr>
          <w:rFonts w:hint="eastAsia" w:ascii="Times New Roman" w:hAnsi="Times New Roman" w:eastAsia="仿宋" w:cs="Times New Roman"/>
          <w:b/>
          <w:bCs/>
          <w:color w:val="auto"/>
          <w:w w:val="100"/>
          <w:kern w:val="2"/>
          <w:sz w:val="32"/>
          <w:szCs w:val="32"/>
          <w:highlight w:val="none"/>
          <w:lang w:val="en-US" w:eastAsia="zh-CN" w:bidi="ar-SA"/>
        </w:rPr>
        <w:t>和政务新媒体年</w:t>
      </w:r>
      <w:r>
        <w:rPr>
          <w:rFonts w:hint="default" w:ascii="Times New Roman" w:hAnsi="Times New Roman" w:eastAsia="仿宋" w:cs="Times New Roman"/>
          <w:b/>
          <w:bCs/>
          <w:color w:val="auto"/>
          <w:w w:val="100"/>
          <w:kern w:val="2"/>
          <w:sz w:val="32"/>
          <w:szCs w:val="32"/>
          <w:highlight w:val="none"/>
          <w:lang w:val="en-US" w:eastAsia="zh-CN" w:bidi="ar-SA"/>
        </w:rPr>
        <w:t>访问量超过</w:t>
      </w:r>
      <w:r>
        <w:rPr>
          <w:rFonts w:hint="eastAsia" w:ascii="Times New Roman" w:hAnsi="Times New Roman" w:eastAsia="仿宋" w:cs="Times New Roman"/>
          <w:b/>
          <w:bCs/>
          <w:color w:val="auto"/>
          <w:w w:val="100"/>
          <w:kern w:val="2"/>
          <w:sz w:val="32"/>
          <w:szCs w:val="32"/>
          <w:highlight w:val="none"/>
          <w:lang w:val="en-US" w:eastAsia="zh-CN" w:bidi="ar-SA"/>
        </w:rPr>
        <w:t>64</w:t>
      </w:r>
      <w:r>
        <w:rPr>
          <w:rFonts w:hint="default" w:ascii="Times New Roman" w:hAnsi="Times New Roman" w:eastAsia="仿宋" w:cs="Times New Roman"/>
          <w:b/>
          <w:bCs/>
          <w:color w:val="auto"/>
          <w:w w:val="100"/>
          <w:kern w:val="2"/>
          <w:sz w:val="32"/>
          <w:szCs w:val="32"/>
          <w:highlight w:val="none"/>
          <w:lang w:val="en-US" w:eastAsia="zh-CN" w:bidi="ar-SA"/>
        </w:rPr>
        <w:t>万次。</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方正楷体简体" w:hAnsi="方正楷体简体" w:eastAsia="方正楷体简体" w:cs="方正楷体简体"/>
          <w:b/>
          <w:bCs/>
          <w:color w:val="auto"/>
          <w:w w:val="100"/>
          <w:kern w:val="2"/>
          <w:sz w:val="32"/>
          <w:szCs w:val="32"/>
          <w:highlight w:val="none"/>
          <w:lang w:val="en-US" w:eastAsia="zh-CN" w:bidi="ar-SA"/>
        </w:rPr>
      </w:pPr>
      <w:r>
        <w:rPr>
          <w:rFonts w:hint="eastAsia" w:ascii="方正楷体简体" w:hAnsi="方正楷体简体" w:eastAsia="方正楷体简体" w:cs="方正楷体简体"/>
          <w:b/>
          <w:bCs/>
          <w:color w:val="auto"/>
          <w:w w:val="100"/>
          <w:kern w:val="2"/>
          <w:sz w:val="32"/>
          <w:szCs w:val="32"/>
          <w:highlight w:val="none"/>
          <w:lang w:val="en-US" w:eastAsia="zh-CN" w:bidi="ar-SA"/>
        </w:rPr>
        <w:t>（五）监督保障情况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b/>
          <w:bCs/>
          <w:color w:val="auto"/>
          <w:w w:val="100"/>
          <w:kern w:val="2"/>
          <w:sz w:val="32"/>
          <w:szCs w:val="32"/>
          <w:highlight w:val="none"/>
          <w:lang w:val="en-US" w:eastAsia="zh-CN" w:bidi="ar-SA"/>
        </w:rPr>
      </w:pPr>
      <w:r>
        <w:rPr>
          <w:rFonts w:hint="eastAsia" w:ascii="Times New Roman" w:hAnsi="Times New Roman" w:eastAsia="仿宋" w:cs="Times New Roman"/>
          <w:b/>
          <w:bCs/>
          <w:color w:val="auto"/>
          <w:w w:val="100"/>
          <w:kern w:val="2"/>
          <w:sz w:val="32"/>
          <w:szCs w:val="32"/>
          <w:highlight w:val="none"/>
          <w:lang w:val="en-US" w:eastAsia="zh-CN" w:bidi="ar-SA"/>
        </w:rPr>
        <w:t>研究</w:t>
      </w:r>
      <w:r>
        <w:rPr>
          <w:rFonts w:hint="default" w:ascii="Times New Roman" w:hAnsi="Times New Roman" w:eastAsia="仿宋" w:cs="Times New Roman"/>
          <w:b/>
          <w:bCs/>
          <w:color w:val="auto"/>
          <w:w w:val="100"/>
          <w:kern w:val="2"/>
          <w:sz w:val="32"/>
          <w:szCs w:val="32"/>
          <w:highlight w:val="none"/>
          <w:lang w:val="en-US" w:eastAsia="zh-CN" w:bidi="ar-SA"/>
        </w:rPr>
        <w:t>制定</w:t>
      </w:r>
      <w:r>
        <w:rPr>
          <w:rFonts w:hint="eastAsia" w:ascii="Times New Roman" w:hAnsi="Times New Roman" w:eastAsia="仿宋" w:cs="Times New Roman"/>
          <w:b/>
          <w:bCs/>
          <w:color w:val="auto"/>
          <w:w w:val="100"/>
          <w:kern w:val="2"/>
          <w:sz w:val="32"/>
          <w:szCs w:val="32"/>
          <w:highlight w:val="none"/>
          <w:lang w:val="en-US" w:eastAsia="zh-CN" w:bidi="ar-SA"/>
        </w:rPr>
        <w:t>年度</w:t>
      </w:r>
      <w:r>
        <w:rPr>
          <w:rFonts w:hint="default" w:ascii="Times New Roman" w:hAnsi="Times New Roman" w:eastAsia="仿宋" w:cs="Times New Roman"/>
          <w:b/>
          <w:bCs/>
          <w:color w:val="auto"/>
          <w:w w:val="100"/>
          <w:kern w:val="2"/>
          <w:sz w:val="32"/>
          <w:szCs w:val="32"/>
          <w:highlight w:val="none"/>
          <w:lang w:val="en-US" w:eastAsia="zh-CN" w:bidi="ar-SA"/>
        </w:rPr>
        <w:t>政务公开工作要点，及时更新局政务公开领导小组信息。组织信息公开、保密学习培训，积极派员参加全市政务公开业务培训</w:t>
      </w:r>
      <w:r>
        <w:rPr>
          <w:rFonts w:hint="eastAsia" w:ascii="Times New Roman" w:hAnsi="Times New Roman" w:eastAsia="仿宋" w:cs="Times New Roman"/>
          <w:b/>
          <w:bCs/>
          <w:color w:val="auto"/>
          <w:w w:val="100"/>
          <w:kern w:val="2"/>
          <w:sz w:val="32"/>
          <w:szCs w:val="32"/>
          <w:highlight w:val="none"/>
          <w:lang w:val="en-US" w:eastAsia="zh-CN" w:bidi="ar-SA"/>
        </w:rPr>
        <w:t>，定期开展政府网站自查监测，重点加强</w:t>
      </w:r>
      <w:r>
        <w:rPr>
          <w:rFonts w:hint="eastAsia" w:ascii="方正仿宋简体" w:hAnsi="方正仿宋简体" w:eastAsia="方正仿宋简体" w:cs="方正仿宋简体"/>
          <w:b/>
          <w:bCs w:val="0"/>
          <w:color w:val="000000"/>
          <w:spacing w:val="0"/>
          <w:kern w:val="0"/>
          <w:sz w:val="32"/>
          <w:szCs w:val="32"/>
          <w:lang w:val="en-US" w:eastAsia="zh-CN" w:bidi="ar"/>
        </w:rPr>
        <w:t>栏目更新滞后、链接失效等问题</w:t>
      </w:r>
      <w:r>
        <w:rPr>
          <w:rFonts w:hint="eastAsia" w:ascii="Times New Roman" w:hAnsi="Times New Roman" w:eastAsia="仿宋" w:cs="Times New Roman"/>
          <w:b/>
          <w:bCs/>
          <w:color w:val="auto"/>
          <w:w w:val="100"/>
          <w:kern w:val="2"/>
          <w:sz w:val="32"/>
          <w:szCs w:val="32"/>
          <w:highlight w:val="none"/>
          <w:lang w:val="en-US" w:eastAsia="zh-CN" w:bidi="ar-SA"/>
        </w:rPr>
        <w:t>巡检，及时清理隐患。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二、主动公开政府信息情况</w:t>
      </w:r>
    </w:p>
    <w:tbl>
      <w:tblPr>
        <w:tblStyle w:val="1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2</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行政许可</w:t>
            </w:r>
          </w:p>
        </w:tc>
        <w:tc>
          <w:tcPr>
            <w:tcW w:w="7305" w:type="dxa"/>
            <w:gridSpan w:val="3"/>
            <w:tcBorders>
              <w:top w:val="single" w:color="auto" w:sz="4" w:space="0"/>
              <w:left w:val="nil"/>
              <w:bottom w:val="single" w:color="auto" w:sz="4" w:space="0"/>
              <w:right w:val="single" w:color="auto" w:sz="4"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r>
    </w:tbl>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三、收到和处理政府信息公开申请情况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cs="Times New Roman"/>
                <w:b/>
                <w:bCs w:val="0"/>
                <w:color w:val="auto"/>
              </w:rPr>
            </w:pPr>
            <w:r>
              <w:rPr>
                <w:rFonts w:hint="default" w:ascii="Times New Roman" w:hAnsi="Times New Roman" w:eastAsia="楷体" w:cs="Times New Roman"/>
                <w:b/>
                <w:bCs w:val="0"/>
                <w:color w:val="auto"/>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商业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科研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eastAsia" w:ascii="Times New Roman" w:hAnsi="Times New Roman" w:eastAsia="方正仿宋简体" w:cs="Times New Roman"/>
                <w:b/>
                <w:bCs w:val="0"/>
                <w:color w:val="auto"/>
                <w:kern w:val="0"/>
                <w:sz w:val="20"/>
                <w:szCs w:val="20"/>
                <w:lang w:val="en-US" w:eastAsia="zh-CN" w:bidi="ar"/>
              </w:rPr>
              <w:t>8</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eastAsia" w:ascii="Times New Roman" w:hAnsi="Times New Roman" w:eastAsia="方正仿宋简体" w:cs="Times New Roman"/>
                <w:b/>
                <w:bCs w:val="0"/>
                <w:color w:val="auto"/>
                <w:kern w:val="0"/>
                <w:sz w:val="20"/>
                <w:szCs w:val="20"/>
                <w:lang w:val="en-US" w:eastAsia="zh-CN" w:bidi="ar"/>
              </w:rPr>
              <w:t>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eastAsia" w:ascii="Times New Roman" w:hAnsi="Times New Roman" w:eastAsia="方正仿宋简体" w:cs="Times New Roman"/>
                <w:b/>
                <w:bCs w:val="0"/>
                <w:color w:val="auto"/>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（二）部分公开</w:t>
            </w:r>
            <w:r>
              <w:rPr>
                <w:rFonts w:hint="default" w:ascii="Times New Roman" w:hAnsi="Times New Roman" w:eastAsia="楷体" w:cs="Times New Roman"/>
                <w:b/>
                <w:bCs w:val="0"/>
                <w:color w:val="auto"/>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eastAsia"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eastAsia"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eastAsia" w:ascii="Times New Roman" w:hAnsi="Times New Roman" w:eastAsia="方正仿宋简体" w:cs="Times New Roman"/>
                <w:b/>
                <w:bCs w:val="0"/>
                <w:color w:val="auto"/>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824"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84"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（六）其他处理</w:t>
            </w:r>
          </w:p>
        </w:tc>
        <w:tc>
          <w:tcPr>
            <w:tcW w:w="3406"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方正仿宋简体" w:cs="Times New Roman"/>
                <w:b/>
                <w:bCs w:val="0"/>
                <w:color w:val="auto"/>
                <w:kern w:val="0"/>
                <w:sz w:val="20"/>
                <w:szCs w:val="20"/>
                <w:lang w:bidi="ar"/>
              </w:rPr>
            </w:pPr>
            <w:r>
              <w:rPr>
                <w:rFonts w:hint="default" w:ascii="Times New Roman" w:hAnsi="Times New Roman" w:eastAsia="方正仿宋简体" w:cs="Times New Roman"/>
                <w:b/>
                <w:bCs w:val="0"/>
                <w:color w:val="auto"/>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outset" w:color="auto" w:sz="8" w:space="0"/>
              <w:left w:val="nil"/>
              <w:bottom w:val="outset" w:color="auto" w:sz="8" w:space="0"/>
              <w:right w:val="single" w:color="auto" w:sz="4"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single" w:color="auto" w:sz="4" w:space="0"/>
              <w:left w:val="single" w:color="auto" w:sz="4" w:space="0"/>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Times New Roman" w:hAnsi="Times New Roman" w:eastAsia="方正仿宋简体" w:cs="Times New Roman"/>
                <w:b/>
                <w:bCs w:val="0"/>
                <w:color w:val="auto"/>
                <w:kern w:val="0"/>
                <w:sz w:val="20"/>
                <w:szCs w:val="20"/>
                <w:lang w:bidi="ar"/>
              </w:rPr>
            </w:pPr>
            <w:r>
              <w:rPr>
                <w:rFonts w:hint="default" w:ascii="Times New Roman" w:hAnsi="Times New Roman" w:eastAsia="方正仿宋简体" w:cs="Times New Roman"/>
                <w:b/>
                <w:bCs w:val="0"/>
                <w:color w:val="auto"/>
                <w:kern w:val="0"/>
                <w:sz w:val="20"/>
                <w:szCs w:val="20"/>
                <w:lang w:val="en-US" w:eastAsia="zh-CN" w:bidi="ar"/>
              </w:rPr>
              <w:t>2.申请人逾期未按收费通知要求缴纳费用、行政机关不再处理其政府信息公开申请</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4"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3406"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3.其他</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b/>
                <w:bCs w:val="0"/>
                <w:color w:val="auto"/>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eastAsia" w:ascii="Times New Roman" w:hAnsi="Times New Roman" w:cs="Times New Roman"/>
                <w:b/>
                <w:bCs w:val="0"/>
                <w:color w:val="auto"/>
                <w:kern w:val="0"/>
                <w:sz w:val="20"/>
                <w:szCs w:val="20"/>
                <w:lang w:val="en-US" w:eastAsia="zh-CN" w:bidi="ar"/>
              </w:rPr>
              <w:t>7</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eastAsia" w:ascii="Times New Roman" w:hAnsi="Times New Roman" w:cs="Times New Roman"/>
                <w:b/>
                <w:bCs w:val="0"/>
                <w:color w:val="auto"/>
                <w:kern w:val="0"/>
                <w:sz w:val="20"/>
                <w:szCs w:val="20"/>
                <w:lang w:val="en-US" w:eastAsia="zh-CN" w:bidi="ar"/>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default" w:ascii="Times New Roman" w:hAnsi="Times New Roman"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Times New Roman" w:hAnsi="Times New Roman" w:eastAsia="宋体" w:cs="Times New Roman"/>
                <w:b/>
                <w:bCs w:val="0"/>
                <w:color w:val="auto"/>
                <w:lang w:val="en-US" w:eastAsia="zh-CN"/>
              </w:rPr>
            </w:pPr>
            <w:r>
              <w:rPr>
                <w:rFonts w:hint="eastAsia" w:ascii="Times New Roman" w:hAnsi="Times New Roman" w:cs="Times New Roman"/>
                <w:b/>
                <w:bCs w:val="0"/>
                <w:color w:val="auto"/>
                <w:lang w:val="en-US" w:eastAsia="zh-CN"/>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b/>
                <w:bCs w:val="0"/>
                <w:color w:val="auto"/>
                <w:sz w:val="24"/>
                <w:szCs w:val="24"/>
              </w:rPr>
            </w:pPr>
            <w:r>
              <w:rPr>
                <w:rFonts w:hint="eastAsia" w:ascii="Times New Roman" w:hAnsi="Times New Roman" w:cs="Times New Roman"/>
                <w:b/>
                <w:bCs w:val="0"/>
                <w:color w:val="auto"/>
                <w:kern w:val="0"/>
                <w:sz w:val="20"/>
                <w:szCs w:val="20"/>
                <w:lang w:val="en-US" w:eastAsia="zh-CN" w:bidi="ar"/>
              </w:rPr>
              <w:t>1</w:t>
            </w:r>
          </w:p>
        </w:tc>
      </w:tr>
    </w:tbl>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四、政府信息公开行政复议、行政诉讼情况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尚未</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尚未</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尚未</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0"/>
              <w:jc w:val="center"/>
              <w:textAlignment w:val="auto"/>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方正仿宋简体" w:cs="Times New Roman"/>
                <w:b/>
                <w:bCs w:val="0"/>
                <w:color w:val="auto"/>
                <w:sz w:val="24"/>
                <w:szCs w:val="24"/>
              </w:rPr>
            </w:pPr>
            <w:r>
              <w:rPr>
                <w:rFonts w:hint="default" w:ascii="Times New Roman" w:hAnsi="Times New Roman" w:eastAsia="方正仿宋简体" w:cs="Times New Roman"/>
                <w:b/>
                <w:bCs w:val="0"/>
                <w:color w:val="auto"/>
                <w:kern w:val="0"/>
                <w:sz w:val="20"/>
                <w:szCs w:val="20"/>
                <w:lang w:val="en-US" w:eastAsia="zh-CN" w:bidi="ar"/>
              </w:rPr>
              <w:t>0</w:t>
            </w:r>
          </w:p>
        </w:tc>
      </w:tr>
    </w:tbl>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（一）存在问题。</w:t>
      </w:r>
      <w:r>
        <w:rPr>
          <w:rFonts w:hint="eastAsia" w:ascii="Times New Roman" w:hAnsi="Times New Roman" w:eastAsia="方正仿宋简体" w:cs="Times New Roman"/>
          <w:b/>
          <w:bCs/>
          <w:color w:val="auto"/>
          <w:sz w:val="32"/>
          <w:szCs w:val="32"/>
          <w:lang w:val="en-US" w:eastAsia="zh-CN"/>
        </w:rPr>
        <w:t>平台运营效能不均衡，</w:t>
      </w:r>
      <w:r>
        <w:rPr>
          <w:rFonts w:hint="eastAsia" w:ascii="Times New Roman" w:hAnsi="Times New Roman" w:eastAsia="仿宋" w:cs="Times New Roman"/>
          <w:b/>
          <w:bCs/>
          <w:color w:val="auto"/>
          <w:w w:val="100"/>
          <w:kern w:val="2"/>
          <w:sz w:val="32"/>
          <w:szCs w:val="32"/>
          <w:highlight w:val="none"/>
          <w:lang w:val="en-US" w:eastAsia="zh-CN" w:bidi="ar-SA"/>
        </w:rPr>
        <w:t>政务新媒体</w:t>
      </w:r>
      <w:r>
        <w:rPr>
          <w:rFonts w:hint="eastAsia" w:ascii="Times New Roman" w:hAnsi="Times New Roman" w:eastAsia="方正仿宋简体" w:cs="Times New Roman"/>
          <w:b/>
          <w:bCs/>
          <w:color w:val="auto"/>
          <w:sz w:val="32"/>
          <w:szCs w:val="32"/>
          <w:lang w:val="en-US" w:eastAsia="zh-CN"/>
        </w:rPr>
        <w:t>影响力和信息传播覆盖面有限；</w:t>
      </w:r>
      <w:r>
        <w:rPr>
          <w:rFonts w:hint="default" w:ascii="Times New Roman" w:hAnsi="Times New Roman" w:eastAsia="方正仿宋简体" w:cs="Times New Roman"/>
          <w:b/>
          <w:bCs/>
          <w:color w:val="auto"/>
          <w:sz w:val="32"/>
          <w:szCs w:val="32"/>
          <w:lang w:val="en-US" w:eastAsia="zh-CN"/>
        </w:rPr>
        <w:t>信息公开的知晓率和参与度较低</w:t>
      </w:r>
      <w:r>
        <w:rPr>
          <w:rFonts w:hint="eastAsia" w:ascii="Times New Roman" w:hAnsi="Times New Roman" w:eastAsia="方正仿宋简体" w:cs="Times New Roman"/>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val="en-US" w:eastAsia="zh-CN"/>
        </w:rPr>
      </w:pPr>
      <w:r>
        <w:rPr>
          <w:rFonts w:hint="eastAsia" w:ascii="方正楷体简体" w:hAnsi="方正楷体简体" w:eastAsia="方正楷体简体" w:cs="方正楷体简体"/>
          <w:b/>
          <w:bCs/>
          <w:color w:val="auto"/>
          <w:sz w:val="32"/>
          <w:szCs w:val="32"/>
          <w:lang w:val="en-US" w:eastAsia="zh-CN"/>
        </w:rPr>
        <w:t>（二）改进措施。</w:t>
      </w:r>
      <w:r>
        <w:rPr>
          <w:rFonts w:hint="eastAsia" w:ascii="Times New Roman" w:hAnsi="Times New Roman" w:eastAsia="方正仿宋简体" w:cs="Times New Roman"/>
          <w:b/>
          <w:bCs/>
          <w:color w:val="auto"/>
          <w:sz w:val="32"/>
          <w:szCs w:val="32"/>
          <w:lang w:val="en-US" w:eastAsia="zh-CN"/>
        </w:rPr>
        <w:t>一是加强</w:t>
      </w:r>
      <w:r>
        <w:rPr>
          <w:rFonts w:hint="eastAsia" w:ascii="Times New Roman" w:hAnsi="Times New Roman" w:eastAsia="仿宋" w:cs="Times New Roman"/>
          <w:b/>
          <w:bCs/>
          <w:color w:val="auto"/>
          <w:w w:val="100"/>
          <w:kern w:val="2"/>
          <w:sz w:val="32"/>
          <w:szCs w:val="32"/>
          <w:highlight w:val="none"/>
          <w:lang w:val="en-US" w:eastAsia="zh-CN" w:bidi="ar-SA"/>
        </w:rPr>
        <w:t>政务新媒体</w:t>
      </w:r>
      <w:r>
        <w:rPr>
          <w:rFonts w:hint="eastAsia" w:ascii="Times New Roman" w:hAnsi="Times New Roman" w:eastAsia="方正仿宋简体" w:cs="Times New Roman"/>
          <w:b/>
          <w:bCs/>
          <w:color w:val="auto"/>
          <w:sz w:val="32"/>
          <w:szCs w:val="32"/>
          <w:lang w:val="en-US" w:eastAsia="zh-CN"/>
        </w:rPr>
        <w:t>运营管理，提升信息发布频次和质量，整合线上线下平台资源，实现公开信息同源发布、同步更新，提升协同服务能力。二是加大互动交流推广力度，文件</w:t>
      </w:r>
      <w:r>
        <w:rPr>
          <w:rFonts w:hint="default" w:ascii="Times New Roman" w:hAnsi="Times New Roman" w:eastAsia="方正仿宋简体" w:cs="Times New Roman"/>
          <w:b/>
          <w:bCs/>
          <w:color w:val="auto"/>
          <w:sz w:val="32"/>
          <w:szCs w:val="32"/>
          <w:lang w:val="en-US" w:eastAsia="zh-CN"/>
        </w:rPr>
        <w:t>政策制定前</w:t>
      </w:r>
      <w:r>
        <w:rPr>
          <w:rFonts w:hint="eastAsia" w:ascii="Times New Roman" w:hAnsi="Times New Roman" w:eastAsia="方正仿宋简体" w:cs="Times New Roman"/>
          <w:b/>
          <w:bCs/>
          <w:color w:val="auto"/>
          <w:sz w:val="32"/>
          <w:szCs w:val="32"/>
          <w:lang w:val="en-US" w:eastAsia="zh-CN"/>
        </w:rPr>
        <w:t>通过多种渠道广泛</w:t>
      </w:r>
      <w:r>
        <w:rPr>
          <w:rFonts w:hint="default" w:ascii="Times New Roman" w:hAnsi="Times New Roman" w:eastAsia="方正仿宋简体" w:cs="Times New Roman"/>
          <w:b/>
          <w:bCs/>
          <w:color w:val="auto"/>
          <w:sz w:val="32"/>
          <w:szCs w:val="32"/>
          <w:lang w:val="en-US" w:eastAsia="zh-CN"/>
        </w:rPr>
        <w:t>征求意见，</w:t>
      </w:r>
      <w:r>
        <w:rPr>
          <w:rFonts w:hint="eastAsia" w:ascii="Times New Roman" w:hAnsi="Times New Roman" w:eastAsia="方正仿宋简体" w:cs="Times New Roman"/>
          <w:b/>
          <w:bCs/>
          <w:color w:val="auto"/>
          <w:sz w:val="32"/>
          <w:szCs w:val="32"/>
          <w:lang w:val="en-US" w:eastAsia="zh-CN"/>
        </w:rPr>
        <w:t>加强对重点工作落实、执行流程等关键环节公开，</w:t>
      </w:r>
      <w:r>
        <w:rPr>
          <w:rFonts w:hint="default" w:ascii="Times New Roman" w:hAnsi="Times New Roman" w:eastAsia="方正仿宋简体" w:cs="Times New Roman"/>
          <w:b/>
          <w:bCs/>
          <w:color w:val="auto"/>
          <w:sz w:val="32"/>
          <w:szCs w:val="32"/>
          <w:lang w:val="en-US" w:eastAsia="zh-CN"/>
        </w:rPr>
        <w:t>充分激活公众参与机制。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（一）</w:t>
      </w:r>
      <w:r>
        <w:rPr>
          <w:rFonts w:hint="default" w:ascii="Times New Roman" w:hAnsi="Times New Roman" w:eastAsia="方正楷体简体" w:cs="Times New Roman"/>
          <w:b/>
          <w:bCs w:val="0"/>
          <w:color w:val="auto"/>
          <w:sz w:val="32"/>
          <w:szCs w:val="32"/>
        </w:rPr>
        <w:t>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202</w:t>
      </w:r>
      <w:r>
        <w:rPr>
          <w:rFonts w:hint="eastAsia"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年度，</w:t>
      </w:r>
      <w:r>
        <w:rPr>
          <w:rFonts w:hint="eastAsia" w:ascii="Times New Roman" w:hAnsi="Times New Roman" w:eastAsia="方正仿宋简体" w:cs="Times New Roman"/>
          <w:b/>
          <w:bCs/>
          <w:color w:val="auto"/>
          <w:sz w:val="32"/>
          <w:szCs w:val="32"/>
          <w:lang w:eastAsia="zh-CN"/>
        </w:rPr>
        <w:t>济宁</w:t>
      </w:r>
      <w:r>
        <w:rPr>
          <w:rFonts w:hint="default" w:ascii="Times New Roman" w:hAnsi="Times New Roman" w:eastAsia="方正仿宋简体" w:cs="Times New Roman"/>
          <w:b/>
          <w:bCs/>
          <w:color w:val="auto"/>
          <w:sz w:val="32"/>
          <w:szCs w:val="32"/>
          <w:lang w:eastAsia="zh-CN"/>
        </w:rPr>
        <w:t>市民政局</w:t>
      </w:r>
      <w:r>
        <w:rPr>
          <w:rFonts w:hint="default" w:ascii="Times New Roman" w:hAnsi="Times New Roman" w:eastAsia="方正仿宋简体" w:cs="Times New Roman"/>
          <w:b/>
          <w:bCs/>
          <w:color w:val="auto"/>
          <w:sz w:val="32"/>
          <w:szCs w:val="32"/>
        </w:rPr>
        <w:t>未收取信息处理费</w:t>
      </w:r>
      <w:r>
        <w:rPr>
          <w:rFonts w:hint="default" w:ascii="Times New Roman" w:hAnsi="Times New Roman" w:eastAsia="方正仿宋简体" w:cs="Times New Roman"/>
          <w:b/>
          <w:bCs/>
          <w:color w:val="auto"/>
          <w:sz w:val="32"/>
          <w:szCs w:val="32"/>
          <w:lang w:eastAsia="zh-CN"/>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rPr>
        <w:t>落实上级年度政务公开工作要点情况</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方正仿宋简体"/>
          <w:b/>
          <w:color w:val="000000"/>
          <w:sz w:val="32"/>
          <w:szCs w:val="32"/>
          <w:lang w:val="en-US" w:eastAsia="zh-CN"/>
        </w:rPr>
      </w:pPr>
      <w:r>
        <w:rPr>
          <w:rFonts w:hint="eastAsia" w:ascii="Times New Roman" w:hAnsi="Times New Roman" w:eastAsia="方正仿宋简体"/>
          <w:b/>
          <w:color w:val="000000"/>
          <w:sz w:val="32"/>
          <w:szCs w:val="32"/>
          <w:lang w:val="en-US" w:eastAsia="zh-CN"/>
        </w:rPr>
        <w:t>及时发布政府信息公开年度报告及解读，更新主动公开基本目录。</w:t>
      </w:r>
      <w:r>
        <w:rPr>
          <w:rFonts w:hint="eastAsia" w:ascii="Times New Roman" w:hAnsi="Times New Roman" w:eastAsia="方正仿宋简体" w:cs="Times New Roman"/>
          <w:b/>
          <w:color w:val="000000"/>
          <w:sz w:val="32"/>
          <w:szCs w:val="32"/>
          <w:lang w:val="en-US" w:eastAsia="zh-CN"/>
        </w:rPr>
        <w:t>制发《2025年济宁市民政局政务公开工作要点》《济宁市民政局贯彻落实2025年山东省政务公开工作要点任务分解</w:t>
      </w:r>
      <w:r>
        <w:rPr>
          <w:rFonts w:hint="eastAsia" w:ascii="Times New Roman" w:hAnsi="Times New Roman" w:eastAsia="方正仿宋简体" w:cs="Times New Roman"/>
          <w:b/>
          <w:color w:val="auto"/>
          <w:sz w:val="32"/>
          <w:szCs w:val="32"/>
          <w:lang w:val="en-US" w:eastAsia="zh-CN"/>
        </w:rPr>
        <w:t>表》《2025年度济宁市民政局主动公开基本目录》，细化分解年度目标，明确了推进主动公开清单化、政策解读多元化、政民互动常态化等13项具体任务。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rPr>
        <w:t>人大代表建议和政协提案办理结果公开情况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color w:val="auto"/>
          <w:sz w:val="32"/>
          <w:szCs w:val="32"/>
          <w:lang w:eastAsia="zh-CN"/>
        </w:rPr>
      </w:pPr>
      <w:r>
        <w:rPr>
          <w:rFonts w:hint="default" w:ascii="Times New Roman" w:hAnsi="Times New Roman" w:eastAsia="方正仿宋简体" w:cs="Times New Roman"/>
          <w:b/>
          <w:color w:val="auto"/>
          <w:sz w:val="32"/>
          <w:szCs w:val="32"/>
          <w:lang w:val="en-US" w:eastAsia="zh-CN"/>
        </w:rPr>
        <w:t>承办人大建议11件、政协提案11件，均于</w:t>
      </w:r>
      <w:r>
        <w:rPr>
          <w:rFonts w:hint="eastAsia" w:ascii="Times New Roman" w:hAnsi="Times New Roman" w:eastAsia="方正仿宋简体" w:cs="Times New Roman"/>
          <w:b/>
          <w:color w:val="auto"/>
          <w:sz w:val="32"/>
          <w:szCs w:val="32"/>
          <w:lang w:val="en-US" w:eastAsia="zh-CN"/>
        </w:rPr>
        <w:t>2025年</w:t>
      </w:r>
      <w:r>
        <w:rPr>
          <w:rFonts w:hint="default" w:ascii="Times New Roman" w:hAnsi="Times New Roman" w:eastAsia="方正仿宋简体" w:cs="Times New Roman"/>
          <w:b/>
          <w:color w:val="auto"/>
          <w:sz w:val="32"/>
          <w:szCs w:val="32"/>
          <w:lang w:val="en-US" w:eastAsia="zh-CN"/>
        </w:rPr>
        <w:t>9月上旬全部办结并完成答复</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rPr>
        <w:t>并对</w:t>
      </w:r>
      <w:r>
        <w:rPr>
          <w:rFonts w:hint="default" w:ascii="Times New Roman" w:hAnsi="Times New Roman" w:eastAsia="方正仿宋简体" w:cs="Times New Roman"/>
          <w:b/>
          <w:color w:val="auto"/>
          <w:sz w:val="32"/>
          <w:szCs w:val="32"/>
          <w:lang w:eastAsia="zh-CN"/>
        </w:rPr>
        <w:t>有关</w:t>
      </w:r>
      <w:r>
        <w:rPr>
          <w:rFonts w:hint="default" w:ascii="Times New Roman" w:hAnsi="Times New Roman" w:eastAsia="方正仿宋简体" w:cs="Times New Roman"/>
          <w:b/>
          <w:color w:val="auto"/>
          <w:sz w:val="32"/>
          <w:szCs w:val="32"/>
        </w:rPr>
        <w:t>建议和提案办理复文全文、总体情况和吸收采纳情况进行公开</w:t>
      </w:r>
      <w:r>
        <w:rPr>
          <w:rFonts w:hint="default" w:ascii="Times New Roman" w:hAnsi="Times New Roman" w:eastAsia="方正仿宋简体" w:cs="Times New Roman"/>
          <w:b/>
          <w:color w:val="auto"/>
          <w:sz w:val="32"/>
          <w:szCs w:val="32"/>
          <w:lang w:eastAsia="zh-CN"/>
        </w:rPr>
        <w:t>，代表委员办结率和满意率100%。</w:t>
      </w:r>
    </w:p>
    <w:p>
      <w:pPr>
        <w:pStyle w:val="2"/>
        <w:rPr>
          <w:rFonts w:hint="default"/>
          <w:lang w:eastAsia="zh-CN"/>
        </w:rPr>
      </w:pPr>
      <w:bookmarkStart w:id="0" w:name="_GoBack"/>
      <w:r>
        <w:rPr>
          <w:rFonts w:hint="default"/>
          <w:lang w:eastAsia="zh-CN"/>
        </w:rPr>
        <w:drawing>
          <wp:anchor distT="0" distB="0" distL="114300" distR="114300" simplePos="0" relativeHeight="251662336" behindDoc="0" locked="0" layoutInCell="1" allowOverlap="1">
            <wp:simplePos x="0" y="0"/>
            <wp:positionH relativeFrom="column">
              <wp:posOffset>451485</wp:posOffset>
            </wp:positionH>
            <wp:positionV relativeFrom="paragraph">
              <wp:posOffset>46990</wp:posOffset>
            </wp:positionV>
            <wp:extent cx="4371340" cy="2978785"/>
            <wp:effectExtent l="4445" t="4445" r="5715" b="76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bookmarkEnd w:id="0"/>
    </w:p>
    <w:p>
      <w:pPr>
        <w:pStyle w:val="2"/>
        <w:jc w:val="both"/>
        <w:rPr>
          <w:rFonts w:hint="default"/>
          <w:lang w:eastAsia="zh-CN"/>
        </w:rPr>
      </w:pPr>
    </w:p>
    <w:p>
      <w:pPr>
        <w:pStyle w:val="2"/>
        <w:jc w:val="both"/>
        <w:rPr>
          <w:rFonts w:hint="default"/>
          <w:lang w:eastAsia="zh-CN"/>
        </w:rPr>
      </w:pPr>
    </w:p>
    <w:p>
      <w:pPr>
        <w:pStyle w:val="2"/>
        <w:jc w:val="both"/>
        <w:rPr>
          <w:rFonts w:hint="default"/>
          <w:lang w:eastAsia="zh-CN"/>
        </w:rPr>
      </w:pPr>
    </w:p>
    <w:p>
      <w:pPr>
        <w:pStyle w:val="2"/>
        <w:jc w:val="both"/>
        <w:rPr>
          <w:rFonts w:hint="default"/>
          <w:lang w:eastAsia="zh-CN"/>
        </w:rPr>
      </w:pPr>
    </w:p>
    <w:p>
      <w:pPr>
        <w:pStyle w:val="2"/>
        <w:jc w:val="both"/>
        <w:rPr>
          <w:rFonts w:hint="default"/>
          <w:lang w:eastAsia="zh-CN"/>
        </w:rPr>
      </w:pPr>
    </w:p>
    <w:p>
      <w:pPr>
        <w:pStyle w:val="10"/>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rPr>
        <w:t>政务公开工作创新情况</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一是</w:t>
      </w:r>
      <w:r>
        <w:rPr>
          <w:rFonts w:hint="default" w:ascii="Times New Roman" w:hAnsi="Times New Roman" w:eastAsia="方正仿宋简体" w:cs="Times New Roman"/>
          <w:b/>
          <w:color w:val="auto"/>
          <w:sz w:val="32"/>
          <w:szCs w:val="32"/>
          <w:lang w:val="en-US" w:eastAsia="zh-CN"/>
        </w:rPr>
        <w:t>以政务公开</w:t>
      </w:r>
      <w:r>
        <w:rPr>
          <w:rFonts w:hint="eastAsia" w:ascii="Times New Roman" w:hAnsi="Times New Roman" w:eastAsia="方正仿宋简体" w:cs="Times New Roman"/>
          <w:b/>
          <w:color w:val="auto"/>
          <w:sz w:val="32"/>
          <w:szCs w:val="32"/>
          <w:lang w:val="en-US" w:eastAsia="zh-CN"/>
        </w:rPr>
        <w:t>推动工作落实</w:t>
      </w:r>
      <w:r>
        <w:rPr>
          <w:rFonts w:hint="default" w:ascii="Times New Roman" w:hAnsi="Times New Roman" w:eastAsia="方正仿宋简体" w:cs="Times New Roman"/>
          <w:b/>
          <w:color w:val="auto"/>
          <w:sz w:val="32"/>
          <w:szCs w:val="32"/>
          <w:lang w:val="en-US" w:eastAsia="zh-CN"/>
        </w:rPr>
        <w:t>。围绕</w:t>
      </w:r>
      <w:r>
        <w:rPr>
          <w:rFonts w:hint="eastAsia" w:ascii="Times New Roman" w:hAnsi="Times New Roman" w:eastAsia="方正仿宋简体" w:cs="Times New Roman"/>
          <w:b/>
          <w:color w:val="auto"/>
          <w:sz w:val="32"/>
          <w:szCs w:val="32"/>
          <w:lang w:val="en-US" w:eastAsia="zh-CN"/>
        </w:rPr>
        <w:t>贯彻落实山东民政事业高质量发展“1261”行动计划、</w:t>
      </w:r>
      <w:r>
        <w:rPr>
          <w:rFonts w:hint="default" w:ascii="Times New Roman" w:hAnsi="Times New Roman" w:eastAsia="方正仿宋简体" w:cs="Times New Roman"/>
          <w:b/>
          <w:color w:val="auto"/>
          <w:sz w:val="32"/>
          <w:szCs w:val="32"/>
          <w:lang w:val="en-US" w:eastAsia="zh-CN"/>
        </w:rPr>
        <w:t>政府工作报告</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重点任务公开承诺事项、重点民生实事落实进展情况</w:t>
      </w:r>
      <w:r>
        <w:rPr>
          <w:rFonts w:hint="eastAsia" w:ascii="Times New Roman" w:hAnsi="Times New Roman" w:eastAsia="方正仿宋简体" w:cs="Times New Roman"/>
          <w:b/>
          <w:color w:val="auto"/>
          <w:sz w:val="32"/>
          <w:szCs w:val="32"/>
          <w:lang w:val="en-US" w:eastAsia="zh-CN"/>
        </w:rPr>
        <w:t>、</w:t>
      </w:r>
      <w:r>
        <w:rPr>
          <w:rFonts w:hint="default" w:ascii="Times New Roman" w:hAnsi="Times New Roman" w:eastAsia="方正仿宋简体" w:cs="Times New Roman"/>
          <w:b/>
          <w:color w:val="auto"/>
          <w:sz w:val="32"/>
          <w:szCs w:val="32"/>
          <w:lang w:val="en-US" w:eastAsia="zh-CN"/>
        </w:rPr>
        <w:t>抓改革创新促高质量发展、实施提振消费行动等，持续做好民政领域实施措施和配套政策措施的主动公开工作</w:t>
      </w:r>
      <w:r>
        <w:rPr>
          <w:rFonts w:hint="eastAsia" w:ascii="Times New Roman" w:hAnsi="Times New Roman" w:eastAsia="方正仿宋简体" w:cs="Times New Roman"/>
          <w:b/>
          <w:color w:val="auto"/>
          <w:sz w:val="32"/>
          <w:szCs w:val="32"/>
          <w:lang w:val="en-US" w:eastAsia="zh-CN"/>
        </w:rPr>
        <w:t>，全面公开养老领域促销费政策</w:t>
      </w:r>
      <w:r>
        <w:rPr>
          <w:rFonts w:hint="default" w:ascii="Times New Roman" w:hAnsi="Times New Roman" w:eastAsia="方正仿宋简体" w:cs="Times New Roman"/>
          <w:b/>
          <w:color w:val="auto"/>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二是</w:t>
      </w:r>
      <w:r>
        <w:rPr>
          <w:rFonts w:hint="default" w:ascii="Times New Roman" w:hAnsi="Times New Roman" w:eastAsia="方正仿宋简体" w:cs="Times New Roman"/>
          <w:b/>
          <w:color w:val="auto"/>
          <w:sz w:val="32"/>
          <w:szCs w:val="32"/>
          <w:lang w:val="en-US" w:eastAsia="zh-CN"/>
        </w:rPr>
        <w:t>以政务公开</w:t>
      </w:r>
      <w:r>
        <w:rPr>
          <w:rFonts w:hint="eastAsia" w:ascii="Times New Roman" w:hAnsi="Times New Roman" w:eastAsia="方正仿宋简体" w:cs="Times New Roman"/>
          <w:b/>
          <w:color w:val="auto"/>
          <w:sz w:val="32"/>
          <w:szCs w:val="32"/>
          <w:lang w:val="en-US" w:eastAsia="zh-CN"/>
        </w:rPr>
        <w:t>改善服务质量</w:t>
      </w:r>
      <w:r>
        <w:rPr>
          <w:rFonts w:hint="default" w:ascii="Times New Roman" w:hAnsi="Times New Roman" w:eastAsia="方正仿宋简体" w:cs="Times New Roman"/>
          <w:b/>
          <w:color w:val="auto"/>
          <w:sz w:val="32"/>
          <w:szCs w:val="32"/>
          <w:lang w:val="en-US" w:eastAsia="zh-CN"/>
        </w:rPr>
        <w:t>。加强“一老一小”服务保障政策</w:t>
      </w:r>
      <w:r>
        <w:rPr>
          <w:rFonts w:hint="eastAsia" w:ascii="Times New Roman" w:hAnsi="Times New Roman" w:eastAsia="方正仿宋简体" w:cs="Times New Roman"/>
          <w:b/>
          <w:color w:val="auto"/>
          <w:sz w:val="32"/>
          <w:szCs w:val="32"/>
          <w:lang w:val="en-US" w:eastAsia="zh-CN"/>
        </w:rPr>
        <w:t>公开</w:t>
      </w:r>
      <w:r>
        <w:rPr>
          <w:rFonts w:hint="default" w:ascii="Times New Roman" w:hAnsi="Times New Roman" w:eastAsia="方正仿宋简体" w:cs="Times New Roman"/>
          <w:b/>
          <w:color w:val="auto"/>
          <w:sz w:val="32"/>
          <w:szCs w:val="32"/>
          <w:lang w:val="en-US" w:eastAsia="zh-CN"/>
        </w:rPr>
        <w:t>，</w:t>
      </w:r>
      <w:r>
        <w:rPr>
          <w:rFonts w:hint="eastAsia" w:ascii="Times New Roman" w:hAnsi="Times New Roman" w:eastAsia="方正仿宋简体" w:cs="Times New Roman"/>
          <w:b/>
          <w:color w:val="auto"/>
          <w:sz w:val="32"/>
          <w:szCs w:val="32"/>
          <w:lang w:val="en-US" w:eastAsia="zh-CN"/>
        </w:rPr>
        <w:t>及时</w:t>
      </w:r>
      <w:r>
        <w:rPr>
          <w:rFonts w:hint="default" w:ascii="Times New Roman" w:hAnsi="Times New Roman" w:eastAsia="方正仿宋简体" w:cs="Times New Roman"/>
          <w:b/>
          <w:color w:val="auto"/>
          <w:sz w:val="32"/>
          <w:szCs w:val="32"/>
          <w:lang w:val="en-US" w:eastAsia="zh-CN"/>
        </w:rPr>
        <w:t>推送养老服务政策、养老机构监管、儿童福利保障等支持政策和措施。</w:t>
      </w:r>
      <w:r>
        <w:rPr>
          <w:rFonts w:hint="eastAsia" w:ascii="Times New Roman" w:hAnsi="Times New Roman" w:eastAsia="方正仿宋简体" w:cs="Times New Roman"/>
          <w:b/>
          <w:color w:val="auto"/>
          <w:sz w:val="32"/>
          <w:szCs w:val="32"/>
          <w:lang w:val="en-US" w:eastAsia="zh-CN"/>
        </w:rPr>
        <w:t>发布</w:t>
      </w:r>
      <w:r>
        <w:rPr>
          <w:rFonts w:hint="default" w:ascii="Times New Roman" w:hAnsi="Times New Roman" w:eastAsia="方正仿宋简体" w:cs="Times New Roman"/>
          <w:b/>
          <w:color w:val="auto"/>
          <w:sz w:val="32"/>
          <w:szCs w:val="32"/>
          <w:lang w:val="en-US" w:eastAsia="zh-CN"/>
        </w:rPr>
        <w:t>困难群众救助标准</w:t>
      </w:r>
      <w:r>
        <w:rPr>
          <w:rFonts w:hint="eastAsia" w:ascii="Times New Roman" w:hAnsi="Times New Roman" w:eastAsia="方正仿宋简体" w:cs="Times New Roman"/>
          <w:b/>
          <w:color w:val="auto"/>
          <w:sz w:val="32"/>
          <w:szCs w:val="32"/>
          <w:lang w:val="en-US" w:eastAsia="zh-CN"/>
        </w:rPr>
        <w:t>和服务指南，</w:t>
      </w:r>
      <w:r>
        <w:rPr>
          <w:rFonts w:hint="default" w:ascii="Times New Roman" w:hAnsi="Times New Roman" w:eastAsia="方正仿宋简体" w:cs="Times New Roman"/>
          <w:b/>
          <w:color w:val="auto"/>
          <w:sz w:val="32"/>
          <w:szCs w:val="32"/>
          <w:lang w:val="en-US" w:eastAsia="zh-CN"/>
        </w:rPr>
        <w:t>做好慈善、残疾人“两项补贴”及社会组织管理工作相关信息公开。</w:t>
      </w:r>
      <w:r>
        <w:rPr>
          <w:rFonts w:hint="eastAsia" w:ascii="Times New Roman" w:hAnsi="Times New Roman" w:eastAsia="方正仿宋简体" w:cs="Times New Roman"/>
          <w:b/>
          <w:color w:val="auto"/>
          <w:sz w:val="32"/>
          <w:szCs w:val="32"/>
          <w:lang w:val="en-US" w:eastAsia="zh-CN"/>
        </w:rPr>
        <w:t>聚焦政策解读质量提升，</w:t>
      </w:r>
      <w:r>
        <w:rPr>
          <w:rFonts w:hint="default" w:ascii="Times New Roman" w:hAnsi="Times New Roman" w:eastAsia="方正仿宋简体" w:cs="Times New Roman"/>
          <w:b/>
          <w:color w:val="auto"/>
          <w:sz w:val="32"/>
          <w:szCs w:val="32"/>
          <w:lang w:val="en-US" w:eastAsia="zh-CN"/>
        </w:rPr>
        <w:t>整合公开信息与办事流程，</w:t>
      </w:r>
      <w:r>
        <w:rPr>
          <w:rFonts w:hint="eastAsia" w:ascii="Times New Roman" w:hAnsi="Times New Roman" w:eastAsia="方正仿宋简体" w:cs="Times New Roman"/>
          <w:b/>
          <w:color w:val="auto"/>
          <w:sz w:val="32"/>
          <w:szCs w:val="32"/>
          <w:lang w:val="en-US" w:eastAsia="zh-CN"/>
        </w:rPr>
        <w:t>推出“济宁市民政惠民政策解读”系列微信，运用动画视频和图文结合的方式，</w:t>
      </w:r>
      <w:r>
        <w:rPr>
          <w:rFonts w:hint="default" w:ascii="Times New Roman" w:hAnsi="Times New Roman" w:eastAsia="方正仿宋简体" w:cs="Times New Roman"/>
          <w:b/>
          <w:color w:val="auto"/>
          <w:sz w:val="32"/>
          <w:szCs w:val="32"/>
          <w:lang w:val="en-US" w:eastAsia="zh-CN"/>
        </w:rPr>
        <w:t>方便群众快速了解政策、办理业务</w:t>
      </w:r>
      <w:r>
        <w:rPr>
          <w:rFonts w:hint="eastAsia" w:ascii="Times New Roman" w:hAnsi="Times New Roman" w:eastAsia="方正仿宋简体" w:cs="Times New Roman"/>
          <w:b/>
          <w:color w:val="auto"/>
          <w:sz w:val="32"/>
          <w:szCs w:val="32"/>
          <w:lang w:val="en-US"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val="en-US" w:eastAsia="zh-CN"/>
        </w:rPr>
        <w:t>三是以政务公开提升监管水平。组织</w:t>
      </w:r>
      <w:r>
        <w:rPr>
          <w:rFonts w:hint="default" w:ascii="Times New Roman" w:hAnsi="Times New Roman" w:eastAsia="方正仿宋简体" w:cs="Times New Roman"/>
          <w:b/>
          <w:color w:val="auto"/>
          <w:sz w:val="32"/>
          <w:szCs w:val="32"/>
          <w:lang w:val="en-US" w:eastAsia="zh-CN"/>
        </w:rPr>
        <w:t>开展慈善公开周</w:t>
      </w:r>
      <w:r>
        <w:rPr>
          <w:rFonts w:hint="eastAsia" w:ascii="Times New Roman" w:hAnsi="Times New Roman" w:eastAsia="方正仿宋简体" w:cs="Times New Roman"/>
          <w:b/>
          <w:color w:val="auto"/>
          <w:sz w:val="32"/>
          <w:szCs w:val="32"/>
          <w:lang w:val="en-US" w:eastAsia="zh-CN"/>
        </w:rPr>
        <w:t>、救助管理机构“开放日”活动，主动公开行政执法、</w:t>
      </w:r>
      <w:r>
        <w:rPr>
          <w:rFonts w:hint="default" w:ascii="Times New Roman" w:hAnsi="Times New Roman" w:eastAsia="方正仿宋简体" w:cs="Times New Roman"/>
          <w:b/>
          <w:color w:val="auto"/>
          <w:sz w:val="32"/>
          <w:szCs w:val="32"/>
          <w:lang w:val="en-US" w:eastAsia="zh-CN"/>
        </w:rPr>
        <w:t>非法社会组织整治、“双随机、一公开”监管等情况</w:t>
      </w:r>
      <w:r>
        <w:rPr>
          <w:rFonts w:hint="eastAsia" w:ascii="Times New Roman" w:hAnsi="Times New Roman" w:eastAsia="方正仿宋简体" w:cs="Times New Roman"/>
          <w:b/>
          <w:color w:val="auto"/>
          <w:sz w:val="32"/>
          <w:szCs w:val="32"/>
          <w:lang w:val="en-US" w:eastAsia="zh-CN"/>
        </w:rPr>
        <w:t>，倒逼全系统、各业务改进工作作风，规范业务办理，赢得群众认可。</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color w:val="auto"/>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1E444"/>
    <w:multiLevelType w:val="singleLevel"/>
    <w:tmpl w:val="FDD1E444"/>
    <w:lvl w:ilvl="0" w:tentative="0">
      <w:start w:val="1"/>
      <w:numFmt w:val="chineseCounting"/>
      <w:suff w:val="nothing"/>
      <w:lvlText w:val="%1、"/>
      <w:lvlJc w:val="left"/>
      <w:rPr>
        <w:rFonts w:hint="eastAsia"/>
      </w:rPr>
    </w:lvl>
  </w:abstractNum>
  <w:abstractNum w:abstractNumId="1">
    <w:nsid w:val="75795021"/>
    <w:multiLevelType w:val="singleLevel"/>
    <w:tmpl w:val="7579502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16FAB"/>
    <w:rsid w:val="087371CC"/>
    <w:rsid w:val="1DF6453D"/>
    <w:rsid w:val="2987ACFE"/>
    <w:rsid w:val="2F5B6672"/>
    <w:rsid w:val="36BF2F40"/>
    <w:rsid w:val="39FB1AD8"/>
    <w:rsid w:val="3FE978E6"/>
    <w:rsid w:val="3FF8B07F"/>
    <w:rsid w:val="52FB4EF7"/>
    <w:rsid w:val="5FF6CB5B"/>
    <w:rsid w:val="63B43B0D"/>
    <w:rsid w:val="65DE90B3"/>
    <w:rsid w:val="66DDD2EA"/>
    <w:rsid w:val="6CF9F118"/>
    <w:rsid w:val="6CFD55CA"/>
    <w:rsid w:val="6EF62FAB"/>
    <w:rsid w:val="75FE1ED9"/>
    <w:rsid w:val="76C7A798"/>
    <w:rsid w:val="78DF2C79"/>
    <w:rsid w:val="7937E9FA"/>
    <w:rsid w:val="7AEFDB32"/>
    <w:rsid w:val="7EFB91D0"/>
    <w:rsid w:val="7F7F253C"/>
    <w:rsid w:val="7FE75325"/>
    <w:rsid w:val="7FEBB125"/>
    <w:rsid w:val="7FFB069C"/>
    <w:rsid w:val="7FFF201C"/>
    <w:rsid w:val="99FB99CB"/>
    <w:rsid w:val="9D6F08D4"/>
    <w:rsid w:val="9FFD6E3E"/>
    <w:rsid w:val="9FFEA973"/>
    <w:rsid w:val="A5DFCA8D"/>
    <w:rsid w:val="B6AF2B56"/>
    <w:rsid w:val="B73E52D3"/>
    <w:rsid w:val="BAF520A4"/>
    <w:rsid w:val="BCB46127"/>
    <w:rsid w:val="CDF92C16"/>
    <w:rsid w:val="D3EFDB5E"/>
    <w:rsid w:val="D7EA8FE1"/>
    <w:rsid w:val="DFB16FAB"/>
    <w:rsid w:val="DFEA3859"/>
    <w:rsid w:val="EAED7629"/>
    <w:rsid w:val="EB2B55A9"/>
    <w:rsid w:val="EDFB3C17"/>
    <w:rsid w:val="EE5E9850"/>
    <w:rsid w:val="EE9EE59A"/>
    <w:rsid w:val="EEF3611B"/>
    <w:rsid w:val="EFF515C5"/>
    <w:rsid w:val="F7F3312C"/>
    <w:rsid w:val="F9BEA21B"/>
    <w:rsid w:val="FBCFD5AA"/>
    <w:rsid w:val="FDD7BC03"/>
    <w:rsid w:val="FE7F2496"/>
    <w:rsid w:val="FF7FF90D"/>
    <w:rsid w:val="FFFA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firstLineChars="200"/>
      <w:jc w:val="both"/>
    </w:pPr>
  </w:style>
  <w:style w:type="paragraph" w:customStyle="1" w:styleId="3">
    <w:name w:val="BodyTextIndent"/>
    <w:basedOn w:val="1"/>
    <w:qFormat/>
    <w:uiPriority w:val="0"/>
    <w:pPr>
      <w:spacing w:after="120" w:line="240" w:lineRule="auto"/>
      <w:ind w:left="420" w:leftChars="200"/>
      <w:jc w:val="both"/>
    </w:pPr>
    <w:rPr>
      <w:rFonts w:ascii="Times New Roman" w:hAnsi="Times New Roman" w:eastAsia="宋体"/>
      <w:kern w:val="2"/>
      <w:sz w:val="30"/>
      <w:szCs w:val="22"/>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ascii="Calibri Light" w:hAnsi="Calibri Light"/>
      <w:b/>
      <w:bCs/>
      <w:kern w:val="28"/>
    </w:rPr>
  </w:style>
  <w:style w:type="paragraph" w:styleId="8">
    <w:name w:val="footnote text"/>
    <w:basedOn w:val="1"/>
    <w:semiHidden/>
    <w:qFormat/>
    <w:uiPriority w:val="99"/>
    <w:pPr>
      <w:snapToGrid w:val="0"/>
      <w:jc w:val="left"/>
    </w:pPr>
    <w:rPr>
      <w:rFonts w:eastAsia="仿宋_GB2312"/>
      <w:sz w:val="18"/>
      <w:szCs w:val="18"/>
    </w:rPr>
  </w:style>
  <w:style w:type="paragraph" w:styleId="9">
    <w:name w:val="index 9"/>
    <w:basedOn w:val="1"/>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4"/>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paragraph" w:customStyle="1" w:styleId="16">
    <w:name w:val="标题 Char Char"/>
    <w:basedOn w:val="17"/>
    <w:next w:val="7"/>
    <w:qFormat/>
    <w:uiPriority w:val="0"/>
    <w:pPr>
      <w:jc w:val="center"/>
      <w:outlineLvl w:val="0"/>
    </w:pPr>
    <w:rPr>
      <w:rFonts w:ascii="Arial" w:hAnsi="Arial"/>
      <w:b/>
      <w:sz w:val="32"/>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r>
              <a:rPr sz="140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rPr>
              <a:t>政府网站主动公开情况</a:t>
            </a:r>
            <a:endParaRPr sz="140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endParaRPr>
          </a:p>
        </c:rich>
      </c:tx>
      <c:layout/>
      <c:overlay val="false"/>
      <c:spPr>
        <a:noFill/>
        <a:ln>
          <a:noFill/>
        </a:ln>
        <a:effectLst/>
      </c:spPr>
    </c:title>
    <c:autoTitleDeleted val="false"/>
    <c:plotArea>
      <c:layout/>
      <c:pieChart>
        <c:varyColors val="true"/>
        <c:ser>
          <c:idx val="0"/>
          <c:order val="0"/>
          <c:tx>
            <c:strRef>
              <c:f>Sheet1!$B$1</c:f>
              <c:strCache>
                <c:ptCount val="1"/>
                <c:pt idx="0">
                  <c:v/>
                </c:pt>
              </c:strCache>
            </c:strRef>
          </c:tx>
          <c:spPr/>
          <c:explosion val="0"/>
          <c:dPt>
            <c:idx val="0"/>
            <c:bubble3D val="false"/>
            <c:spPr>
              <a:solidFill>
                <a:schemeClr val="accent1">
                  <a:lumMod val="60000"/>
                  <a:lumOff val="40000"/>
                </a:schemeClr>
              </a:solidFill>
              <a:ln>
                <a:noFill/>
              </a:ln>
              <a:effectLst>
                <a:outerShdw blurRad="254000" sx="102000" sy="102000" algn="ctr" rotWithShape="0">
                  <a:prstClr val="black">
                    <a:alpha val="20000"/>
                  </a:prstClr>
                </a:outerShdw>
              </a:effectLst>
            </c:spPr>
          </c:dPt>
          <c:dPt>
            <c:idx val="1"/>
            <c:bubble3D val="false"/>
            <c:spPr>
              <a:solidFill>
                <a:schemeClr val="accent2"/>
              </a:solidFill>
              <a:ln>
                <a:noFill/>
              </a:ln>
              <a:effectLst>
                <a:outerShdw blurRad="254000" sx="102000" sy="102000" algn="ctr" rotWithShape="0">
                  <a:prstClr val="black">
                    <a:alpha val="20000"/>
                  </a:prstClr>
                </a:outerShdw>
              </a:effectLst>
            </c:spPr>
          </c:dPt>
          <c:dPt>
            <c:idx val="2"/>
            <c:bubble3D val="false"/>
            <c:spPr>
              <a:solidFill>
                <a:schemeClr val="accent3"/>
              </a:solidFill>
              <a:ln>
                <a:noFill/>
              </a:ln>
              <a:effectLst>
                <a:outerShdw blurRad="254000" sx="102000" sy="102000" algn="ctr" rotWithShape="0">
                  <a:prstClr val="black">
                    <a:alpha val="20000"/>
                  </a:prstClr>
                </a:outerShdw>
              </a:effectLst>
            </c:spPr>
          </c:dPt>
          <c:dPt>
            <c:idx val="3"/>
            <c:bubble3D val="false"/>
            <c:spPr>
              <a:solidFill>
                <a:schemeClr val="accent4"/>
              </a:solidFill>
              <a:ln>
                <a:noFill/>
              </a:ln>
              <a:effectLst>
                <a:outerShdw blurRad="254000" sx="102000" sy="102000" algn="ctr" rotWithShape="0">
                  <a:prstClr val="black">
                    <a:alpha val="20000"/>
                  </a:prstClr>
                </a:outerShdw>
              </a:effectLst>
            </c:spPr>
          </c:dPt>
          <c:dPt>
            <c:idx val="4"/>
            <c:bubble3D val="false"/>
            <c:spPr>
              <a:solidFill>
                <a:srgbClr val="7030A0"/>
              </a:solidFill>
              <a:ln>
                <a:noFill/>
              </a:ln>
              <a:effectLst>
                <a:outerShdw blurRad="254000" sx="102000" sy="102000" algn="ctr" rotWithShape="0">
                  <a:prstClr val="black">
                    <a:alpha val="20000"/>
                  </a:prstClr>
                </a:outerShdw>
              </a:effectLst>
            </c:spPr>
          </c:dPt>
          <c:dPt>
            <c:idx val="5"/>
            <c:bubble3D val="false"/>
            <c:spPr>
              <a:solidFill>
                <a:schemeClr val="accent6"/>
              </a:solidFill>
              <a:ln>
                <a:noFill/>
              </a:ln>
              <a:effectLst>
                <a:outerShdw blurRad="254000" sx="102000" sy="102000" algn="ctr" rotWithShape="0">
                  <a:prstClr val="black">
                    <a:alpha val="20000"/>
                  </a:prstClr>
                </a:outerShdw>
              </a:effectLst>
            </c:spPr>
          </c:dPt>
          <c:dPt>
            <c:idx val="6"/>
            <c:bubble3D val="false"/>
            <c:spPr>
              <a:solidFill>
                <a:srgbClr val="C00000"/>
              </a:solidFill>
              <a:ln>
                <a:noFill/>
              </a:ln>
              <a:effectLst>
                <a:outerShdw blurRad="254000" sx="102000" sy="102000" algn="ctr" rotWithShape="0">
                  <a:prstClr val="black">
                    <a:alpha val="20000"/>
                  </a:prstClr>
                </a:outerShdw>
              </a:effectLst>
            </c:spPr>
          </c:dPt>
          <c:dPt>
            <c:idx val="7"/>
            <c:bubble3D val="false"/>
            <c:spPr>
              <a:solidFill>
                <a:srgbClr val="FFFF00"/>
              </a:solidFill>
              <a:ln>
                <a:noFill/>
              </a:ln>
              <a:effectLst>
                <a:outerShdw blurRad="254000" sx="102000" sy="102000" algn="ctr" rotWithShape="0">
                  <a:prstClr val="black">
                    <a:alpha val="20000"/>
                  </a:prstClr>
                </a:outerShdw>
              </a:effectLst>
            </c:spPr>
          </c:dPt>
          <c:dPt>
            <c:idx val="8"/>
            <c:bubble3D val="false"/>
            <c:spPr>
              <a:solidFill>
                <a:srgbClr val="0945A5"/>
              </a:solidFill>
              <a:ln>
                <a:noFill/>
              </a:ln>
              <a:effectLst>
                <a:outerShdw blurRad="254000" sx="102000" sy="102000" algn="ctr" rotWithShape="0">
                  <a:prstClr val="black">
                    <a:alpha val="20000"/>
                  </a:prstClr>
                </a:outerShdw>
              </a:effectLst>
            </c:spPr>
          </c:dPt>
          <c:dLbls>
            <c:dLbl>
              <c:idx val="2"/>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extLst>
                <c:ext xmlns:c15="http://schemas.microsoft.com/office/drawing/2012/chart" uri="{CE6537A1-D6FC-4f65-9D91-7224C49458BB}"/>
              </c:extLst>
            </c:dLbl>
            <c:numFmt formatCode="General" sourceLinked="true"/>
            <c:spPr>
              <a:no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true"/>
              <a:lstStyle/>
              <a:p>
                <a:pPr>
                  <a:defRPr lang="zh-CN" sz="1000" b="1" i="0" u="none" strike="noStrike" kern="1200" baseline="0">
                    <a:solidFill>
                      <a:schemeClr val="lt1"/>
                    </a:solidFill>
                    <a:latin typeface="+mn-lt"/>
                    <a:ea typeface="+mn-ea"/>
                    <a:cs typeface="+mn-cs"/>
                  </a:defRPr>
                </a:pPr>
              </a:p>
            </c:txPr>
            <c:dLblPos val="ctr"/>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a:solidFill>
                        <a:schemeClr val="dk1">
                          <a:lumMod val="50000"/>
                          <a:lumOff val="50000"/>
                        </a:schemeClr>
                      </a:solidFill>
                    </a:ln>
                    <a:effectLst/>
                  </c:spPr>
                </c15:leaderLines>
              </c:ext>
            </c:extLst>
          </c:dLbls>
          <c:cat>
            <c:strRef>
              <c:f>Sheet1!$A$2:$A$10</c:f>
              <c:strCache>
                <c:ptCount val="9"/>
                <c:pt idx="0">
                  <c:v>政务动态</c:v>
                </c:pt>
                <c:pt idx="2">
                  <c:v>行政权力公开</c:v>
                </c:pt>
                <c:pt idx="3">
                  <c:v>社会救助信息</c:v>
                </c:pt>
                <c:pt idx="4">
                  <c:v>社会福利信息</c:v>
                </c:pt>
                <c:pt idx="5">
                  <c:v>政策文件及解读</c:v>
                </c:pt>
                <c:pt idx="6">
                  <c:v>财政预决算</c:v>
                </c:pt>
                <c:pt idx="7">
                  <c:v>建议提案办理</c:v>
                </c:pt>
                <c:pt idx="8">
                  <c:v>其他</c:v>
                </c:pt>
              </c:strCache>
            </c:strRef>
          </c:cat>
          <c:val>
            <c:numRef>
              <c:f>Sheet1!$B$2:$B$10</c:f>
              <c:numCache>
                <c:formatCode>General</c:formatCode>
                <c:ptCount val="9"/>
                <c:pt idx="0">
                  <c:v>67</c:v>
                </c:pt>
                <c:pt idx="2">
                  <c:v>26</c:v>
                </c:pt>
                <c:pt idx="3">
                  <c:v>19</c:v>
                </c:pt>
                <c:pt idx="4">
                  <c:v>16</c:v>
                </c:pt>
                <c:pt idx="5">
                  <c:v>16</c:v>
                </c:pt>
                <c:pt idx="6">
                  <c:v>15</c:v>
                </c:pt>
                <c:pt idx="7">
                  <c:v>7</c:v>
                </c:pt>
                <c:pt idx="8">
                  <c:v>33</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1"/>
        <c:delete val="true"/>
      </c:legendEntry>
      <c:legendEntry>
        <c:idx val="2"/>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3"/>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4"/>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5"/>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6"/>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7"/>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8"/>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ayout/>
      <c:overlay val="false"/>
      <c:spPr>
        <a:noFill/>
        <a:ln>
          <a:noFill/>
        </a:ln>
        <a:effectLst/>
      </c:spPr>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
    <c:plotVisOnly val="true"/>
    <c:dispBlanksAs val="gap"/>
    <c:showDLblsOverMax val="false"/>
  </c:chart>
  <c:spPr>
    <a:solidFill>
      <a:schemeClr val="bg1"/>
    </a:solidFill>
    <a:ln w="9525" cap="flat" cmpd="sng" algn="ctr">
      <a:solidFill>
        <a:schemeClr val="dk1">
          <a:lumMod val="25000"/>
          <a:lumOff val="7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ysClr val="windowText" lastClr="000000"/>
                </a:solidFill>
                <a:latin typeface="+mn-lt"/>
                <a:ea typeface="+mn-ea"/>
                <a:cs typeface="+mn-cs"/>
              </a:defRPr>
            </a:pPr>
            <a:r>
              <a:rPr sz="1400">
                <a:solidFill>
                  <a:sysClr val="windowText" lastClr="000000"/>
                </a:solidFill>
                <a:latin typeface="方正黑体简体" panose="03000509000000000000" charset="-122"/>
                <a:ea typeface="方正黑体简体" panose="03000509000000000000" charset="-122"/>
              </a:rPr>
              <a:t>政府信息公开申请数量变化</a:t>
            </a:r>
            <a:endParaRPr sz="1400">
              <a:solidFill>
                <a:sysClr val="windowText" lastClr="000000"/>
              </a:solidFill>
              <a:latin typeface="方正黑体简体" panose="03000509000000000000" charset="-122"/>
              <a:ea typeface="方正黑体简体" panose="03000509000000000000" charset="-122"/>
            </a:endParaRPr>
          </a:p>
          <a:p>
            <a:pPr defTabSz="914400">
              <a:defRPr lang="zh-CN" sz="1600" b="1" i="0" u="none" strike="noStrike" kern="1200" baseline="0">
                <a:solidFill>
                  <a:sysClr val="windowText" lastClr="000000"/>
                </a:solidFill>
                <a:latin typeface="+mn-lt"/>
                <a:ea typeface="+mn-ea"/>
                <a:cs typeface="+mn-cs"/>
              </a:defRPr>
            </a:pPr>
            <a:r>
              <a:rPr sz="1200">
                <a:solidFill>
                  <a:sysClr val="windowText" lastClr="000000"/>
                </a:solidFill>
                <a:latin typeface="方正楷体简体" panose="03000509000000000000" charset="-122"/>
                <a:ea typeface="方正楷体简体" panose="03000509000000000000" charset="-122"/>
              </a:rPr>
              <a:t>（单位：件）</a:t>
            </a:r>
            <a:endParaRPr sz="1200">
              <a:solidFill>
                <a:sysClr val="windowText" lastClr="000000"/>
              </a:solidFill>
              <a:latin typeface="方正楷体简体" panose="03000509000000000000" charset="-122"/>
              <a:ea typeface="方正楷体简体" panose="03000509000000000000" charset="-122"/>
            </a:endParaRPr>
          </a:p>
        </c:rich>
      </c:tx>
      <c:layout/>
      <c:overlay val="false"/>
      <c:spPr>
        <a:noFill/>
        <a:ln>
          <a:noFill/>
        </a:ln>
        <a:effectLst/>
      </c:spPr>
    </c:title>
    <c:autoTitleDeleted val="false"/>
    <c:plotArea>
      <c:layout/>
      <c:lineChart>
        <c:grouping val="standard"/>
        <c:varyColors val="false"/>
        <c:ser>
          <c:idx val="0"/>
          <c:order val="0"/>
          <c:tx>
            <c:strRef>
              <c:f>Sheet1!$B$2</c:f>
              <c:strCache>
                <c:ptCount val="1"/>
                <c:pt idx="0">
                  <c:v/>
                </c:pt>
              </c:strCache>
            </c:strRef>
          </c:tx>
          <c:spPr>
            <a:ln w="31750" cap="rnd">
              <a:solidFill>
                <a:schemeClr val="accent1"/>
              </a:solidFill>
              <a:round/>
            </a:ln>
            <a:effectLst/>
          </c:spPr>
          <c:marker>
            <c:symbol val="none"/>
          </c:marker>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Sheet1!$A$3:$A$7</c:f>
              <c:strCache>
                <c:ptCount val="5"/>
                <c:pt idx="0">
                  <c:v>2021年</c:v>
                </c:pt>
                <c:pt idx="1">
                  <c:v>2022年</c:v>
                </c:pt>
                <c:pt idx="2">
                  <c:v>2023年</c:v>
                </c:pt>
                <c:pt idx="3">
                  <c:v>2024年</c:v>
                </c:pt>
                <c:pt idx="4">
                  <c:v>2025年</c:v>
                </c:pt>
              </c:strCache>
            </c:strRef>
          </c:cat>
          <c:val>
            <c:numRef>
              <c:f>Sheet1!$B$3:$B$7</c:f>
              <c:numCache>
                <c:formatCode>General</c:formatCode>
                <c:ptCount val="5"/>
                <c:pt idx="0">
                  <c:v>7</c:v>
                </c:pt>
                <c:pt idx="1">
                  <c:v>6</c:v>
                </c:pt>
                <c:pt idx="2">
                  <c:v>10</c:v>
                </c:pt>
                <c:pt idx="3">
                  <c:v>4</c:v>
                </c:pt>
                <c:pt idx="4">
                  <c:v>8</c:v>
                </c:pt>
              </c:numCache>
            </c:numRef>
          </c:val>
          <c:smooth val="false"/>
        </c:ser>
        <c:dLbls>
          <c:showLegendKey val="false"/>
          <c:showVal val="true"/>
          <c:showCatName val="false"/>
          <c:showSerName val="false"/>
          <c:showPercent val="false"/>
          <c:showBubbleSize val="false"/>
        </c:dLbls>
        <c:marker val="false"/>
        <c:smooth val="false"/>
        <c:axId val="366903935"/>
        <c:axId val="641038826"/>
      </c:lineChart>
      <c:catAx>
        <c:axId val="366903935"/>
        <c:scaling>
          <c:orientation val="minMax"/>
        </c:scaling>
        <c:delete val="false"/>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crossAx val="641038826"/>
        <c:crosses val="autoZero"/>
        <c:auto val="true"/>
        <c:lblAlgn val="ctr"/>
        <c:lblOffset val="100"/>
        <c:noMultiLvlLbl val="false"/>
      </c:catAx>
      <c:valAx>
        <c:axId val="641038826"/>
        <c:scaling>
          <c:orientation val="minMax"/>
        </c:scaling>
        <c:delete val="false"/>
        <c:axPos val="l"/>
        <c:majorGridlines>
          <c:spPr>
            <a:ln w="9525" cap="flat" cmpd="sng" algn="ctr">
              <a:solidFill>
                <a:schemeClr val="tx2">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12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669039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solidFill>
            <a:sysClr val="windowText" lastClr="000000"/>
          </a:solidFill>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latin typeface="方正黑体简体" panose="03000509000000000000" charset="-122"/>
                <a:ea typeface="方正黑体简体" panose="03000509000000000000" charset="-122"/>
              </a:rPr>
              <a:t>人大建议和政协提案办理情况</a:t>
            </a:r>
            <a:endParaRPr b="1">
              <a:solidFill>
                <a:sysClr val="windowText" lastClr="000000"/>
              </a:solidFill>
              <a:latin typeface="方正黑体简体" panose="03000509000000000000" charset="-122"/>
              <a:ea typeface="方正黑体简体" panose="03000509000000000000"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latin typeface="方正楷体简体" panose="03000509000000000000" charset="-122"/>
                <a:ea typeface="方正楷体简体" panose="03000509000000000000" charset="-122"/>
              </a:rPr>
              <a:t>（单位：件）</a:t>
            </a:r>
            <a:endParaRPr b="1">
              <a:solidFill>
                <a:sysClr val="windowText" lastClr="000000"/>
              </a:solidFill>
              <a:latin typeface="方正楷体简体" panose="03000509000000000000" charset="-122"/>
              <a:ea typeface="方正楷体简体" panose="03000509000000000000" charset="-122"/>
            </a:endParaRPr>
          </a:p>
        </c:rich>
      </c:tx>
      <c:layout/>
      <c:overlay val="false"/>
      <c:spPr>
        <a:noFill/>
        <a:ln>
          <a:noFill/>
        </a:ln>
        <a:effectLst/>
      </c:spPr>
    </c:title>
    <c:autoTitleDeleted val="false"/>
    <c:plotArea>
      <c:layout/>
      <c:barChart>
        <c:barDir val="col"/>
        <c:grouping val="clustered"/>
        <c:varyColors val="false"/>
        <c:ser>
          <c:idx val="0"/>
          <c:order val="0"/>
          <c:tx>
            <c:strRef>
              <c:f>Sheet1!$B$1</c:f>
              <c:strCache>
                <c:ptCount val="1"/>
                <c:pt idx="0">
                  <c:v>主办</c:v>
                </c:pt>
              </c:strCache>
            </c:strRef>
          </c:tx>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承办人大建议</c:v>
                </c:pt>
                <c:pt idx="1">
                  <c:v>承办政协提案</c:v>
                </c:pt>
              </c:strCache>
            </c:strRef>
          </c:cat>
          <c:val>
            <c:numRef>
              <c:f>Sheet1!$B$2:$B$3</c:f>
              <c:numCache>
                <c:formatCode>General</c:formatCode>
                <c:ptCount val="2"/>
                <c:pt idx="0">
                  <c:v>7</c:v>
                </c:pt>
                <c:pt idx="1">
                  <c:v>3</c:v>
                </c:pt>
              </c:numCache>
            </c:numRef>
          </c:val>
        </c:ser>
        <c:ser>
          <c:idx val="1"/>
          <c:order val="1"/>
          <c:tx>
            <c:strRef>
              <c:f>Sheet1!$C$1</c:f>
              <c:strCache>
                <c:ptCount val="1"/>
                <c:pt idx="0">
                  <c:v>分办</c:v>
                </c:pt>
              </c:strCache>
            </c:strRef>
          </c:tx>
          <c:spPr>
            <a:solidFill>
              <a:schemeClr val="accent2"/>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承办人大建议</c:v>
                </c:pt>
                <c:pt idx="1">
                  <c:v>承办政协提案</c:v>
                </c:pt>
              </c:strCache>
            </c:strRef>
          </c:cat>
          <c:val>
            <c:numRef>
              <c:f>Sheet1!$C$2:$C$3</c:f>
              <c:numCache>
                <c:formatCode>General</c:formatCode>
                <c:ptCount val="2"/>
                <c:pt idx="0">
                  <c:v>3</c:v>
                </c:pt>
                <c:pt idx="1">
                  <c:v>4</c:v>
                </c:pt>
              </c:numCache>
            </c:numRef>
          </c:val>
        </c:ser>
        <c:ser>
          <c:idx val="2"/>
          <c:order val="2"/>
          <c:tx>
            <c:strRef>
              <c:f>Sheet1!$D$1</c:f>
              <c:strCache>
                <c:ptCount val="1"/>
                <c:pt idx="0">
                  <c:v>协办</c:v>
                </c:pt>
              </c:strCache>
            </c:strRef>
          </c:tx>
          <c:spPr>
            <a:solidFill>
              <a:schemeClr val="accent3"/>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承办人大建议</c:v>
                </c:pt>
                <c:pt idx="1">
                  <c:v>承办政协提案</c:v>
                </c:pt>
              </c:strCache>
            </c:strRef>
          </c:cat>
          <c:val>
            <c:numRef>
              <c:f>Sheet1!$D$2:$D$3</c:f>
              <c:numCache>
                <c:formatCode>General</c:formatCode>
                <c:ptCount val="2"/>
                <c:pt idx="0">
                  <c:v>1</c:v>
                </c:pt>
                <c:pt idx="1">
                  <c:v>4</c:v>
                </c:pt>
              </c:numCache>
            </c:numRef>
          </c:val>
        </c:ser>
        <c:dLbls>
          <c:showLegendKey val="false"/>
          <c:showVal val="true"/>
          <c:showCatName val="false"/>
          <c:showSerName val="false"/>
          <c:showPercent val="false"/>
          <c:showBubbleSize val="false"/>
        </c:dLbls>
        <c:gapWidth val="219"/>
        <c:overlap val="-27"/>
        <c:axId val="639440232"/>
        <c:axId val="387444999"/>
      </c:barChart>
      <c:catAx>
        <c:axId val="63944023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crossAx val="387444999"/>
        <c:crosses val="autoZero"/>
        <c:auto val="true"/>
        <c:lblAlgn val="ctr"/>
        <c:lblOffset val="100"/>
        <c:noMultiLvlLbl val="false"/>
      </c:catAx>
      <c:valAx>
        <c:axId val="387444999"/>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39440232"/>
        <c:crosses val="autoZero"/>
        <c:crossBetween val="between"/>
      </c:valAx>
      <c:spPr>
        <a:noFill/>
        <a:ln>
          <a:noFill/>
        </a:ln>
        <a:effectLst/>
      </c:spPr>
    </c:plotArea>
    <c:legend>
      <c:legendPos val="b"/>
      <c:legendEntry>
        <c:idx val="0"/>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1"/>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egendEntry>
        <c:idx val="2"/>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Entry>
      <c:layout/>
      <c:overlay val="false"/>
      <c:spPr>
        <a:noFill/>
        <a:ln>
          <a:noFill/>
        </a:ln>
        <a:effectLst/>
      </c:spPr>
      <c:txPr>
        <a:bodyPr rot="0" spcFirstLastPara="0" vertOverflow="ellipsis" vert="horz" wrap="square" anchor="ctr" anchorCtr="true"/>
        <a:lstStyle/>
        <a:p>
          <a:pPr>
            <a:defRPr lang="zh-CN" sz="1200" b="1" i="0" u="none" strike="noStrike" kern="1200" baseline="0">
              <a:solidFill>
                <a:sysClr val="windowText" lastClr="000000"/>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true">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false"/>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false"/>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1364</Words>
  <Characters>1431</Characters>
  <Lines>1</Lines>
  <Paragraphs>1</Paragraphs>
  <TotalTime>19</TotalTime>
  <ScaleCrop>false</ScaleCrop>
  <LinksUpToDate>false</LinksUpToDate>
  <CharactersWithSpaces>1431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2025-01-16T18:48:00Z</dcterms:created>
  <dc:creator>user</dc:creator>
  <cp:lastModifiedBy>user</cp:lastModifiedBy>
  <cp:lastPrinted>2026-01-26T23:27:00Z</cp:lastPrinted>
  <dcterms:modified xsi:type="dcterms:W3CDTF">2026-01-30T14:34:57Z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eyJoZGlkIjoiMjUxYzdmOGMxNzg2ZDdhNTE5MTA5Nzk1MDkwMGJkOWUiLCJ1c2VySWQiOiIzMTU3NTE2NDQifQ==</vt:lpwstr>
  </property>
  <property fmtid="{D5CDD505-2E9C-101B-9397-08002B2CF9AE}" pid="4" name="ICV">
    <vt:lpwstr>9F5DAF0660F5471086A16AFEDA668203_12</vt:lpwstr>
  </property>
</Properties>
</file>