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rPr>
        <w:t>JNCR—2024—001001</w:t>
      </w:r>
      <w:r>
        <w:rPr>
          <w:rFonts w:hint="eastAsia" w:ascii="方正黑体简体" w:hAnsi="方正黑体简体" w:eastAsia="方正黑体简体" w:cs="方正黑体简体"/>
          <w:b/>
          <w:bCs/>
          <w:color w:val="auto"/>
          <w:sz w:val="32"/>
          <w:szCs w:val="32"/>
          <w:lang w:val="en-US" w:eastAsia="zh-CN"/>
        </w:rPr>
        <w:t>0</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文星标宋" w:hAnsi="文星标宋" w:eastAsia="文星标宋" w:cs="文星标宋"/>
          <w:color w:val="FF0000"/>
          <w:sz w:val="28"/>
          <w:szCs w:val="28"/>
        </w:rPr>
      </w:pPr>
    </w:p>
    <w:tbl>
      <w:tblPr>
        <w:tblStyle w:val="5"/>
        <w:tblW w:w="8527" w:type="dxa"/>
        <w:jc w:val="center"/>
        <w:tblLayout w:type="fixed"/>
        <w:tblCellMar>
          <w:top w:w="0" w:type="dxa"/>
          <w:left w:w="108" w:type="dxa"/>
          <w:bottom w:w="0" w:type="dxa"/>
          <w:right w:w="108" w:type="dxa"/>
        </w:tblCellMar>
      </w:tblPr>
      <w:tblGrid>
        <w:gridCol w:w="8527"/>
      </w:tblGrid>
      <w:tr>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济政发〔2024〕</w:t>
      </w:r>
      <w:r>
        <w:rPr>
          <w:rFonts w:hint="eastAsia" w:ascii="方正仿宋简体" w:hAnsi="文星仿宋" w:eastAsia="方正仿宋简体" w:cs="方正仿宋简体"/>
          <w:b/>
          <w:sz w:val="32"/>
          <w:szCs w:val="32"/>
          <w:lang w:val="en-US" w:eastAsia="zh-CN" w:bidi="ar"/>
        </w:rPr>
        <w:t>21</w:t>
      </w:r>
      <w:r>
        <w:rPr>
          <w:rFonts w:hint="eastAsia" w:ascii="方正仿宋简体" w:hAnsi="文星仿宋" w:eastAsia="方正仿宋简体" w:cs="方正仿宋简体"/>
          <w:b/>
          <w:sz w:val="32"/>
          <w:szCs w:val="32"/>
          <w:lang w:bidi="ar"/>
        </w:rPr>
        <w:t>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51659264;mso-width-relative:page;mso-height-relative:page;" filled="f" stroked="t" coordsize="21600,21600" o:gfxdata="UEsDBAoAAAAAAIdO4kAAAAAAAAAAAAAAAAAEAAAAZHJzL1BLAwQUAAAACACHTuJAomVwEtUAAAAH AQAADwAAAGRycy9kb3ducmV2LnhtbE2PwU7DMBBE70j8g7VI3KhTVNo0xKkQEpzg0FIO3Jx4iQPx OrLdJPw9izjAcWZWM2/L3ex6MWKInScFy0UGAqnxpqNWwfHl4SoHEZMmo3tPqOALI+yq87NSF8ZP tMfxkFrBJRQLrcCmNBRSxsai03HhByTO3n1wOrEMrTRBT1zuenmdZWvpdEe8YPWA9xabz8PJKVg9 vdbDFOzbcf84b7Y4T+Pzx51SlxfL7BZEwjn9HcMPPqNDxUy1P5GJolew5k8S2zdbEBzn+WoDov41 ZFXK//zVN1BLAwQUAAAACACHTuJAxYUx9NEBAADOAwAADgAAAGRycy9lMm9Eb2MueG1srVNNb9sw DL0P2H8QdF+cBu1WGHF6aJpdii3Ath/ASHQsQF8Q1Tj596PkNN26Sw7zQaYk8pHvkVo+HJ0VB0xk gu/kzWwuBXoVtPH7Tv76ufl0LwVl8Bps8NjJE5J8WH38sBxji4swBKsxCQbx1I6xk0POsW0aUgM6 oFmI6PmyD8lB5m3aNzrByOjONov5/HMzhqRjCgqJ+HQ9XcozYroGMPS9UbgO6sWhzxNqQguZKdFg IslVrbbvUeXvfU+Yhe0kM8115SRs78rarJbQ7hPEwahzCXBNCe84OTCek16g1pBBvCTzD5QzKgUK fZ6p4JqJSFWEWdzM32nzY4CIlQtLTfEiOv0/WPXtsE3C6E4upPDguOHPxqO4LcqMkVp2ePTbdN5R 3KZC89gnV/5MQByrmqeLmnjMQvHh3d39nD8p1Otd8xYYE+WvGJwoRict56z6weGZMidj11eXksd6 MfKwLr5UPOCx67ndDO0il05+X4MpWKM3xtoSQmm/e7RJHIBbv9nUUibgv9xKljXQMPnVq2koBgT9 5LXIp8iieH4LstTgUEthkZ9OsRgQ2gzGXuPJnKxnakXWSchi7YI+VX3rObe5kj+PZJmjP/c1+u0Z rn4D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omVwEtUAAAAHAQAADwAAAAAAAAABACAAAAAiAAAA ZHJzL2Rvd25yZXYueG1sUEsBAhQAFAAAAAgAh07iQMWFMfTRAQAAzgMAAA4AAAAAAAAAAQAgAAAA JAEAAGRycy9lMm9Eb2MueG1sUEsFBgAAAAAGAAYAWQEAAGcFAAAAAA== ">
                <v:fill on="f" focussize="0,0"/>
                <v:stroke weight="1pt" color="#FF0000" joinstyle="round"/>
                <v:imagedata o:title=""/>
                <o:lock v:ext="edit" aspectratio="f"/>
              </v:line>
            </w:pict>
          </mc:Fallback>
        </mc:AlternateContent>
      </w:r>
    </w:p>
    <w:p>
      <w:pPr>
        <w:spacing w:line="480" w:lineRule="exact"/>
        <w:jc w:val="center"/>
        <w:rPr>
          <w:rFonts w:ascii="方正小标宋简体" w:hAnsi="文星仿宋" w:eastAsia="方正小标宋简体" w:cs="方正小标宋简体"/>
          <w:b/>
          <w:color w:val="000000"/>
          <w:sz w:val="44"/>
          <w:szCs w:val="44"/>
        </w:rPr>
      </w:pPr>
    </w:p>
    <w:p>
      <w:pPr>
        <w:keepNext w:val="0"/>
        <w:keepLines w:val="0"/>
        <w:pageBreakBefore w:val="0"/>
        <w:widowControl w:val="0"/>
        <w:tabs>
          <w:tab w:val="left" w:pos="8730"/>
        </w:tabs>
        <w:kinsoku/>
        <w:overflowPunct/>
        <w:topLinePunct w:val="0"/>
        <w:autoSpaceDE/>
        <w:autoSpaceDN/>
        <w:bidi w:val="0"/>
        <w:adjustRightInd/>
        <w:snapToGrid/>
        <w:spacing w:line="520" w:lineRule="exact"/>
        <w:ind w:right="0"/>
        <w:jc w:val="center"/>
        <w:textAlignment w:val="auto"/>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keepNext w:val="0"/>
        <w:keepLines w:val="0"/>
        <w:pageBreakBefore w:val="0"/>
        <w:widowControl w:val="0"/>
        <w:kinsoku/>
        <w:overflowPunct/>
        <w:topLinePunct w:val="0"/>
        <w:autoSpaceDE/>
        <w:autoSpaceDN/>
        <w:bidi w:val="0"/>
        <w:adjustRightInd/>
        <w:snapToGrid/>
        <w:spacing w:line="520" w:lineRule="exact"/>
        <w:ind w:right="0"/>
        <w:jc w:val="center"/>
        <w:textAlignment w:val="auto"/>
        <w:rPr>
          <w:rFonts w:ascii="方正小标宋简体" w:hAnsi="文星仿宋" w:eastAsia="方正小标宋简体" w:cs="方正小标宋简体"/>
          <w:b/>
          <w:sz w:val="44"/>
          <w:szCs w:val="44"/>
        </w:rPr>
      </w:pPr>
      <w:bookmarkStart w:id="2" w:name="BKsubject"/>
      <w:r>
        <w:rPr>
          <w:rFonts w:hint="eastAsia" w:ascii="方正小标宋简体" w:hAnsi="文星仿宋" w:eastAsia="方正小标宋简体" w:cs="方正小标宋简体"/>
          <w:b/>
          <w:sz w:val="44"/>
          <w:szCs w:val="44"/>
          <w:lang w:bidi="ar"/>
        </w:rPr>
        <w:t>关于印发《济宁市主城区城市基础设施配套费征收使用管理办法</w:t>
      </w:r>
      <w:bookmarkEnd w:id="2"/>
      <w:r>
        <w:rPr>
          <w:rFonts w:hint="eastAsia" w:ascii="方正小标宋简体" w:hAnsi="文星仿宋" w:eastAsia="方正小标宋简体" w:cs="方正小标宋简体"/>
          <w:b/>
          <w:sz w:val="44"/>
          <w:szCs w:val="44"/>
          <w:lang w:bidi="ar"/>
        </w:rPr>
        <w:t>》的通知</w:t>
      </w:r>
    </w:p>
    <w:p>
      <w:pPr>
        <w:keepNext w:val="0"/>
        <w:keepLines w:val="0"/>
        <w:pageBreakBefore w:val="0"/>
        <w:widowControl w:val="0"/>
        <w:kinsoku/>
        <w:overflowPunct/>
        <w:topLinePunct w:val="0"/>
        <w:autoSpaceDE/>
        <w:autoSpaceDN/>
        <w:bidi w:val="0"/>
        <w:adjustRightInd/>
        <w:snapToGrid/>
        <w:spacing w:line="520" w:lineRule="exact"/>
        <w:ind w:right="0"/>
        <w:textAlignment w:val="auto"/>
        <w:rPr>
          <w:rFonts w:ascii="方正仿宋简体" w:hAnsi="文星仿宋" w:eastAsia="方正仿宋简体" w:cs="方正仿宋简体"/>
          <w:b/>
          <w:color w:val="000000"/>
        </w:rPr>
      </w:pPr>
    </w:p>
    <w:p>
      <w:pPr>
        <w:keepNext w:val="0"/>
        <w:keepLines w:val="0"/>
        <w:pageBreakBefore w:val="0"/>
        <w:widowControl w:val="0"/>
        <w:kinsoku/>
        <w:overflowPunct/>
        <w:topLinePunct w:val="0"/>
        <w:autoSpaceDE/>
        <w:autoSpaceDN/>
        <w:bidi w:val="0"/>
        <w:adjustRightInd/>
        <w:snapToGrid/>
        <w:spacing w:line="520" w:lineRule="exact"/>
        <w:ind w:right="0"/>
        <w:textAlignment w:val="auto"/>
        <w:rPr>
          <w:rFonts w:ascii="方正仿宋简体" w:hAnsi="方正仿宋简体" w:eastAsia="方正仿宋简体" w:cs="方正仿宋简体"/>
          <w:b/>
        </w:rPr>
      </w:pPr>
      <w:r>
        <w:rPr>
          <w:rFonts w:hint="eastAsia" w:ascii="方正仿宋简体" w:hAnsi="方正仿宋简体" w:eastAsia="方正仿宋简体" w:cs="方正仿宋简体"/>
          <w:b/>
          <w:sz w:val="32"/>
          <w:szCs w:val="32"/>
          <w:lang w:bidi="ar"/>
        </w:rPr>
        <w:t>各县（市、区）人民政府，济宁高新区、太白湖新区、济宁经济技术开发区管委会，市政府各部门，各大企业，各高等院校：</w:t>
      </w:r>
    </w:p>
    <w:p>
      <w:pPr>
        <w:keepNext w:val="0"/>
        <w:keepLines w:val="0"/>
        <w:pageBreakBefore w:val="0"/>
        <w:widowControl w:val="0"/>
        <w:kinsoku/>
        <w:overflowPunct/>
        <w:topLinePunct w:val="0"/>
        <w:autoSpaceDE/>
        <w:autoSpaceDN/>
        <w:bidi w:val="0"/>
        <w:adjustRightInd/>
        <w:snapToGrid/>
        <w:spacing w:line="520" w:lineRule="exact"/>
        <w:ind w:right="0" w:firstLine="642"/>
        <w:textAlignment w:val="auto"/>
        <w:rPr>
          <w:rFonts w:ascii="方正仿宋简体" w:hAnsi="方正仿宋简体" w:eastAsia="方正仿宋简体" w:cs="方正仿宋简体"/>
          <w:b/>
          <w:spacing w:val="11"/>
        </w:rPr>
      </w:pPr>
      <w:r>
        <w:rPr>
          <w:rFonts w:hint="eastAsia" w:ascii="方正仿宋简体" w:hAnsi="方正仿宋简体" w:eastAsia="方正仿宋简体" w:cs="方正仿宋简体"/>
          <w:b/>
          <w:spacing w:val="11"/>
          <w:sz w:val="32"/>
          <w:szCs w:val="32"/>
          <w:lang w:bidi="ar"/>
        </w:rPr>
        <w:t>现将《</w:t>
      </w:r>
      <w:r>
        <w:rPr>
          <w:rFonts w:hint="eastAsia" w:ascii="方正仿宋简体" w:hAnsi="文星仿宋" w:eastAsia="方正仿宋简体" w:cs="方正仿宋简体"/>
          <w:b/>
          <w:spacing w:val="11"/>
          <w:sz w:val="32"/>
          <w:szCs w:val="32"/>
          <w:lang w:bidi="ar"/>
        </w:rPr>
        <w:t>济宁市主城区城市基础设施配套费征收使用管理办法</w:t>
      </w:r>
      <w:r>
        <w:rPr>
          <w:rFonts w:hint="eastAsia" w:ascii="方正仿宋简体" w:hAnsi="方正仿宋简体" w:eastAsia="方正仿宋简体" w:cs="方正仿宋简体"/>
          <w:b/>
          <w:spacing w:val="11"/>
          <w:sz w:val="32"/>
          <w:szCs w:val="32"/>
          <w:lang w:bidi="ar"/>
        </w:rPr>
        <w:t>》印发给你们，请认真贯彻执行。</w:t>
      </w:r>
    </w:p>
    <w:p>
      <w:pPr>
        <w:keepNext w:val="0"/>
        <w:keepLines w:val="0"/>
        <w:pageBreakBefore w:val="0"/>
        <w:widowControl w:val="0"/>
        <w:kinsoku/>
        <w:overflowPunct/>
        <w:topLinePunct w:val="0"/>
        <w:autoSpaceDE/>
        <w:autoSpaceDN/>
        <w:bidi w:val="0"/>
        <w:adjustRightInd/>
        <w:snapToGrid/>
        <w:spacing w:line="520" w:lineRule="exact"/>
        <w:ind w:right="0" w:firstLine="641"/>
        <w:textAlignment w:val="auto"/>
        <w:rPr>
          <w:rFonts w:ascii="方正仿宋简体" w:hAnsi="方正仿宋简体" w:eastAsia="方正仿宋简体" w:cs="方正仿宋简体"/>
          <w:b/>
          <w:spacing w:val="6"/>
          <w:sz w:val="32"/>
          <w:szCs w:val="32"/>
        </w:rPr>
      </w:pPr>
    </w:p>
    <w:p>
      <w:pPr>
        <w:keepNext w:val="0"/>
        <w:keepLines w:val="0"/>
        <w:pageBreakBefore w:val="0"/>
        <w:widowControl w:val="0"/>
        <w:kinsoku/>
        <w:overflowPunct/>
        <w:topLinePunct w:val="0"/>
        <w:autoSpaceDE/>
        <w:autoSpaceDN/>
        <w:bidi w:val="0"/>
        <w:adjustRightInd/>
        <w:snapToGrid/>
        <w:spacing w:line="520" w:lineRule="exact"/>
        <w:ind w:right="0" w:firstLine="641"/>
        <w:textAlignment w:val="auto"/>
        <w:rPr>
          <w:rFonts w:hint="eastAsia" w:ascii="方正仿宋简体" w:hAnsi="方正仿宋简体" w:eastAsia="方正仿宋简体" w:cs="方正仿宋简体"/>
          <w:b/>
          <w:spacing w:val="6"/>
          <w:sz w:val="32"/>
          <w:szCs w:val="32"/>
        </w:rPr>
      </w:pPr>
    </w:p>
    <w:p>
      <w:pPr>
        <w:keepNext w:val="0"/>
        <w:keepLines w:val="0"/>
        <w:pageBreakBefore w:val="0"/>
        <w:widowControl w:val="0"/>
        <w:kinsoku/>
        <w:overflowPunct/>
        <w:topLinePunct w:val="0"/>
        <w:autoSpaceDE/>
        <w:autoSpaceDN/>
        <w:bidi w:val="0"/>
        <w:adjustRightInd/>
        <w:snapToGrid/>
        <w:spacing w:line="520" w:lineRule="exact"/>
        <w:ind w:right="0" w:firstLine="641"/>
        <w:textAlignment w:val="auto"/>
        <w:rPr>
          <w:rFonts w:ascii="方正仿宋简体" w:hAnsi="方正仿宋简体" w:eastAsia="方正仿宋简体" w:cs="方正仿宋简体"/>
          <w:b/>
          <w:spacing w:val="6"/>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right="0"/>
        <w:jc w:val="right"/>
        <w:textAlignment w:val="auto"/>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济宁市人民政府         </w:t>
      </w:r>
    </w:p>
    <w:p>
      <w:pPr>
        <w:keepNext w:val="0"/>
        <w:keepLines w:val="0"/>
        <w:pageBreakBefore w:val="0"/>
        <w:widowControl w:val="0"/>
        <w:kinsoku/>
        <w:wordWrap w:val="0"/>
        <w:overflowPunct/>
        <w:topLinePunct w:val="0"/>
        <w:autoSpaceDE/>
        <w:autoSpaceDN/>
        <w:bidi w:val="0"/>
        <w:adjustRightInd/>
        <w:snapToGrid/>
        <w:spacing w:line="520" w:lineRule="exact"/>
        <w:ind w:right="0"/>
        <w:jc w:val="right"/>
        <w:textAlignment w:val="auto"/>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2024年12月</w:t>
      </w:r>
      <w:r>
        <w:rPr>
          <w:rFonts w:hint="eastAsia" w:ascii="方正仿宋简体" w:hAnsi="方正仿宋简体" w:eastAsia="方正仿宋简体" w:cs="方正仿宋简体"/>
          <w:b/>
          <w:spacing w:val="6"/>
          <w:sz w:val="32"/>
          <w:szCs w:val="32"/>
          <w:lang w:val="en-US" w:eastAsia="zh-CN" w:bidi="ar"/>
        </w:rPr>
        <w:t>28</w:t>
      </w:r>
      <w:r>
        <w:rPr>
          <w:rFonts w:hint="eastAsia" w:ascii="方正仿宋简体" w:hAnsi="方正仿宋简体" w:eastAsia="方正仿宋简体" w:cs="方正仿宋简体"/>
          <w:b/>
          <w:spacing w:val="6"/>
          <w:sz w:val="32"/>
          <w:szCs w:val="32"/>
          <w:lang w:bidi="ar"/>
        </w:rPr>
        <w:t xml:space="preserve">日        </w:t>
      </w:r>
    </w:p>
    <w:p>
      <w:pPr>
        <w:keepNext w:val="0"/>
        <w:keepLines w:val="0"/>
        <w:pageBreakBefore w:val="0"/>
        <w:widowControl w:val="0"/>
        <w:kinsoku/>
        <w:overflowPunct/>
        <w:topLinePunct w:val="0"/>
        <w:autoSpaceDE/>
        <w:autoSpaceDN/>
        <w:bidi w:val="0"/>
        <w:adjustRightInd/>
        <w:snapToGrid/>
        <w:spacing w:line="520" w:lineRule="exact"/>
        <w:ind w:right="0"/>
        <w:textAlignment w:val="auto"/>
      </w:pPr>
      <w:r>
        <w:rPr>
          <w:rFonts w:hint="eastAsia" w:ascii="方正仿宋简体" w:hAnsi="文星仿宋" w:eastAsia="方正仿宋简体" w:cs="方正仿宋简体"/>
          <w:b/>
          <w:color w:val="000000"/>
          <w:sz w:val="32"/>
          <w:szCs w:val="32"/>
          <w:lang w:bidi="ar"/>
        </w:rPr>
        <w:t xml:space="preserve">    （此件公开发布）</w:t>
      </w:r>
    </w:p>
    <w:p>
      <w:pPr>
        <w:spacing w:line="600" w:lineRule="exact"/>
        <w:rPr>
          <w:rFonts w:hint="eastAsia" w:ascii="方正小标宋简体" w:hAnsi="文星仿宋" w:eastAsia="方正小标宋简体" w:cs="方正小标宋简体"/>
          <w:b/>
          <w:sz w:val="44"/>
          <w:szCs w:val="44"/>
          <w:lang w:bidi="ar"/>
        </w:rPr>
      </w:pPr>
    </w:p>
    <w:p>
      <w:pPr>
        <w:spacing w:line="600" w:lineRule="exact"/>
        <w:rPr>
          <w:rFonts w:hint="eastAsia" w:ascii="方正小标宋简体" w:hAnsi="文星仿宋" w:eastAsia="方正小标宋简体" w:cs="方正小标宋简体"/>
          <w:b/>
          <w:sz w:val="44"/>
          <w:szCs w:val="44"/>
          <w:lang w:bidi="ar"/>
        </w:rPr>
      </w:pPr>
    </w:p>
    <w:p>
      <w:pPr>
        <w:spacing w:line="600" w:lineRule="exact"/>
        <w:jc w:val="center"/>
        <w:rPr>
          <w:rFonts w:hint="eastAsia" w:ascii="方正小标宋简体" w:hAnsi="文星仿宋" w:eastAsia="方正小标宋简体" w:cs="方正小标宋简体"/>
          <w:b/>
          <w:sz w:val="44"/>
          <w:szCs w:val="44"/>
          <w:lang w:bidi="ar"/>
        </w:rPr>
      </w:pPr>
      <w:r>
        <w:rPr>
          <w:rFonts w:hint="eastAsia" w:ascii="方正小标宋简体" w:hAnsi="文星仿宋" w:eastAsia="方正小标宋简体" w:cs="方正小标宋简体"/>
          <w:b/>
          <w:sz w:val="44"/>
          <w:szCs w:val="44"/>
          <w:lang w:bidi="ar"/>
        </w:rPr>
        <w:t>济宁市主城区城市基础设施配套费征收使用</w:t>
      </w:r>
    </w:p>
    <w:p>
      <w:pPr>
        <w:spacing w:line="600" w:lineRule="exact"/>
        <w:jc w:val="center"/>
        <w:rPr>
          <w:rFonts w:ascii="方正仿宋简体" w:eastAsia="方正仿宋简体"/>
          <w:b/>
          <w:sz w:val="32"/>
          <w:szCs w:val="32"/>
        </w:rPr>
      </w:pPr>
      <w:r>
        <w:rPr>
          <w:rFonts w:hint="eastAsia" w:ascii="方正小标宋简体" w:hAnsi="文星仿宋" w:eastAsia="方正小标宋简体" w:cs="方正小标宋简体"/>
          <w:b/>
          <w:sz w:val="44"/>
          <w:szCs w:val="44"/>
          <w:lang w:bidi="ar"/>
        </w:rPr>
        <w:t>管 理 办 法</w:t>
      </w:r>
    </w:p>
    <w:p>
      <w:pPr>
        <w:spacing w:line="600" w:lineRule="exact"/>
        <w:ind w:firstLine="643" w:firstLineChars="200"/>
        <w:rPr>
          <w:rFonts w:hint="eastAsia" w:ascii="方正仿宋简体" w:hAnsi="文星仿宋" w:eastAsia="方正仿宋简体" w:cs="方正仿宋简体"/>
          <w:b/>
          <w:color w:val="000000"/>
          <w:sz w:val="32"/>
          <w:szCs w:val="32"/>
        </w:rPr>
      </w:pPr>
    </w:p>
    <w:p>
      <w:pPr>
        <w:numPr>
          <w:ilvl w:val="0"/>
          <w:numId w:val="1"/>
        </w:numPr>
        <w:spacing w:line="600" w:lineRule="exact"/>
        <w:ind w:firstLine="643" w:firstLineChars="200"/>
        <w:rPr>
          <w:rFonts w:ascii="方正仿宋简体" w:eastAsia="方正仿宋简体"/>
          <w:b/>
          <w:bCs/>
          <w:sz w:val="32"/>
          <w:szCs w:val="32"/>
        </w:rPr>
      </w:pPr>
      <w:r>
        <w:rPr>
          <w:rFonts w:hint="eastAsia" w:ascii="方正仿宋简体" w:eastAsia="方正仿宋简体"/>
          <w:b/>
          <w:bCs/>
          <w:sz w:val="32"/>
          <w:szCs w:val="32"/>
          <w:lang w:val="en-US" w:eastAsia="zh-CN"/>
        </w:rPr>
        <w:t xml:space="preserve"> </w:t>
      </w:r>
      <w:r>
        <w:rPr>
          <w:rFonts w:ascii="方正仿宋简体" w:eastAsia="方正仿宋简体"/>
          <w:b/>
          <w:bCs/>
          <w:sz w:val="32"/>
          <w:szCs w:val="32"/>
        </w:rPr>
        <w:t>为进一步加强和规范城市基础设施配套费征收使用管理，促进城市基础设施建设，根据《财政部关于印发〈政府性基金管理暂行办法〉的通知》（财综〔2010〕80号）、《国务院办公厅转发国家发展改革委等部门关于清理规范城镇供水供电供气供暖行业收费促进行业高质量发展意见的通知》（国办函〔2020〕129号）、《山东省财政厅关于进一步规范城市基础设施配套费有关事项的通知》（鲁财税〔2023〕1号）等相关规定，结合我市实际，制定本办法。</w:t>
      </w:r>
    </w:p>
    <w:p>
      <w:pPr>
        <w:numPr>
          <w:ilvl w:val="0"/>
          <w:numId w:val="1"/>
        </w:numPr>
        <w:spacing w:line="600" w:lineRule="exact"/>
        <w:ind w:firstLine="643" w:firstLineChars="200"/>
        <w:rPr>
          <w:rFonts w:ascii="方正仿宋简体" w:eastAsia="方正仿宋简体"/>
          <w:b/>
          <w:bCs/>
          <w:sz w:val="32"/>
          <w:szCs w:val="32"/>
        </w:rPr>
      </w:pPr>
      <w:r>
        <w:rPr>
          <w:rFonts w:ascii="方正仿宋简体" w:eastAsia="方正仿宋简体"/>
          <w:b/>
          <w:bCs/>
          <w:sz w:val="32"/>
          <w:szCs w:val="32"/>
        </w:rPr>
        <w:t xml:space="preserve"> 本办法所称主城区，包括任城区、济宁高新区、太白湖新区和济宁经济技术开发区。</w:t>
      </w:r>
    </w:p>
    <w:p>
      <w:pPr>
        <w:numPr>
          <w:ilvl w:val="0"/>
          <w:numId w:val="1"/>
        </w:numPr>
        <w:spacing w:line="600" w:lineRule="exact"/>
        <w:ind w:firstLine="643" w:firstLineChars="200"/>
        <w:rPr>
          <w:rFonts w:ascii="方正仿宋简体" w:eastAsia="方正仿宋简体"/>
          <w:b/>
          <w:bCs/>
          <w:sz w:val="32"/>
          <w:szCs w:val="32"/>
        </w:rPr>
      </w:pPr>
      <w:r>
        <w:rPr>
          <w:rFonts w:ascii="方正仿宋简体" w:eastAsia="方正仿宋简体"/>
          <w:b/>
          <w:bCs/>
          <w:sz w:val="32"/>
          <w:szCs w:val="32"/>
        </w:rPr>
        <w:t xml:space="preserve"> 本办法所称城市基础设施配套费是指用于济宁市主城区城镇规划建设用地范围内的建设项目区划红线外城市道路、桥梁、排水、绿化、环卫、供电、供水、供气、供热等相关城市基础设施建设的政府性基金。</w:t>
      </w:r>
    </w:p>
    <w:p>
      <w:pPr>
        <w:numPr>
          <w:ilvl w:val="0"/>
          <w:numId w:val="1"/>
        </w:numPr>
        <w:spacing w:line="600" w:lineRule="exact"/>
        <w:ind w:firstLine="643" w:firstLineChars="200"/>
        <w:rPr>
          <w:rFonts w:ascii="方正仿宋简体" w:eastAsia="方正仿宋简体"/>
          <w:b/>
          <w:bCs/>
          <w:sz w:val="32"/>
          <w:szCs w:val="32"/>
        </w:rPr>
      </w:pPr>
      <w:r>
        <w:rPr>
          <w:rFonts w:ascii="方正仿宋简体" w:eastAsia="方正仿宋简体"/>
          <w:b/>
          <w:bCs/>
          <w:sz w:val="32"/>
          <w:szCs w:val="32"/>
        </w:rPr>
        <w:t xml:space="preserve"> 凡在济宁市主城区城镇规划建设用地范围内新建、扩建、改建建设工程项目的单位和个人（以下统称建设单位和个人），均应当按照建设工程规划许可证核准的地上建筑面积缴纳城市基础设施配套费。</w:t>
      </w:r>
    </w:p>
    <w:p>
      <w:pPr>
        <w:spacing w:line="600" w:lineRule="exact"/>
        <w:ind w:firstLine="643" w:firstLineChars="200"/>
        <w:rPr>
          <w:rFonts w:ascii="方正仿宋简体" w:eastAsia="方正仿宋简体"/>
          <w:b/>
          <w:bCs/>
          <w:sz w:val="32"/>
          <w:szCs w:val="32"/>
        </w:rPr>
      </w:pPr>
      <w:r>
        <w:rPr>
          <w:rFonts w:ascii="方正仿宋简体" w:eastAsia="方正黑体简体"/>
          <w:b/>
          <w:bCs/>
          <w:sz w:val="32"/>
          <w:szCs w:val="32"/>
        </w:rPr>
        <w:t>第五条</w:t>
      </w:r>
      <w:r>
        <w:rPr>
          <w:rFonts w:ascii="方正仿宋简体" w:eastAsia="方正仿宋简体"/>
          <w:b/>
          <w:bCs/>
          <w:sz w:val="32"/>
          <w:szCs w:val="32"/>
        </w:rPr>
        <w:t xml:space="preserve">  市财政局负责济宁市主城区城市基础设施配套费管理工作。</w:t>
      </w:r>
    </w:p>
    <w:p>
      <w:pPr>
        <w:spacing w:line="600" w:lineRule="exact"/>
        <w:ind w:firstLine="643" w:firstLineChars="200"/>
        <w:rPr>
          <w:rFonts w:ascii="方正仿宋简体" w:eastAsia="方正仿宋简体"/>
          <w:b/>
          <w:bCs/>
          <w:sz w:val="32"/>
          <w:szCs w:val="32"/>
        </w:rPr>
      </w:pPr>
      <w:r>
        <w:rPr>
          <w:rFonts w:ascii="方正仿宋简体" w:eastAsia="方正仿宋简体"/>
          <w:b/>
          <w:bCs/>
          <w:sz w:val="32"/>
          <w:szCs w:val="32"/>
        </w:rPr>
        <w:t>市住房城乡建设局负责济宁市主城区城市基础设施配套费征收工作。</w:t>
      </w:r>
    </w:p>
    <w:p>
      <w:pPr>
        <w:spacing w:line="600" w:lineRule="exact"/>
        <w:ind w:firstLine="643" w:firstLineChars="200"/>
        <w:rPr>
          <w:rFonts w:ascii="方正仿宋简体" w:eastAsia="方正仿宋简体"/>
          <w:b/>
          <w:bCs/>
          <w:sz w:val="32"/>
          <w:szCs w:val="32"/>
        </w:rPr>
      </w:pPr>
      <w:r>
        <w:rPr>
          <w:rFonts w:ascii="方正仿宋简体" w:eastAsia="方正仿宋简体"/>
          <w:b/>
          <w:bCs/>
          <w:sz w:val="32"/>
          <w:szCs w:val="32"/>
        </w:rPr>
        <w:t>市自然资源和规划</w:t>
      </w:r>
      <w:r>
        <w:rPr>
          <w:rFonts w:hint="eastAsia" w:ascii="方正仿宋简体" w:eastAsia="方正仿宋简体"/>
          <w:b/>
          <w:bCs/>
          <w:sz w:val="32"/>
          <w:szCs w:val="32"/>
        </w:rPr>
        <w:t>局</w:t>
      </w:r>
      <w:r>
        <w:rPr>
          <w:rFonts w:ascii="方正仿宋简体" w:eastAsia="方正仿宋简体"/>
          <w:b/>
          <w:bCs/>
          <w:sz w:val="32"/>
          <w:szCs w:val="32"/>
        </w:rPr>
        <w:t>、</w:t>
      </w:r>
      <w:r>
        <w:rPr>
          <w:rFonts w:hint="eastAsia" w:ascii="方正仿宋简体" w:eastAsia="方正仿宋简体"/>
          <w:b/>
          <w:bCs/>
          <w:sz w:val="32"/>
          <w:szCs w:val="32"/>
        </w:rPr>
        <w:t>市</w:t>
      </w:r>
      <w:r>
        <w:rPr>
          <w:rFonts w:ascii="方正仿宋简体" w:eastAsia="方正仿宋简体"/>
          <w:b/>
          <w:bCs/>
          <w:sz w:val="32"/>
          <w:szCs w:val="32"/>
        </w:rPr>
        <w:t>审计</w:t>
      </w:r>
      <w:r>
        <w:rPr>
          <w:rFonts w:hint="eastAsia" w:ascii="方正仿宋简体" w:eastAsia="方正仿宋简体"/>
          <w:b/>
          <w:bCs/>
          <w:sz w:val="32"/>
          <w:szCs w:val="32"/>
        </w:rPr>
        <w:t>局</w:t>
      </w:r>
      <w:r>
        <w:rPr>
          <w:rFonts w:ascii="方正仿宋简体" w:eastAsia="方正仿宋简体"/>
          <w:b/>
          <w:bCs/>
          <w:sz w:val="32"/>
          <w:szCs w:val="32"/>
        </w:rPr>
        <w:t>等部门按照各自职责，做好城市基础设施配套费征收使用管理相关工作。</w:t>
      </w:r>
    </w:p>
    <w:p>
      <w:pPr>
        <w:spacing w:line="600" w:lineRule="exact"/>
        <w:ind w:firstLine="643" w:firstLineChars="200"/>
        <w:rPr>
          <w:rFonts w:ascii="方正仿宋简体" w:eastAsia="方正仿宋简体"/>
          <w:b/>
          <w:bCs/>
          <w:sz w:val="32"/>
          <w:szCs w:val="32"/>
        </w:rPr>
      </w:pPr>
      <w:r>
        <w:rPr>
          <w:rFonts w:ascii="方正仿宋简体" w:eastAsia="方正黑体简体"/>
          <w:b/>
          <w:bCs/>
          <w:sz w:val="32"/>
          <w:szCs w:val="32"/>
        </w:rPr>
        <w:t>第六条</w:t>
      </w:r>
      <w:r>
        <w:rPr>
          <w:rFonts w:ascii="方正仿宋简体" w:eastAsia="方正仿宋简体"/>
          <w:b/>
          <w:bCs/>
          <w:sz w:val="32"/>
          <w:szCs w:val="32"/>
        </w:rPr>
        <w:t xml:space="preserve">  城市基础设施配套费征收标准：</w:t>
      </w:r>
    </w:p>
    <w:p>
      <w:pPr>
        <w:spacing w:line="600" w:lineRule="exact"/>
        <w:ind w:firstLine="643" w:firstLineChars="200"/>
        <w:rPr>
          <w:rFonts w:ascii="方正仿宋简体" w:eastAsia="方正仿宋简体"/>
          <w:b/>
          <w:bCs/>
          <w:sz w:val="32"/>
          <w:szCs w:val="32"/>
        </w:rPr>
      </w:pPr>
      <w:r>
        <w:rPr>
          <w:rFonts w:ascii="方正仿宋简体" w:eastAsia="方正仿宋简体"/>
          <w:b/>
          <w:bCs/>
          <w:sz w:val="32"/>
          <w:szCs w:val="32"/>
        </w:rPr>
        <w:t>（一）非工业建设项目，按照建设项目地上面积199元/平方米征收；</w:t>
      </w:r>
    </w:p>
    <w:p>
      <w:pPr>
        <w:spacing w:line="600" w:lineRule="exact"/>
        <w:ind w:firstLine="643" w:firstLineChars="200"/>
        <w:rPr>
          <w:rFonts w:ascii="方正仿宋简体" w:eastAsia="方正仿宋简体"/>
          <w:b/>
          <w:bCs/>
          <w:sz w:val="32"/>
          <w:szCs w:val="32"/>
        </w:rPr>
      </w:pPr>
      <w:r>
        <w:rPr>
          <w:rFonts w:ascii="方正仿宋简体" w:eastAsia="方正仿宋简体"/>
          <w:b/>
          <w:bCs/>
          <w:sz w:val="32"/>
          <w:szCs w:val="32"/>
        </w:rPr>
        <w:t>（二）工业建设项目，按照下列标准征收：</w:t>
      </w:r>
    </w:p>
    <w:p>
      <w:pPr>
        <w:spacing w:line="600" w:lineRule="exact"/>
        <w:ind w:firstLine="643" w:firstLineChars="200"/>
        <w:rPr>
          <w:rFonts w:ascii="方正仿宋简体" w:eastAsia="方正仿宋简体"/>
          <w:b/>
          <w:bCs/>
          <w:sz w:val="32"/>
          <w:szCs w:val="32"/>
        </w:rPr>
      </w:pPr>
      <w:r>
        <w:rPr>
          <w:rFonts w:ascii="方正仿宋简体" w:eastAsia="方正仿宋简体"/>
          <w:b/>
          <w:bCs/>
          <w:sz w:val="32"/>
          <w:szCs w:val="32"/>
        </w:rPr>
        <w:t>1</w:t>
      </w:r>
      <w:r>
        <w:rPr>
          <w:rFonts w:hint="eastAsia" w:ascii="方正仿宋简体" w:eastAsia="方正仿宋简体"/>
          <w:b/>
          <w:bCs/>
          <w:sz w:val="32"/>
          <w:szCs w:val="32"/>
          <w:lang w:val="en-US" w:eastAsia="zh-CN"/>
        </w:rPr>
        <w:t xml:space="preserve">. </w:t>
      </w:r>
      <w:r>
        <w:rPr>
          <w:rFonts w:ascii="方正仿宋简体" w:eastAsia="方正仿宋简体"/>
          <w:b/>
          <w:bCs/>
          <w:sz w:val="32"/>
          <w:szCs w:val="32"/>
        </w:rPr>
        <w:t>生产经营性建设项目，不需要供水、供气、供热、供电配套的，按照建设项目地上建筑面积73元/平方米征收；</w:t>
      </w:r>
    </w:p>
    <w:p>
      <w:pPr>
        <w:spacing w:line="600" w:lineRule="exact"/>
        <w:ind w:firstLine="643" w:firstLineChars="200"/>
        <w:rPr>
          <w:rFonts w:ascii="方正仿宋简体" w:eastAsia="方正仿宋简体"/>
          <w:b/>
          <w:bCs/>
          <w:sz w:val="32"/>
          <w:szCs w:val="32"/>
        </w:rPr>
      </w:pPr>
      <w:r>
        <w:rPr>
          <w:rFonts w:ascii="方正仿宋简体" w:eastAsia="方正仿宋简体"/>
          <w:b/>
          <w:bCs/>
          <w:sz w:val="32"/>
          <w:szCs w:val="32"/>
        </w:rPr>
        <w:t>2</w:t>
      </w:r>
      <w:r>
        <w:rPr>
          <w:rFonts w:hint="eastAsia" w:ascii="方正仿宋简体" w:eastAsia="方正仿宋简体"/>
          <w:b/>
          <w:bCs/>
          <w:sz w:val="32"/>
          <w:szCs w:val="32"/>
          <w:lang w:val="en-US" w:eastAsia="zh-CN"/>
        </w:rPr>
        <w:t xml:space="preserve">. </w:t>
      </w:r>
      <w:r>
        <w:rPr>
          <w:rFonts w:ascii="方正仿宋简体" w:eastAsia="方正仿宋简体"/>
          <w:b/>
          <w:bCs/>
          <w:sz w:val="32"/>
          <w:szCs w:val="32"/>
        </w:rPr>
        <w:t>非生产经营性建设项目，不需要供水、供气、供热、供电配套的，按照建设项目地上建筑面积128元/平方米征收。</w:t>
      </w:r>
    </w:p>
    <w:p>
      <w:pPr>
        <w:spacing w:line="600" w:lineRule="exact"/>
        <w:ind w:firstLine="643" w:firstLineChars="200"/>
        <w:rPr>
          <w:rFonts w:ascii="方正仿宋简体" w:eastAsia="方正仿宋简体"/>
          <w:b/>
          <w:bCs/>
          <w:kern w:val="2"/>
          <w:sz w:val="32"/>
          <w:szCs w:val="32"/>
        </w:rPr>
      </w:pPr>
      <w:r>
        <w:rPr>
          <w:rFonts w:ascii="方正仿宋简体" w:eastAsia="方正仿宋简体"/>
          <w:b/>
          <w:bCs/>
          <w:sz w:val="32"/>
          <w:szCs w:val="32"/>
        </w:rPr>
        <w:t>3</w:t>
      </w:r>
      <w:r>
        <w:rPr>
          <w:rFonts w:hint="eastAsia" w:ascii="方正仿宋简体" w:eastAsia="方正仿宋简体"/>
          <w:b/>
          <w:bCs/>
          <w:sz w:val="32"/>
          <w:szCs w:val="32"/>
          <w:lang w:val="en-US" w:eastAsia="zh-CN"/>
        </w:rPr>
        <w:t xml:space="preserve">. </w:t>
      </w:r>
      <w:r>
        <w:rPr>
          <w:rFonts w:ascii="方正仿宋简体" w:eastAsia="方正仿宋简体"/>
          <w:b/>
          <w:bCs/>
          <w:sz w:val="32"/>
          <w:szCs w:val="32"/>
        </w:rPr>
        <w:t>需要供水、供气、供热、供电配套的项目，按照建设项目地上建筑面积供水11元/平方米、供气8元/平方米、供热38元/平方米、供电14元/平方米（含高层双电源，不包括电缆所需管沟廊道）分别加收城市基础设施配套费。</w:t>
      </w:r>
    </w:p>
    <w:p>
      <w:pPr>
        <w:spacing w:line="600" w:lineRule="exact"/>
        <w:ind w:firstLine="643" w:firstLineChars="200"/>
        <w:rPr>
          <w:rFonts w:ascii="方正仿宋简体" w:eastAsia="方正仿宋简体"/>
          <w:b/>
          <w:bCs/>
          <w:sz w:val="32"/>
          <w:szCs w:val="32"/>
        </w:rPr>
      </w:pPr>
      <w:r>
        <w:rPr>
          <w:rFonts w:hint="eastAsia" w:ascii="方正仿宋简体" w:hAnsi="方正黑体简体" w:eastAsia="方正黑体简体" w:cs="方正黑体简体"/>
          <w:b/>
          <w:bCs/>
          <w:kern w:val="2"/>
          <w:sz w:val="32"/>
          <w:szCs w:val="32"/>
        </w:rPr>
        <w:t>第七条</w:t>
      </w:r>
      <w:r>
        <w:rPr>
          <w:rFonts w:ascii="方正仿宋简体" w:eastAsia="方正仿宋简体"/>
          <w:b/>
          <w:bCs/>
          <w:kern w:val="2"/>
          <w:sz w:val="32"/>
          <w:szCs w:val="32"/>
        </w:rPr>
        <w:t xml:space="preserve"> </w:t>
      </w:r>
      <w:r>
        <w:rPr>
          <w:rFonts w:hint="eastAsia" w:ascii="方正仿宋简体" w:eastAsia="方正仿宋简体"/>
          <w:b/>
          <w:bCs/>
          <w:kern w:val="2"/>
          <w:sz w:val="32"/>
          <w:szCs w:val="32"/>
        </w:rPr>
        <w:t xml:space="preserve"> </w:t>
      </w:r>
      <w:r>
        <w:rPr>
          <w:rFonts w:ascii="方正仿宋简体" w:eastAsia="方正仿宋简体"/>
          <w:b/>
          <w:bCs/>
          <w:kern w:val="2"/>
          <w:sz w:val="32"/>
          <w:szCs w:val="32"/>
        </w:rPr>
        <w:t>建设单位和个人应当按规定足额缴纳城市基础设施配套费。</w:t>
      </w:r>
    </w:p>
    <w:p>
      <w:pPr>
        <w:spacing w:line="600" w:lineRule="exact"/>
        <w:ind w:firstLine="643" w:firstLineChars="200"/>
        <w:rPr>
          <w:rFonts w:ascii="方正仿宋简体" w:eastAsia="方正仿宋简体"/>
          <w:b/>
          <w:bCs/>
          <w:sz w:val="32"/>
          <w:szCs w:val="32"/>
        </w:rPr>
      </w:pPr>
      <w:r>
        <w:rPr>
          <w:rFonts w:hint="eastAsia" w:ascii="方正仿宋简体" w:hAnsi="方正黑体简体" w:eastAsia="方正黑体简体" w:cs="方正黑体简体"/>
          <w:b/>
          <w:bCs/>
          <w:sz w:val="32"/>
          <w:szCs w:val="32"/>
        </w:rPr>
        <w:t>第八条</w:t>
      </w:r>
      <w:r>
        <w:rPr>
          <w:rFonts w:hint="eastAsia" w:ascii="方正仿宋简体" w:eastAsia="方正仿宋简体"/>
          <w:b/>
          <w:bCs/>
          <w:sz w:val="32"/>
          <w:szCs w:val="32"/>
        </w:rPr>
        <w:t xml:space="preserve"> </w:t>
      </w:r>
      <w:r>
        <w:rPr>
          <w:rFonts w:ascii="方正仿宋简体" w:eastAsia="方正仿宋简体"/>
          <w:b/>
          <w:bCs/>
          <w:sz w:val="32"/>
          <w:szCs w:val="32"/>
        </w:rPr>
        <w:t xml:space="preserve"> 市住房城乡建设局征收城市基础设施配套费时，应当向建设单位和个人开具财政票据。</w:t>
      </w:r>
    </w:p>
    <w:p>
      <w:pPr>
        <w:spacing w:line="600" w:lineRule="exact"/>
        <w:ind w:firstLine="643" w:firstLineChars="200"/>
        <w:rPr>
          <w:rFonts w:ascii="方正仿宋简体" w:eastAsia="方正仿宋简体"/>
          <w:b/>
          <w:bCs/>
          <w:sz w:val="32"/>
          <w:szCs w:val="32"/>
        </w:rPr>
      </w:pPr>
      <w:r>
        <w:rPr>
          <w:rFonts w:ascii="方正仿宋简体" w:eastAsia="方正黑体简体"/>
          <w:b/>
          <w:bCs/>
          <w:sz w:val="32"/>
          <w:szCs w:val="32"/>
        </w:rPr>
        <w:t>第九条</w:t>
      </w:r>
      <w:r>
        <w:rPr>
          <w:rFonts w:ascii="方正仿宋简体" w:eastAsia="方正仿宋简体"/>
          <w:b/>
          <w:bCs/>
          <w:sz w:val="32"/>
          <w:szCs w:val="32"/>
        </w:rPr>
        <w:t xml:space="preserve">  建设项目城市基础设施配套费的减免，应当严格按照国家、省有关规定执行。</w:t>
      </w:r>
    </w:p>
    <w:p>
      <w:pPr>
        <w:spacing w:line="600" w:lineRule="exact"/>
        <w:ind w:firstLine="643" w:firstLineChars="200"/>
        <w:rPr>
          <w:rFonts w:ascii="方正仿宋简体" w:eastAsia="方正仿宋简体"/>
          <w:b/>
          <w:bCs/>
          <w:sz w:val="32"/>
          <w:szCs w:val="32"/>
        </w:rPr>
      </w:pPr>
      <w:r>
        <w:rPr>
          <w:rFonts w:ascii="方正仿宋简体" w:eastAsia="方正黑体简体"/>
          <w:b/>
          <w:bCs/>
          <w:sz w:val="32"/>
          <w:szCs w:val="32"/>
        </w:rPr>
        <w:t>第十条</w:t>
      </w:r>
      <w:r>
        <w:rPr>
          <w:rFonts w:ascii="方正仿宋简体" w:eastAsia="方正仿宋简体"/>
          <w:b/>
          <w:bCs/>
          <w:sz w:val="32"/>
          <w:szCs w:val="32"/>
        </w:rPr>
        <w:t xml:space="preserve">  已按照本办法规定享受城市基础设施配套费减免政策的建设项目改变原批准用途的，应当按照本办法规定补缴城市基础设施配套费。</w:t>
      </w:r>
    </w:p>
    <w:p>
      <w:pPr>
        <w:spacing w:line="600" w:lineRule="exact"/>
        <w:ind w:firstLine="643" w:firstLineChars="200"/>
        <w:rPr>
          <w:rFonts w:ascii="方正仿宋简体" w:eastAsia="方正仿宋简体"/>
          <w:b/>
          <w:bCs/>
          <w:sz w:val="32"/>
          <w:szCs w:val="32"/>
        </w:rPr>
      </w:pPr>
      <w:r>
        <w:rPr>
          <w:rFonts w:ascii="方正仿宋简体" w:eastAsia="方正黑体简体"/>
          <w:b/>
          <w:bCs/>
          <w:sz w:val="32"/>
          <w:szCs w:val="32"/>
        </w:rPr>
        <w:t>第十一条</w:t>
      </w:r>
      <w:r>
        <w:rPr>
          <w:rFonts w:ascii="方正仿宋简体" w:eastAsia="方正仿宋简体"/>
          <w:b/>
          <w:bCs/>
          <w:sz w:val="32"/>
          <w:szCs w:val="32"/>
        </w:rPr>
        <w:t xml:space="preserve">  建设项目增加建筑面积的，建设单位和个人应当按照本办法规定补缴增加建筑面积的城市基础设施配套费。</w:t>
      </w:r>
    </w:p>
    <w:p>
      <w:pPr>
        <w:spacing w:line="600" w:lineRule="exact"/>
        <w:ind w:firstLine="643" w:firstLineChars="200"/>
        <w:rPr>
          <w:rFonts w:ascii="方正仿宋简体" w:eastAsia="方正仿宋简体"/>
          <w:b/>
          <w:bCs/>
          <w:sz w:val="32"/>
          <w:szCs w:val="32"/>
        </w:rPr>
      </w:pPr>
      <w:r>
        <w:rPr>
          <w:rFonts w:ascii="方正仿宋简体" w:eastAsia="方正黑体简体"/>
          <w:b/>
          <w:bCs/>
          <w:sz w:val="32"/>
          <w:szCs w:val="32"/>
        </w:rPr>
        <w:t>第十二条</w:t>
      </w:r>
      <w:r>
        <w:rPr>
          <w:rFonts w:ascii="方正仿宋简体" w:eastAsia="方正仿宋简体"/>
          <w:b/>
          <w:bCs/>
          <w:sz w:val="32"/>
          <w:szCs w:val="32"/>
        </w:rPr>
        <w:t xml:space="preserve">  城市基础设施配套费纳入市财政预算，实行年度收支预算管理，统筹安排使用。市住房城乡建设局应当在每年10月31日前，编制下一年度配套费使用计划，研究提出年度预算安排建议，在规定时限内向市财政</w:t>
      </w:r>
      <w:r>
        <w:rPr>
          <w:rFonts w:hint="eastAsia" w:ascii="方正仿宋简体" w:eastAsia="方正仿宋简体"/>
          <w:b/>
          <w:bCs/>
          <w:sz w:val="32"/>
          <w:szCs w:val="32"/>
        </w:rPr>
        <w:t>局</w:t>
      </w:r>
      <w:r>
        <w:rPr>
          <w:rFonts w:ascii="方正仿宋简体" w:eastAsia="方正仿宋简体"/>
          <w:b/>
          <w:bCs/>
          <w:sz w:val="32"/>
          <w:szCs w:val="32"/>
        </w:rPr>
        <w:t>提报预算申请。市财政局审核编制城市基础设施配套费年度收支预算，按照预算编制要求和资金管理规定，研究提出年度预算安排建议，依法依规履行预算批准程序。</w:t>
      </w:r>
    </w:p>
    <w:p>
      <w:pPr>
        <w:spacing w:line="600" w:lineRule="exact"/>
        <w:ind w:firstLine="643" w:firstLineChars="200"/>
        <w:rPr>
          <w:rFonts w:ascii="方正仿宋简体" w:eastAsia="方正仿宋简体"/>
          <w:b/>
          <w:bCs/>
          <w:sz w:val="32"/>
          <w:szCs w:val="32"/>
        </w:rPr>
      </w:pPr>
      <w:r>
        <w:rPr>
          <w:rFonts w:ascii="方正仿宋简体" w:eastAsia="方正黑体简体"/>
          <w:b/>
          <w:bCs/>
          <w:sz w:val="32"/>
          <w:szCs w:val="32"/>
        </w:rPr>
        <w:t>第十三条</w:t>
      </w:r>
      <w:r>
        <w:rPr>
          <w:rFonts w:ascii="方正仿宋简体" w:eastAsia="方正仿宋简体"/>
          <w:b/>
          <w:bCs/>
          <w:sz w:val="32"/>
          <w:szCs w:val="32"/>
        </w:rPr>
        <w:t xml:space="preserve">  自本办法施行之日起，主城区的专业经营单位不得向建设单位和个人另行收取红线外供水、供气、供热、供电及相关配套费用。</w:t>
      </w:r>
    </w:p>
    <w:p>
      <w:pPr>
        <w:spacing w:line="600" w:lineRule="exact"/>
        <w:ind w:firstLine="643" w:firstLineChars="200"/>
        <w:rPr>
          <w:rFonts w:ascii="方正仿宋简体" w:eastAsia="方正仿宋简体"/>
          <w:b/>
          <w:bCs/>
          <w:sz w:val="32"/>
          <w:szCs w:val="32"/>
        </w:rPr>
      </w:pPr>
      <w:r>
        <w:rPr>
          <w:rFonts w:ascii="方正仿宋简体" w:eastAsia="方正仿宋简体"/>
          <w:b/>
          <w:bCs/>
          <w:sz w:val="32"/>
          <w:szCs w:val="32"/>
        </w:rPr>
        <w:t>建设项目城市基础设施配套费和红线内供水、供气、供热、供电相关配套（含各类计量装置、分户控制系统）建设费用计入建设成本。新建商品房、保障性住房等建筑区划红线内供水、供电、供气、供暖管线及配套设备设施的建设安装费用统一纳入房屋开发建设成本，不得另外向买受人收取。</w:t>
      </w:r>
    </w:p>
    <w:p>
      <w:pPr>
        <w:spacing w:line="600" w:lineRule="exact"/>
        <w:ind w:firstLine="643" w:firstLineChars="200"/>
        <w:rPr>
          <w:rFonts w:ascii="方正仿宋简体" w:eastAsia="方正仿宋简体"/>
          <w:b/>
          <w:bCs/>
          <w:sz w:val="32"/>
          <w:szCs w:val="32"/>
        </w:rPr>
      </w:pPr>
      <w:r>
        <w:rPr>
          <w:rFonts w:ascii="方正仿宋简体" w:eastAsia="方正黑体简体"/>
          <w:b/>
          <w:bCs/>
          <w:sz w:val="32"/>
          <w:szCs w:val="32"/>
        </w:rPr>
        <w:t>第十四条</w:t>
      </w:r>
      <w:r>
        <w:rPr>
          <w:rFonts w:ascii="方正仿宋简体" w:eastAsia="方正仿宋简体"/>
          <w:b/>
          <w:bCs/>
          <w:sz w:val="32"/>
          <w:szCs w:val="32"/>
        </w:rPr>
        <w:t xml:space="preserve">  市住房城乡建设局、市财政局会同有关部门制定具体征管细则。</w:t>
      </w:r>
    </w:p>
    <w:p>
      <w:pPr>
        <w:spacing w:line="600" w:lineRule="exact"/>
        <w:ind w:firstLine="643" w:firstLineChars="200"/>
        <w:rPr>
          <w:rFonts w:hint="eastAsia" w:ascii="方正仿宋简体" w:hAnsi="黑体" w:eastAsia="方正仿宋简体" w:cs="黑体"/>
          <w:spacing w:val="-8"/>
          <w:sz w:val="28"/>
          <w:szCs w:val="28"/>
          <w:lang w:eastAsia="zh-CN"/>
        </w:rPr>
      </w:pPr>
      <w:r>
        <w:rPr>
          <w:rFonts w:ascii="方正仿宋简体" w:eastAsia="方正黑体简体"/>
          <w:b/>
          <w:bCs/>
          <w:sz w:val="32"/>
          <w:szCs w:val="32"/>
        </w:rPr>
        <w:t>第十五条</w:t>
      </w:r>
      <w:r>
        <w:rPr>
          <w:rFonts w:ascii="方正仿宋简体" w:eastAsia="方正仿宋简体"/>
          <w:b/>
          <w:bCs/>
          <w:sz w:val="32"/>
          <w:szCs w:val="32"/>
        </w:rPr>
        <w:t xml:space="preserve">  本办法自202</w:t>
      </w:r>
      <w:r>
        <w:rPr>
          <w:rFonts w:hint="eastAsia" w:ascii="方正仿宋简体" w:eastAsia="方正仿宋简体"/>
          <w:b/>
          <w:bCs/>
          <w:sz w:val="32"/>
          <w:szCs w:val="32"/>
          <w:lang w:val="en-US" w:eastAsia="zh-CN"/>
        </w:rPr>
        <w:t>5</w:t>
      </w:r>
      <w:r>
        <w:rPr>
          <w:rFonts w:ascii="方正仿宋简体" w:eastAsia="方正仿宋简体"/>
          <w:b/>
          <w:bCs/>
          <w:sz w:val="32"/>
          <w:szCs w:val="32"/>
        </w:rPr>
        <w:t>年</w:t>
      </w:r>
      <w:r>
        <w:rPr>
          <w:rFonts w:hint="eastAsia" w:ascii="方正仿宋简体" w:eastAsia="方正仿宋简体"/>
          <w:b/>
          <w:bCs/>
          <w:sz w:val="32"/>
          <w:szCs w:val="32"/>
          <w:lang w:val="en-US" w:eastAsia="zh-CN"/>
        </w:rPr>
        <w:t>2</w:t>
      </w:r>
      <w:r>
        <w:rPr>
          <w:rFonts w:ascii="方正仿宋简体" w:eastAsia="方正仿宋简体"/>
          <w:b/>
          <w:bCs/>
          <w:sz w:val="32"/>
          <w:szCs w:val="32"/>
        </w:rPr>
        <w:t>月</w:t>
      </w:r>
      <w:r>
        <w:rPr>
          <w:rFonts w:hint="eastAsia" w:ascii="方正仿宋简体" w:eastAsia="方正仿宋简体"/>
          <w:b/>
          <w:bCs/>
          <w:sz w:val="32"/>
          <w:szCs w:val="32"/>
          <w:lang w:val="en-US" w:eastAsia="zh-CN"/>
        </w:rPr>
        <w:t>1</w:t>
      </w:r>
      <w:r>
        <w:rPr>
          <w:rFonts w:ascii="方正仿宋简体" w:eastAsia="方正仿宋简体"/>
          <w:b/>
          <w:bCs/>
          <w:sz w:val="32"/>
          <w:szCs w:val="32"/>
        </w:rPr>
        <w:t>日起施行，有效期至2029年</w:t>
      </w:r>
      <w:r>
        <w:rPr>
          <w:rFonts w:hint="eastAsia" w:ascii="方正仿宋简体" w:eastAsia="方正仿宋简体"/>
          <w:b/>
          <w:bCs/>
          <w:sz w:val="32"/>
          <w:szCs w:val="32"/>
          <w:lang w:val="en-US" w:eastAsia="zh-CN"/>
        </w:rPr>
        <w:t>12</w:t>
      </w:r>
      <w:r>
        <w:rPr>
          <w:rFonts w:ascii="方正仿宋简体" w:eastAsia="方正仿宋简体"/>
          <w:b/>
          <w:bCs/>
          <w:sz w:val="32"/>
          <w:szCs w:val="32"/>
        </w:rPr>
        <w:t>月</w:t>
      </w:r>
      <w:r>
        <w:rPr>
          <w:rFonts w:hint="eastAsia" w:ascii="方正仿宋简体" w:eastAsia="方正仿宋简体"/>
          <w:b/>
          <w:bCs/>
          <w:sz w:val="32"/>
          <w:szCs w:val="32"/>
          <w:lang w:val="en-US" w:eastAsia="zh-CN"/>
        </w:rPr>
        <w:t>31</w:t>
      </w:r>
      <w:r>
        <w:rPr>
          <w:rFonts w:ascii="方正仿宋简体" w:eastAsia="方正仿宋简体"/>
          <w:b/>
          <w:bCs/>
          <w:sz w:val="32"/>
          <w:szCs w:val="32"/>
        </w:rPr>
        <w:t>日</w:t>
      </w:r>
      <w:r>
        <w:rPr>
          <w:rFonts w:hint="eastAsia" w:ascii="方正仿宋简体" w:eastAsia="方正仿宋简体"/>
          <w:b/>
          <w:bCs/>
          <w:sz w:val="32"/>
          <w:szCs w:val="32"/>
          <w:lang w:eastAsia="zh-CN"/>
        </w:rPr>
        <w:t>。</w:t>
      </w:r>
      <w:bookmarkStart w:id="4" w:name="_GoBack"/>
      <w:bookmarkEnd w:id="4"/>
    </w:p>
    <w:p>
      <w:pPr>
        <w:pStyle w:val="2"/>
        <w:ind w:left="400"/>
        <w:rPr>
          <w:rFonts w:ascii="黑体" w:hAnsi="黑体" w:eastAsia="黑体" w:cs="黑体"/>
          <w:spacing w:val="-8"/>
          <w:sz w:val="28"/>
          <w:szCs w:val="28"/>
        </w:rPr>
      </w:pPr>
    </w:p>
    <w:p>
      <w:pPr>
        <w:pStyle w:val="2"/>
        <w:ind w:left="400"/>
        <w:rPr>
          <w:rFonts w:ascii="黑体" w:hAnsi="黑体" w:eastAsia="黑体" w:cs="黑体"/>
          <w:spacing w:val="-8"/>
          <w:sz w:val="28"/>
          <w:szCs w:val="28"/>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hint="eastAsia"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JLtyX/SAQAAzgMAAA4AAABkcnMvZTJvRG9jLnhtbK1TTW/b MAy9D9h/EHRf7GbtOhhxemjWXYqtwLYfwEh0LEBfENU4+fej5DTduksO80GmJPKR75Fa3R2cFXtM ZILv5dWilQK9Ctr4XS9//Xz48FkKyuA12OCxl0ckebd+/241xQ6XYQxWYxIM4qmbYi/HnGPXNKRG dECLENHz5RCSg8zbtGt0gonRnW2WbfupmULSMQWFRHy6mS/lCTFdAhiGwSjcBPXs0OcZNaGFzJRo NJHkulY7DKjy92EgzML2kpnmunIStrdlbdYr6HYJ4mjUqQS4pIQ3nBwYz0nPUBvIIJ6T+QfKGZUC hSEvVHDNTKQqwiyu2jfa/BghYuXCUlM8i07/D1Z92z8lYXQvP0rhwXHDH41HcVuUmSJ17HDvn9Jp R/EpFZqHIbnyZwLiUNU8ntXEQxaKD29urq/bloVWL3fNa2BMlL9icKIYvbScs+oH+0fKnIxdX1xK HuvFxMO6vK14wGM3cLsZ2kUunfyuBlOwRj8Ya0sIpd323iaxh9L6+hVODPyXW8myARpnv3o1D8WI oL94LfIxsiie34IsNTjUUljkp1MsBoQug7GXeHJq67mCIussZLG2QR+rvvWc21xrPI1kmaM/9zX6 9RmufwN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BGH+DV1gAAAAYBAAAPAAAAAAAAAAEAIAAAACIA AABkcnMvZG93bnJldi54bWxQSwECFAAUAAAACACHTuJAku3Jf9IBAADOAwAADgAAAAAAAAABACAA AAAlAQAAZHJzL2Uyb0RvYy54bWxQSwUGAAAAAAYABgBZAQAAaQ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文星仿宋" w:eastAsia="方正仿宋简体" w:cs="方正仿宋简体"/>
          <w:b/>
          <w:spacing w:val="-6"/>
          <w:sz w:val="28"/>
          <w:szCs w:val="28"/>
          <w:lang w:bidi="ar"/>
        </w:rPr>
        <w:t>市委各部门，市人大常委会办公室，市政协办公室，</w:t>
      </w:r>
      <w:r>
        <w:rPr>
          <w:rFonts w:hint="eastAsia" w:ascii="方正仿宋简体" w:hAnsi="方正仿宋简体" w:eastAsia="方正仿宋简体" w:cs="方正仿宋简体"/>
          <w:b/>
          <w:color w:val="000000"/>
          <w:spacing w:val="-6"/>
          <w:sz w:val="28"/>
          <w:szCs w:val="28"/>
          <w:lang w:bidi="ar"/>
        </w:rPr>
        <w:t>市</w:t>
      </w:r>
      <w:r>
        <w:rPr>
          <w:rFonts w:ascii="方正仿宋简体" w:hAnsi="方正仿宋简体" w:eastAsia="方正仿宋简体" w:cs="方正仿宋简体"/>
          <w:b/>
          <w:color w:val="000000"/>
          <w:spacing w:val="-6"/>
          <w:sz w:val="28"/>
          <w:szCs w:val="28"/>
          <w:lang w:bidi="ar"/>
        </w:rPr>
        <w:t>监委</w:t>
      </w:r>
      <w:r>
        <w:rPr>
          <w:rFonts w:hint="eastAsia" w:ascii="方正仿宋简体" w:hAnsi="方正仿宋简体" w:eastAsia="方正仿宋简体" w:cs="方正仿宋简体"/>
          <w:b/>
          <w:color w:val="000000"/>
          <w:spacing w:val="-6"/>
          <w:sz w:val="28"/>
          <w:szCs w:val="28"/>
          <w:lang w:bidi="ar"/>
        </w:rPr>
        <w:t>，</w:t>
      </w:r>
    </w:p>
    <w:p>
      <w:pPr>
        <w:spacing w:line="440" w:lineRule="exact"/>
        <w:ind w:firstLine="1135" w:firstLineChars="398"/>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keepNext w:val="0"/>
        <w:keepLines w:val="0"/>
        <w:pageBreakBefore w:val="0"/>
        <w:widowControl w:val="0"/>
        <w:kinsoku/>
        <w:wordWrap/>
        <w:overflowPunct/>
        <w:topLinePunct w:val="0"/>
        <w:autoSpaceDE/>
        <w:autoSpaceDN/>
        <w:bidi w:val="0"/>
        <w:adjustRightInd/>
        <w:snapToGrid/>
        <w:spacing w:line="440" w:lineRule="exact"/>
        <w:ind w:firstLine="1150" w:firstLineChars="409"/>
        <w:textAlignment w:val="auto"/>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各民主党派市委会（总支部），市工商联。</w:t>
      </w:r>
    </w:p>
    <w:p>
      <w:pPr>
        <w:spacing w:line="740" w:lineRule="exact"/>
        <w:ind w:firstLine="313" w:firstLineChars="98"/>
        <w:rPr>
          <w:rFonts w:ascii="方正仿宋简体" w:hAnsi="文星仿宋" w:eastAsia="方正仿宋简体" w:cs="方正仿宋简体"/>
          <w:b/>
          <w:sz w:val="28"/>
          <w:szCs w:val="28"/>
        </w:rPr>
      </w:pPr>
      <w:r>
        <w:rPr>
          <w:sz w:val="32"/>
        </w:rPr>
        <mc:AlternateContent>
          <mc:Choice Requires="wps">
            <w:drawing>
              <wp:anchor distT="0" distB="0" distL="114300" distR="114300" simplePos="0" relativeHeight="251663360" behindDoc="0" locked="0" layoutInCell="1" allowOverlap="1">
                <wp:simplePos x="0" y="0"/>
                <wp:positionH relativeFrom="column">
                  <wp:posOffset>-193040</wp:posOffset>
                </wp:positionH>
                <wp:positionV relativeFrom="paragraph">
                  <wp:posOffset>668655</wp:posOffset>
                </wp:positionV>
                <wp:extent cx="1593215" cy="734695"/>
                <wp:effectExtent l="0" t="0" r="8255" b="8255"/>
                <wp:wrapNone/>
                <wp:docPr id="5" name="文本框 5"/>
                <wp:cNvGraphicFramePr/>
                <a:graphic xmlns:a="http://schemas.openxmlformats.org/drawingml/2006/main">
                  <a:graphicData uri="http://schemas.microsoft.com/office/word/2010/wordprocessingShape">
                    <wps:wsp>
                      <wps:cNvSpPr txBox="1"/>
                      <wps:spPr>
                        <a:xfrm>
                          <a:off x="815340" y="9458325"/>
                          <a:ext cx="1593215" cy="7346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pt;margin-top:52.65pt;height:57.85pt;width:125.45pt;z-index:251663360;mso-width-relative:page;mso-height-relative:page;" fillcolor="#FFFFFF [3201]" filled="t" stroked="f" coordsize="21600,21600" o:gfxdata="UEsDBAoAAAAAAIdO4kAAAAAAAAAAAAAAAAAEAAAAZHJzL1BLAwQUAAAACACHTuJAwKQiFNUAAAAL AQAADwAAAGRycy9kb3ducmV2LnhtbE2Pu27DMAxF9wD9B4EFuiWSnQcK13KGAl0LNK9ZsVjbqEQZ kvL8+jJTu5G4B5eH9frqnThjTEMgDcVMgUBqgx2o07DbfkxfQaRsyBoXCDXcMMG6eZrUprLhQl94 3uROcAmlymjocx4rKVPbozdpFkYkzr5D9CbzGjtpo7lwuXeyVGolvRmIL/RmxPce25/NyWs4dP5+ 2Bdj7K13C/q837a7MGj98lyoNxAZr/kPhoc+q0PDTsdwIpuE0zCdqwWjHKjlHAQTZamWII6PoVAg m1r+/6H5BVBLAwQUAAAACACHTuJAuN0SaF0CAACaBAAADgAAAGRycy9lMm9Eb2MueG1srVTNbhMx EL4j8Q6W73Tzt20SdVOFVkFIEa0UEGfH681asj3GdrIbHgDeoCcu3HmuPAdjb9KWwqEHcnDGns8z 832e2curViuyE85LMAXtn/UoEYZDKc2moJ8+Lt6MKfGBmZIpMKKge+Hp1ez1q8vGTsUAalClcASD GD9tbEHrEOw0yzyvhWb+DKww6KzAaRZw6zZZ6ViD0bXKBr3eedaAK60DLrzH05vOSY8R3UsCQlVJ Lm6Ab7UwoYvqhGIBKflaWk9nqdqqEjzcVpUXgaiCItOQVkyC9jqu2eySTTeO2VryYwnsJSU846SZ NJj0IdQNC4xsnfwrlJbcgYcqnHHQWUckKYIs+r1n2qxqZkXiglJ7+yC6/39h+YfdnSOyLGhOiWEa H/xw//3w49fh5zeSR3ka66eIWlnEhfYttNg0p3OPh5F1Wzkd/5EPQf+4nw9HqPC+oJNRPh4OUiA2 FW0gPN7PJ8NBHxNyRFwMR+eTBMgeA1nnwzsBmkSjoA7fMcnLdksfsCiEniAxrwcly4VUKm3cZn2t HNkxfPNF+sV68cofMGVIU9DzYd5LkQ3E+x1OGYRH3h2/aIV23R7FWEO5Ry0cdM3kLV9IrHLJfLhj DrsHmeN8hVtcKgWYBI4WJTW4r/86j3h8VPRS0mA3FtR/2TInKFHvDT73pD+Kgoa0GeUXA9y4p571 U4/Z6mtA8n2cZMuTGfFBnczKgf6MYziPWdHFDMfcBQ0n8zp0M4JjzMV8nkDYsJaFpVlZHkNHqQ3M twEqmZ4kytRpc1QPWzbJfhyvOBNP9wn1+EmZ/QZ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DLBAAAW0NvbnRlbnRfVHlwZXNdLnhtbFBLAQIUAAoA AAAAAIdO4kAAAAAAAAAAAAAAAAAGAAAAAAAAAAAAEAAAAK0DAABfcmVscy9QSwECFAAUAAAACACH TuJAihRmPNEAAACUAQAACwAAAAAAAAABACAAAADRAwAAX3JlbHMvLnJlbHNQSwECFAAKAAAAAACH TuJAAAAAAAAAAAAAAAAABAAAAAAAAAAAABAAAAAAAAAAZHJzL1BLAQIUABQAAAAIAIdO4kDApCIU 1QAAAAsBAAAPAAAAAAAAAAEAIAAAACIAAABkcnMvZG93bnJldi54bWxQSwECFAAUAAAACACHTuJA uN0SaF0CAACaBAAADgAAAAAAAAABACAAAAAkAQAAZHJzL2Uyb0RvYy54bWxQSwUGAAAAAAYABgBZ AQAA8wUAAAAA ">
                <v:fill on="t" focussize="0,0"/>
                <v:stroke on="f" weight="0.5pt"/>
                <v:imagedata o:title=""/>
                <o:lock v:ext="edit" aspectratio="f"/>
                <v:textbox>
                  <w:txbxContent>
                    <w:p/>
                  </w:txbxContent>
                </v:textbox>
              </v:shape>
            </w:pict>
          </mc:Fallback>
        </mc:AlternateContent>
      </w: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1662336;mso-width-relative:page;mso-height-relative:page;" filled="f" stroked="t" coordsize="21600,21600" o:gfxdata="UEsDBAoAAAAAAIdO4kAAAAAAAAAAAAAAAAAEAAAAZHJzL1BLAwQUAAAACACHTuJA9UyYONYAAAAG AQAADwAAAGRycy9kb3ducmV2LnhtbE2PzW7CMBCE75X6DtYi9VacUAmsNA4HKoRa9QJU6nWJt3Ha eB1i89O3rysOcNyZ0cy35fzsOnGkIbSeNeTjDARx7U3LjYaP7fJRgQgR2WDnmTT8UoB5dX9XYmH8 idd03MRGpBIOBWqwMfaFlKG25DCMfU+cvC8/OIzpHBppBjylctfJSZZNpcOW04LFnhaW6p/NwWnA l9U6fqrJ26x9te/f2+V+ZdVe64dRnj2DiHSO1zD84yd0qBLTzh/YBNFpSI9EDSqfgkiumj3lIHYX QValvMWv/gBQSwMEFAAAAAgAh07iQAv9ZafSAQAAzgMAAA4AAABkcnMvZTJvRG9jLnhtbK1TTW/b MAy9D9h/EHRf7AbpPow4PTTrLsUWYN0PUCTKFqAviGqc/PtRcppu3SWH+SBTEvnI90it747OsgMk NMH3/GbRcgZeBmX80PNfTw8fPnOGWXglbPDQ8xMgv9u8f7eeYgfLMAarIDEC8dhNsedjzrFrGpQj OIGLEMHTpQ7JiUzbNDQqiYnQnW2WbfuxmUJSMQUJiHS6nS/5GTFdAxi0NhK2QT478HlGTWBFJko4 moh8U6vVGmT+oTVCZrbnxDTXlZKQvS9rs1mLbkgijkaeSxDXlPCGkxPGU9IL1FZkwZ6T+QfKGZkC Bp0XMrhmJlIVIRY37Rttfo4iQuVCUmO8iI7/D1Z+P+wSM6rnK868cNTwR+OBfSnKTBE7crj3u3Te YdylQvOokyt/IsCOVc3TRU04Zibp8PZ2tWpbElq+3DWvgTFh/gbBsWL03FLOqp84PGKmZOT64lLy WM8mGtblp4onaOw0tZugXaTS0Q81GIM16sFYW0IwDft7m9hBlNbXr3Ai4L/cSpatwHH2q1fzUIwg 1FevWD5FEsXTW+ClBgeKMwv0dIpFgKLLwthrPCm19VRBkXUWslj7oE5V33pOba41nkeyzNGf+xr9 +gw3vwF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1TJg41gAAAAYBAAAPAAAAAAAAAAEAIAAAACIA AABkcnMvZG93bnJldi54bWxQSwECFAAUAAAACACHTuJAC/1lp9IBAADOAwAADgAAAAAAAAABACAA AAAlAQAAZHJzL2Uyb0RvYy54bWxQSwUGAAAAAAYABgBZAQAAaQ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Mg+1OdEBAADOAwAADgAAAGRycy9lMm9Eb2MueG1srVNNb9sw DL0P2H8QdF/sBu1WGHF6aNZdii3Ath/ASHQsQF8Q1Tj596PkNF27Sw/zQaYk8pHvkVrdHZ0VB0xk gu/l1aKVAr0K2vh9L3//evh0KwVl8Bps8NjLE5K8W3/8sJpih8swBqsxCQbx1E2xl2POsWsaUiM6 oEWI6PlyCMlB5m3aNzrBxOjONsu2/dxMIemYgkIiPt3Ml/KMmN4DGIbBKNwE9eTQ5xk1oYXMlGg0 keS6VjsMqPKPYSDMwvaSmea6chK2d2Vt1ivo9gniaNS5BHhPCW84OTCek16gNpBBPCXzD5QzKgUK Q16o4JqZSFWEWVy1b7T5OULEyoWlpngRnf4frPp+2CZhNE+CFB4cN/zReBS3RZkpUscO936bzjuK 21RoHofkyp8JiGNV83RRE49ZKD68ubm+blsWWj3fNS+BMVH+hsGJYvTScs6qHxweKXMydn12KXms FxOXuPxS8YDHbuB2M7SLXDr5fQ2mYI1+MNaWEEr73b1N4gCl9fUrnBj4lVvJsgEaZ796NQ/FiKC/ ei3yKbIont+CLDU41FJY5KdTLAaELoOx7/Hk1NZzBUXWWchi7YI+VX3rObe51ngeyTJHf+9r9Msz XP8B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cvOZqtUAAAAGAQAADwAAAAAAAAABACAAAAAiAAAA ZHJzL2Rvd25yZXYueG1sUEsBAhQAFAAAAAgAh07iQDIPtTnRAQAAzgMAAA4AAAAAAAAAAQAgAAAA JAEAAGRycy9lMm9Eb2MueG1sUEsFBgAAAAAGAAYAWQEAAGc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2024年12月</w:t>
      </w:r>
      <w:r>
        <w:rPr>
          <w:rFonts w:hint="eastAsia" w:ascii="方正仿宋简体" w:hAnsi="文星仿宋" w:eastAsia="方正仿宋简体" w:cs="方正仿宋简体"/>
          <w:b/>
          <w:sz w:val="28"/>
          <w:szCs w:val="28"/>
          <w:lang w:val="en-US" w:eastAsia="zh-CN" w:bidi="ar"/>
        </w:rPr>
        <w:t>28</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仿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文星标宋">
    <w:altName w:val="Arial Unicode MS"/>
    <w:panose1 w:val="00000000000000000000"/>
    <w:charset w:val="86"/>
    <w:family w:val="auto"/>
    <w:pitch w:val="default"/>
    <w:sig w:usb0="00000000" w:usb1="00000000" w:usb2="0000001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文星仿宋">
    <w:altName w:val="Arial Unicode MS"/>
    <w:panose1 w:val="00000000000000000000"/>
    <w:charset w:val="86"/>
    <w:family w:val="auto"/>
    <w:pitch w:val="default"/>
    <w:sig w:usb0="00000000" w:usb1="00000000" w:usb2="00000010"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docPartObj>
        <w:docPartGallery w:val="autotext"/>
      </w:docPartObj>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797699"/>
      <w:docPartObj>
        <w:docPartGallery w:val="autotext"/>
      </w:docPartObj>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1D23E"/>
    <w:multiLevelType w:val="singleLevel"/>
    <w:tmpl w:val="8F91D23E"/>
    <w:lvl w:ilvl="0" w:tentative="0">
      <w:start w:val="1"/>
      <w:numFmt w:val="chineseCounting"/>
      <w:suff w:val="space"/>
      <w:lvlText w:val="第%1条"/>
      <w:lvlJc w:val="left"/>
      <w:rPr>
        <w:rFonts w:hint="eastAsia" w:ascii="方正黑体简体" w:hAnsi="方正黑体简体" w:eastAsia="方正黑体简体" w:cs="方正黑体简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1" w:edit="readOnly" w:salt="BDSeKJ1ur8u3nN/vrqmZaw==" w:hash="emiiS6BpAil5YwOm09ycvyI6PEWza69LgFjV8if9nfgtmsVHgWY8wzwd8aWdQPPk3P02IolopiERk9s6u09a8Q=="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2C2DD0"/>
    <w:rsid w:val="003F5732"/>
    <w:rsid w:val="00407532"/>
    <w:rsid w:val="00477AA5"/>
    <w:rsid w:val="004E5E23"/>
    <w:rsid w:val="005648C1"/>
    <w:rsid w:val="006D18C2"/>
    <w:rsid w:val="00711F93"/>
    <w:rsid w:val="00774CDD"/>
    <w:rsid w:val="0085342D"/>
    <w:rsid w:val="00A13BCC"/>
    <w:rsid w:val="00A16746"/>
    <w:rsid w:val="00A813F9"/>
    <w:rsid w:val="00B73BF5"/>
    <w:rsid w:val="00B87D81"/>
    <w:rsid w:val="00D15811"/>
    <w:rsid w:val="00D85FDE"/>
    <w:rsid w:val="00E06F7C"/>
    <w:rsid w:val="00E64922"/>
    <w:rsid w:val="00E703C6"/>
    <w:rsid w:val="00EB221F"/>
    <w:rsid w:val="0A9F7C77"/>
    <w:rsid w:val="0B9D4876"/>
    <w:rsid w:val="201F70FC"/>
    <w:rsid w:val="23970CB1"/>
    <w:rsid w:val="254F3432"/>
    <w:rsid w:val="297E49AC"/>
    <w:rsid w:val="329A00D5"/>
    <w:rsid w:val="32D54349"/>
    <w:rsid w:val="33227618"/>
    <w:rsid w:val="37F70B39"/>
    <w:rsid w:val="3C7A2878"/>
    <w:rsid w:val="46A87344"/>
    <w:rsid w:val="515D04C9"/>
    <w:rsid w:val="5DBB2E6C"/>
    <w:rsid w:val="5E651CE3"/>
    <w:rsid w:val="6A9515D1"/>
    <w:rsid w:val="76910B3E"/>
    <w:rsid w:val="7795632B"/>
    <w:rsid w:val="7A3C5563"/>
    <w:rsid w:val="7C91582A"/>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1"/>
    <w:unhideWhenUsed/>
    <w:qFormat/>
    <w:uiPriority w:val="99"/>
    <w:pPr>
      <w:spacing w:after="120" w:line="480" w:lineRule="auto"/>
      <w:ind w:left="420" w:leftChars="200"/>
    </w:pPr>
    <w:rPr>
      <w:rFonts w:ascii="等线" w:hAnsi="等线" w:eastAsia="等线"/>
      <w:kern w:val="2"/>
      <w:sz w:val="21"/>
      <w:szCs w:val="2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1"/>
    <w:basedOn w:val="6"/>
    <w:link w:val="4"/>
    <w:qFormat/>
    <w:uiPriority w:val="0"/>
    <w:rPr>
      <w:rFonts w:hint="eastAsia" w:ascii="方正仿宋简体" w:hAnsi="方正仿宋简体" w:eastAsia="方正仿宋简体" w:cs="方正仿宋简体"/>
      <w:kern w:val="2"/>
      <w:sz w:val="18"/>
      <w:szCs w:val="18"/>
    </w:rPr>
  </w:style>
  <w:style w:type="character" w:customStyle="1" w:styleId="8">
    <w:name w:val="页脚 Char1"/>
    <w:basedOn w:val="6"/>
    <w:link w:val="3"/>
    <w:qFormat/>
    <w:uiPriority w:val="99"/>
    <w:rPr>
      <w:rFonts w:hint="eastAsia" w:ascii="方正仿宋简体" w:hAnsi="方正仿宋简体" w:eastAsia="方正仿宋简体" w:cs="方正仿宋简体"/>
      <w:kern w:val="2"/>
      <w:sz w:val="18"/>
      <w:szCs w:val="18"/>
    </w:rPr>
  </w:style>
  <w:style w:type="character" w:customStyle="1" w:styleId="9">
    <w:name w:val="页眉 Char"/>
    <w:basedOn w:val="6"/>
    <w:link w:val="3"/>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正文文本缩进 2 Char"/>
    <w:basedOn w:val="6"/>
    <w:link w:val="2"/>
    <w:qFormat/>
    <w:uiPriority w:val="99"/>
    <w:rPr>
      <w:rFonts w:ascii="等线" w:hAnsi="等线" w:eastAsia="等线"/>
      <w:kern w:val="2"/>
      <w:sz w:val="21"/>
      <w:szCs w:val="22"/>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numbering.xml" Type="http://schemas.openxmlformats.org/officeDocument/2006/relationships/numbering"/><Relationship Id="rId8"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1721</Words>
  <Characters>188</Characters>
  <Lines>1</Lines>
  <Paragraphs>3</Paragraphs>
  <TotalTime>9</TotalTime>
  <ScaleCrop>false</ScaleCrop>
  <LinksUpToDate>false</LinksUpToDate>
  <CharactersWithSpaces>1906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张盟</cp:lastModifiedBy>
  <dcterms:modified xsi:type="dcterms:W3CDTF">2024-12-30T02:18:43Z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