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D528C8">
      <w:pPr>
        <w:keepNext w:val="0"/>
        <w:keepLines w:val="0"/>
        <w:pageBreakBefore w:val="0"/>
        <w:widowControl w:val="0"/>
        <w:kinsoku/>
        <w:wordWrap/>
        <w:overflowPunct/>
        <w:topLinePunct w:val="0"/>
        <w:autoSpaceDE/>
        <w:autoSpaceDN/>
        <w:bidi w:val="0"/>
        <w:adjustRightInd/>
        <w:snapToGrid/>
        <w:spacing w:line="240" w:lineRule="auto"/>
        <w:ind w:right="-100" w:rightChars="-50"/>
        <w:jc w:val="both"/>
        <w:textAlignment w:val="auto"/>
        <w:rPr>
          <w:rFonts w:hint="eastAsia" w:ascii="方正小标宋简体" w:hAnsi="方正仿宋简体" w:eastAsia="方正小标宋简体" w:cs="方正仿宋简体"/>
          <w:b/>
          <w:sz w:val="44"/>
          <w:szCs w:val="44"/>
        </w:rPr>
      </w:pPr>
    </w:p>
    <w:p w14:paraId="4CC5D66A">
      <w:pPr>
        <w:keepNext w:val="0"/>
        <w:keepLines w:val="0"/>
        <w:pageBreakBefore w:val="0"/>
        <w:widowControl w:val="0"/>
        <w:kinsoku/>
        <w:wordWrap/>
        <w:overflowPunct/>
        <w:topLinePunct w:val="0"/>
        <w:autoSpaceDE/>
        <w:autoSpaceDN/>
        <w:bidi w:val="0"/>
        <w:adjustRightInd/>
        <w:snapToGrid/>
        <w:spacing w:line="240" w:lineRule="auto"/>
        <w:ind w:right="-100" w:rightChars="-50"/>
        <w:jc w:val="both"/>
        <w:textAlignment w:val="auto"/>
        <w:rPr>
          <w:rFonts w:hint="eastAsia" w:ascii="方正小标宋简体" w:hAnsi="方正仿宋简体" w:eastAsia="方正小标宋简体" w:cs="方正仿宋简体"/>
          <w:b/>
          <w:sz w:val="44"/>
          <w:szCs w:val="44"/>
        </w:rPr>
      </w:pPr>
    </w:p>
    <w:p w14:paraId="248B010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kern w:val="2"/>
          <w:sz w:val="44"/>
          <w:szCs w:val="44"/>
          <w:lang w:val="en-US" w:eastAsia="zh-CN"/>
        </w:rPr>
      </w:pPr>
      <w:r>
        <w:rPr>
          <w:rFonts w:hint="eastAsia" w:asciiTheme="minorEastAsia" w:hAnsiTheme="minorEastAsia" w:eastAsiaTheme="minorEastAsia" w:cstheme="minorEastAsia"/>
          <w:color w:val="auto"/>
          <w:kern w:val="2"/>
          <w:sz w:val="44"/>
          <w:szCs w:val="44"/>
          <w:lang w:val="en-US" w:eastAsia="zh-CN"/>
        </w:rPr>
        <w:t>济宁市人民防空警报设施建设管理办法</w:t>
      </w:r>
    </w:p>
    <w:p w14:paraId="4068EE4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_GB2312" w:hAnsi="楷体_GB2312" w:eastAsia="楷体_GB2312" w:cs="楷体_GB2312"/>
          <w:i w:val="0"/>
          <w:caps w:val="0"/>
          <w:color w:val="333333"/>
          <w:spacing w:val="0"/>
          <w:kern w:val="2"/>
          <w:sz w:val="32"/>
          <w:szCs w:val="32"/>
          <w:shd w:val="clear" w:fill="FFFFFF"/>
          <w:lang w:val="en-US" w:eastAsia="zh-CN"/>
        </w:rPr>
      </w:pPr>
      <w:r>
        <w:rPr>
          <w:rFonts w:hint="eastAsia" w:ascii="楷体_GB2312" w:hAnsi="楷体_GB2312" w:eastAsia="楷体_GB2312" w:cs="楷体_GB2312"/>
          <w:i w:val="0"/>
          <w:caps w:val="0"/>
          <w:color w:val="333333"/>
          <w:spacing w:val="0"/>
          <w:kern w:val="2"/>
          <w:sz w:val="32"/>
          <w:szCs w:val="32"/>
          <w:shd w:val="clear" w:fill="FFFFFF"/>
          <w:lang w:val="en-US" w:eastAsia="zh-CN"/>
        </w:rPr>
        <w:t>（2024年12月11日济宁市人民政府令第79号公布 自2025年2月1日起施行）</w:t>
      </w:r>
    </w:p>
    <w:p w14:paraId="179F1164">
      <w:pPr>
        <w:keepNext w:val="0"/>
        <w:keepLines w:val="0"/>
        <w:pageBreakBefore w:val="0"/>
        <w:widowControl w:val="0"/>
        <w:kinsoku/>
        <w:wordWrap/>
        <w:overflowPunct/>
        <w:topLinePunct w:val="0"/>
        <w:autoSpaceDE/>
        <w:autoSpaceDN/>
        <w:bidi w:val="0"/>
        <w:adjustRightInd/>
        <w:snapToGrid/>
        <w:spacing w:line="240" w:lineRule="auto"/>
        <w:ind w:right="-100" w:rightChars="-50"/>
        <w:jc w:val="both"/>
        <w:textAlignment w:val="auto"/>
        <w:rPr>
          <w:rFonts w:ascii="方正仿宋简体" w:hAnsi="方正仿宋简体" w:eastAsia="方正仿宋简体" w:cs="方正仿宋简体"/>
          <w:b/>
          <w:sz w:val="32"/>
          <w:szCs w:val="32"/>
        </w:rPr>
      </w:pPr>
    </w:p>
    <w:p w14:paraId="06E98A61">
      <w:pPr>
        <w:keepNext w:val="0"/>
        <w:keepLines w:val="0"/>
        <w:pageBreakBefore w:val="0"/>
        <w:widowControl w:val="0"/>
        <w:kinsoku/>
        <w:wordWrap/>
        <w:overflowPunct/>
        <w:topLinePunct w:val="0"/>
        <w:autoSpaceDE/>
        <w:autoSpaceDN/>
        <w:bidi w:val="0"/>
        <w:adjustRightInd/>
        <w:snapToGrid/>
        <w:spacing w:line="240" w:lineRule="auto"/>
        <w:ind w:right="-100" w:rightChars="-50" w:firstLine="640" w:firstLineChars="200"/>
        <w:textAlignment w:val="auto"/>
        <w:rPr>
          <w:rFonts w:hint="eastAsia" w:ascii="仿宋_GB2312" w:hAnsi="仿宋_GB2312" w:eastAsia="仿宋_GB2312" w:cs="仿宋_GB2312"/>
          <w:b w:val="0"/>
          <w:bCs/>
          <w:sz w:val="32"/>
          <w:szCs w:val="32"/>
        </w:rPr>
      </w:pPr>
      <w:r>
        <w:rPr>
          <w:rFonts w:hint="eastAsia" w:ascii="黑体" w:hAnsi="黑体" w:eastAsia="黑体" w:cs="黑体"/>
          <w:b w:val="0"/>
          <w:bCs/>
          <w:sz w:val="32"/>
          <w:szCs w:val="32"/>
        </w:rPr>
        <w:t xml:space="preserve">第一条  </w:t>
      </w:r>
      <w:r>
        <w:rPr>
          <w:rFonts w:hint="eastAsia" w:ascii="仿宋_GB2312" w:hAnsi="仿宋_GB2312" w:eastAsia="仿宋_GB2312" w:cs="仿宋_GB2312"/>
          <w:b w:val="0"/>
          <w:bCs/>
          <w:sz w:val="32"/>
          <w:szCs w:val="32"/>
        </w:rPr>
        <w:t>为了加强防空警报设施建设与管理，规范防空警报信号的传递和发放，保护人民生命财产安全，根据《中华人民共和国国防动员法》《中华人民共和国人民防空法》《山东省实施〈中华人民共和国人民防空法〉办法》等法律法规，结合本市实际，制定本办法。</w:t>
      </w:r>
    </w:p>
    <w:p w14:paraId="6D6292D4">
      <w:pPr>
        <w:keepNext w:val="0"/>
        <w:keepLines w:val="0"/>
        <w:pageBreakBefore w:val="0"/>
        <w:widowControl w:val="0"/>
        <w:kinsoku/>
        <w:wordWrap/>
        <w:overflowPunct/>
        <w:topLinePunct w:val="0"/>
        <w:autoSpaceDE/>
        <w:autoSpaceDN/>
        <w:bidi w:val="0"/>
        <w:adjustRightInd/>
        <w:snapToGrid/>
        <w:spacing w:line="240" w:lineRule="auto"/>
        <w:ind w:right="-100" w:rightChars="-50" w:firstLine="640" w:firstLineChars="200"/>
        <w:textAlignment w:val="auto"/>
        <w:rPr>
          <w:rFonts w:hint="eastAsia" w:ascii="仿宋_GB2312" w:hAnsi="仿宋_GB2312" w:eastAsia="仿宋_GB2312" w:cs="仿宋_GB2312"/>
          <w:b w:val="0"/>
          <w:bCs/>
          <w:sz w:val="32"/>
          <w:szCs w:val="32"/>
        </w:rPr>
      </w:pPr>
      <w:r>
        <w:rPr>
          <w:rFonts w:hint="eastAsia" w:ascii="黑体" w:hAnsi="黑体" w:eastAsia="黑体" w:cs="黑体"/>
          <w:b w:val="0"/>
          <w:bCs/>
          <w:sz w:val="32"/>
          <w:szCs w:val="32"/>
        </w:rPr>
        <w:t>第二条</w:t>
      </w:r>
      <w:r>
        <w:rPr>
          <w:rFonts w:hint="eastAsia" w:ascii="仿宋_GB2312" w:hAnsi="仿宋_GB2312" w:eastAsia="仿宋_GB2312" w:cs="仿宋_GB2312"/>
          <w:b w:val="0"/>
          <w:bCs/>
          <w:sz w:val="32"/>
          <w:szCs w:val="32"/>
        </w:rPr>
        <w:t xml:space="preserve">  本办法适用于本市行政区域内防空警报设施的规划、建设、维护和防空警报信号传递、发放及其相关管理活动。</w:t>
      </w:r>
    </w:p>
    <w:p w14:paraId="2693D3AD">
      <w:pPr>
        <w:keepNext w:val="0"/>
        <w:keepLines w:val="0"/>
        <w:pageBreakBefore w:val="0"/>
        <w:widowControl w:val="0"/>
        <w:kinsoku/>
        <w:wordWrap/>
        <w:overflowPunct/>
        <w:topLinePunct w:val="0"/>
        <w:autoSpaceDE/>
        <w:autoSpaceDN/>
        <w:bidi w:val="0"/>
        <w:adjustRightInd/>
        <w:snapToGrid/>
        <w:spacing w:line="240" w:lineRule="auto"/>
        <w:ind w:right="-100" w:rightChars="-50" w:firstLine="640" w:firstLineChars="200"/>
        <w:textAlignment w:val="auto"/>
        <w:rPr>
          <w:rFonts w:hint="eastAsia" w:ascii="仿宋_GB2312" w:hAnsi="仿宋_GB2312" w:eastAsia="仿宋_GB2312" w:cs="仿宋_GB2312"/>
          <w:b w:val="0"/>
          <w:bCs/>
          <w:sz w:val="32"/>
          <w:szCs w:val="32"/>
        </w:rPr>
      </w:pPr>
      <w:r>
        <w:rPr>
          <w:rFonts w:hint="eastAsia" w:ascii="黑体" w:hAnsi="黑体" w:eastAsia="黑体" w:cs="黑体"/>
          <w:b w:val="0"/>
          <w:bCs/>
          <w:sz w:val="32"/>
          <w:szCs w:val="32"/>
        </w:rPr>
        <w:t>第三条</w:t>
      </w:r>
      <w:r>
        <w:rPr>
          <w:rFonts w:hint="eastAsia" w:ascii="仿宋_GB2312" w:hAnsi="仿宋_GB2312" w:eastAsia="仿宋_GB2312" w:cs="仿宋_GB2312"/>
          <w:b w:val="0"/>
          <w:bCs/>
          <w:sz w:val="32"/>
          <w:szCs w:val="32"/>
        </w:rPr>
        <w:t xml:space="preserve">  本办法所称防空警报设施，是指专门用于传递、发放防空警报信号的设备设施，包括警报器及其支架、控制设备、控制线路、电源线路、后备电源、警报专用房等。</w:t>
      </w:r>
    </w:p>
    <w:p w14:paraId="359D083B">
      <w:pPr>
        <w:keepNext w:val="0"/>
        <w:keepLines w:val="0"/>
        <w:pageBreakBefore w:val="0"/>
        <w:widowControl w:val="0"/>
        <w:kinsoku/>
        <w:wordWrap/>
        <w:overflowPunct/>
        <w:topLinePunct w:val="0"/>
        <w:autoSpaceDE/>
        <w:autoSpaceDN/>
        <w:bidi w:val="0"/>
        <w:adjustRightInd/>
        <w:snapToGrid/>
        <w:spacing w:line="240" w:lineRule="auto"/>
        <w:ind w:right="-100" w:rightChars="-50"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本办法所称防空警报信号，是指防空警报设施发出的警示音响信号和警示信息，包括按照国家规定发出的警示音响信号及利用广播、电视、互联网、固定和移动通信等媒介发布的语音、文字、图像等警示信息。</w:t>
      </w:r>
    </w:p>
    <w:p w14:paraId="7630DA0F">
      <w:pPr>
        <w:keepNext w:val="0"/>
        <w:keepLines w:val="0"/>
        <w:pageBreakBefore w:val="0"/>
        <w:widowControl w:val="0"/>
        <w:kinsoku/>
        <w:wordWrap/>
        <w:overflowPunct/>
        <w:topLinePunct w:val="0"/>
        <w:autoSpaceDE/>
        <w:autoSpaceDN/>
        <w:bidi w:val="0"/>
        <w:adjustRightInd/>
        <w:snapToGrid/>
        <w:spacing w:line="240" w:lineRule="auto"/>
        <w:ind w:right="-100" w:rightChars="-50" w:firstLine="640" w:firstLineChars="200"/>
        <w:textAlignment w:val="auto"/>
        <w:rPr>
          <w:rFonts w:hint="eastAsia" w:ascii="仿宋_GB2312" w:hAnsi="仿宋_GB2312" w:eastAsia="仿宋_GB2312" w:cs="仿宋_GB2312"/>
          <w:b w:val="0"/>
          <w:bCs/>
          <w:sz w:val="32"/>
          <w:szCs w:val="32"/>
        </w:rPr>
      </w:pPr>
      <w:r>
        <w:rPr>
          <w:rFonts w:hint="eastAsia" w:ascii="黑体" w:hAnsi="黑体" w:eastAsia="黑体" w:cs="黑体"/>
          <w:b w:val="0"/>
          <w:bCs/>
          <w:sz w:val="32"/>
          <w:szCs w:val="32"/>
        </w:rPr>
        <w:t>第四条</w:t>
      </w:r>
      <w:r>
        <w:rPr>
          <w:rFonts w:hint="eastAsia" w:ascii="仿宋_GB2312" w:hAnsi="仿宋_GB2312" w:eastAsia="仿宋_GB2312" w:cs="仿宋_GB2312"/>
          <w:b w:val="0"/>
          <w:bCs/>
          <w:sz w:val="32"/>
          <w:szCs w:val="32"/>
        </w:rPr>
        <w:t xml:space="preserve">  防空警报设施建设</w:t>
      </w:r>
      <w:r>
        <w:rPr>
          <w:rFonts w:hint="default" w:ascii="仿宋_GB2312" w:hAnsi="仿宋_GB2312" w:eastAsia="仿宋_GB2312" w:cs="仿宋_GB2312"/>
          <w:b w:val="0"/>
          <w:bCs/>
          <w:sz w:val="32"/>
          <w:szCs w:val="32"/>
        </w:rPr>
        <w:t>管理</w:t>
      </w:r>
      <w:r>
        <w:rPr>
          <w:rFonts w:hint="eastAsia" w:ascii="仿宋_GB2312" w:hAnsi="仿宋_GB2312" w:eastAsia="仿宋_GB2312" w:cs="仿宋_GB2312"/>
          <w:b w:val="0"/>
          <w:bCs/>
          <w:sz w:val="32"/>
          <w:szCs w:val="32"/>
        </w:rPr>
        <w:t>实行长期准备、科学规划、合理布局、重点建设、平战结合的方针。</w:t>
      </w:r>
    </w:p>
    <w:p w14:paraId="2983A8CE">
      <w:pPr>
        <w:keepNext w:val="0"/>
        <w:keepLines w:val="0"/>
        <w:pageBreakBefore w:val="0"/>
        <w:widowControl w:val="0"/>
        <w:kinsoku/>
        <w:wordWrap/>
        <w:overflowPunct/>
        <w:topLinePunct w:val="0"/>
        <w:autoSpaceDE/>
        <w:autoSpaceDN/>
        <w:bidi w:val="0"/>
        <w:adjustRightInd/>
        <w:snapToGrid/>
        <w:spacing w:line="240" w:lineRule="auto"/>
        <w:ind w:right="-100" w:rightChars="-50" w:firstLine="640" w:firstLineChars="200"/>
        <w:textAlignment w:val="auto"/>
        <w:rPr>
          <w:rFonts w:hint="eastAsia" w:ascii="仿宋_GB2312" w:hAnsi="仿宋_GB2312" w:eastAsia="仿宋_GB2312" w:cs="仿宋_GB2312"/>
          <w:b w:val="0"/>
          <w:bCs/>
          <w:sz w:val="32"/>
          <w:szCs w:val="32"/>
        </w:rPr>
      </w:pPr>
      <w:r>
        <w:rPr>
          <w:rFonts w:hint="eastAsia" w:ascii="黑体" w:hAnsi="黑体" w:eastAsia="黑体" w:cs="黑体"/>
          <w:b w:val="0"/>
          <w:bCs/>
          <w:sz w:val="32"/>
          <w:szCs w:val="32"/>
        </w:rPr>
        <w:t>第五条</w:t>
      </w:r>
      <w:r>
        <w:rPr>
          <w:rFonts w:hint="eastAsia" w:ascii="仿宋_GB2312" w:hAnsi="仿宋_GB2312" w:eastAsia="仿宋_GB2312" w:cs="仿宋_GB2312"/>
          <w:b w:val="0"/>
          <w:bCs/>
          <w:sz w:val="32"/>
          <w:szCs w:val="32"/>
        </w:rPr>
        <w:t xml:space="preserve">  市、县（市、区）人民防空主管部门负责组织本行政区域内防空警报设施的建设、维护和防空警报信号的传递、发放。</w:t>
      </w:r>
    </w:p>
    <w:p w14:paraId="27E4BF1C">
      <w:pPr>
        <w:keepNext w:val="0"/>
        <w:keepLines w:val="0"/>
        <w:pageBreakBefore w:val="0"/>
        <w:widowControl w:val="0"/>
        <w:kinsoku/>
        <w:wordWrap/>
        <w:overflowPunct/>
        <w:topLinePunct w:val="0"/>
        <w:autoSpaceDE/>
        <w:autoSpaceDN/>
        <w:bidi w:val="0"/>
        <w:adjustRightInd/>
        <w:snapToGrid/>
        <w:spacing w:line="240" w:lineRule="auto"/>
        <w:ind w:right="-100" w:rightChars="-50"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发展改革、公安、财政、自然资源和规划、住房城乡建设、应急管理、广播电视、通信管理、无线电管理和电力等部门、单位，按照各自职责配合人民防空主管部门做好防空警报设施建设与管理相关工作。</w:t>
      </w:r>
    </w:p>
    <w:p w14:paraId="1CF9B4C5">
      <w:pPr>
        <w:keepNext w:val="0"/>
        <w:keepLines w:val="0"/>
        <w:pageBreakBefore w:val="0"/>
        <w:widowControl w:val="0"/>
        <w:kinsoku/>
        <w:wordWrap/>
        <w:overflowPunct/>
        <w:topLinePunct w:val="0"/>
        <w:autoSpaceDE/>
        <w:autoSpaceDN/>
        <w:bidi w:val="0"/>
        <w:adjustRightInd/>
        <w:snapToGrid/>
        <w:spacing w:line="240" w:lineRule="auto"/>
        <w:ind w:right="-100" w:rightChars="-50" w:firstLine="640" w:firstLineChars="200"/>
        <w:textAlignment w:val="auto"/>
        <w:rPr>
          <w:rFonts w:hint="eastAsia" w:ascii="仿宋_GB2312" w:hAnsi="仿宋_GB2312" w:eastAsia="仿宋_GB2312" w:cs="仿宋_GB2312"/>
          <w:b w:val="0"/>
          <w:bCs/>
          <w:sz w:val="32"/>
          <w:szCs w:val="32"/>
        </w:rPr>
      </w:pPr>
      <w:r>
        <w:rPr>
          <w:rFonts w:hint="eastAsia" w:ascii="黑体" w:hAnsi="黑体" w:eastAsia="黑体" w:cs="黑体"/>
          <w:b w:val="0"/>
          <w:bCs/>
          <w:sz w:val="32"/>
          <w:szCs w:val="32"/>
        </w:rPr>
        <w:t>第六条</w:t>
      </w:r>
      <w:r>
        <w:rPr>
          <w:rFonts w:hint="eastAsia" w:ascii="仿宋_GB2312" w:hAnsi="仿宋_GB2312" w:eastAsia="仿宋_GB2312" w:cs="仿宋_GB2312"/>
          <w:b w:val="0"/>
          <w:bCs/>
          <w:sz w:val="32"/>
          <w:szCs w:val="32"/>
        </w:rPr>
        <w:t xml:space="preserve">  防空警报设施建设、维护和防空警报信号的传递、发放所需经费由市、县（市、区）人民政府列入本级财政预算。</w:t>
      </w:r>
    </w:p>
    <w:p w14:paraId="6274FD92">
      <w:pPr>
        <w:keepNext w:val="0"/>
        <w:keepLines w:val="0"/>
        <w:pageBreakBefore w:val="0"/>
        <w:widowControl w:val="0"/>
        <w:kinsoku/>
        <w:wordWrap/>
        <w:overflowPunct/>
        <w:topLinePunct w:val="0"/>
        <w:autoSpaceDE/>
        <w:autoSpaceDN/>
        <w:bidi w:val="0"/>
        <w:adjustRightInd/>
        <w:snapToGrid/>
        <w:spacing w:line="240" w:lineRule="auto"/>
        <w:ind w:right="-100" w:rightChars="-50" w:firstLine="640" w:firstLineChars="200"/>
        <w:textAlignment w:val="auto"/>
        <w:rPr>
          <w:rFonts w:hint="eastAsia" w:ascii="仿宋_GB2312" w:hAnsi="仿宋_GB2312" w:eastAsia="仿宋_GB2312" w:cs="仿宋_GB2312"/>
          <w:b w:val="0"/>
          <w:bCs/>
          <w:sz w:val="32"/>
          <w:szCs w:val="32"/>
        </w:rPr>
      </w:pPr>
      <w:r>
        <w:rPr>
          <w:rFonts w:hint="eastAsia" w:ascii="黑体" w:hAnsi="黑体" w:eastAsia="黑体" w:cs="黑体"/>
          <w:b w:val="0"/>
          <w:bCs/>
          <w:sz w:val="32"/>
          <w:szCs w:val="32"/>
        </w:rPr>
        <w:t>第七条</w:t>
      </w:r>
      <w:r>
        <w:rPr>
          <w:rFonts w:hint="eastAsia" w:ascii="仿宋_GB2312" w:hAnsi="仿宋_GB2312" w:eastAsia="仿宋_GB2312" w:cs="仿宋_GB2312"/>
          <w:b w:val="0"/>
          <w:bCs/>
          <w:sz w:val="32"/>
          <w:szCs w:val="32"/>
        </w:rPr>
        <w:t xml:space="preserve">  防空警报设施属于国防战备和社会公益设施。任何单位和个人都应当履行保护义务，有权制止损害和破坏防空警报设施的行为并向县级以上人民防空主管部门举报。</w:t>
      </w:r>
    </w:p>
    <w:p w14:paraId="2C53E750">
      <w:pPr>
        <w:keepNext w:val="0"/>
        <w:keepLines w:val="0"/>
        <w:pageBreakBefore w:val="0"/>
        <w:widowControl w:val="0"/>
        <w:kinsoku/>
        <w:wordWrap/>
        <w:overflowPunct/>
        <w:topLinePunct w:val="0"/>
        <w:autoSpaceDE/>
        <w:autoSpaceDN/>
        <w:bidi w:val="0"/>
        <w:adjustRightInd/>
        <w:snapToGrid/>
        <w:spacing w:line="240" w:lineRule="auto"/>
        <w:ind w:right="-100" w:rightChars="-50" w:firstLine="640" w:firstLineChars="200"/>
        <w:textAlignment w:val="auto"/>
        <w:rPr>
          <w:rFonts w:hint="eastAsia" w:ascii="仿宋_GB2312" w:hAnsi="仿宋_GB2312" w:eastAsia="仿宋_GB2312" w:cs="仿宋_GB2312"/>
          <w:b w:val="0"/>
          <w:bCs/>
          <w:sz w:val="32"/>
          <w:szCs w:val="32"/>
        </w:rPr>
      </w:pPr>
      <w:r>
        <w:rPr>
          <w:rFonts w:hint="eastAsia" w:ascii="黑体" w:hAnsi="黑体" w:eastAsia="黑体" w:cs="黑体"/>
          <w:b w:val="0"/>
          <w:bCs/>
          <w:sz w:val="32"/>
          <w:szCs w:val="32"/>
        </w:rPr>
        <w:t>第八条</w:t>
      </w:r>
      <w:r>
        <w:rPr>
          <w:rFonts w:hint="eastAsia" w:ascii="仿宋_GB2312" w:hAnsi="仿宋_GB2312" w:eastAsia="仿宋_GB2312" w:cs="仿宋_GB2312"/>
          <w:b w:val="0"/>
          <w:bCs/>
          <w:sz w:val="32"/>
          <w:szCs w:val="32"/>
        </w:rPr>
        <w:t xml:space="preserve">  市、县（市、区）人民防空主管部门应当根据国土空间规划，结合经济发展水平、城市建设和防护要求，编制本行政区域防空警报设施建设规划，报省人民防空主管部门备案后组织实施。</w:t>
      </w:r>
    </w:p>
    <w:p w14:paraId="07A0C4F0">
      <w:pPr>
        <w:keepNext w:val="0"/>
        <w:keepLines w:val="0"/>
        <w:pageBreakBefore w:val="0"/>
        <w:widowControl w:val="0"/>
        <w:kinsoku/>
        <w:wordWrap/>
        <w:overflowPunct/>
        <w:topLinePunct w:val="0"/>
        <w:autoSpaceDE/>
        <w:autoSpaceDN/>
        <w:bidi w:val="0"/>
        <w:adjustRightInd/>
        <w:snapToGrid/>
        <w:spacing w:line="240" w:lineRule="auto"/>
        <w:ind w:right="-100" w:rightChars="-50" w:firstLine="640" w:firstLineChars="200"/>
        <w:textAlignment w:val="auto"/>
        <w:rPr>
          <w:rFonts w:hint="eastAsia" w:ascii="仿宋_GB2312" w:hAnsi="仿宋_GB2312" w:eastAsia="仿宋_GB2312" w:cs="仿宋_GB2312"/>
          <w:b w:val="0"/>
          <w:bCs/>
          <w:sz w:val="32"/>
          <w:szCs w:val="32"/>
        </w:rPr>
      </w:pPr>
      <w:r>
        <w:rPr>
          <w:rFonts w:hint="eastAsia" w:ascii="黑体" w:hAnsi="黑体" w:eastAsia="黑体" w:cs="黑体"/>
          <w:b w:val="0"/>
          <w:bCs/>
          <w:sz w:val="32"/>
          <w:szCs w:val="32"/>
        </w:rPr>
        <w:t>第九条</w:t>
      </w:r>
      <w:r>
        <w:rPr>
          <w:rFonts w:hint="eastAsia" w:ascii="仿宋_GB2312" w:hAnsi="仿宋_GB2312" w:eastAsia="仿宋_GB2312" w:cs="仿宋_GB2312"/>
          <w:b w:val="0"/>
          <w:bCs/>
          <w:sz w:val="32"/>
          <w:szCs w:val="32"/>
        </w:rPr>
        <w:t xml:space="preserve">  市、县（市、区）人民防空主管部门应当根据防空警报设施建设规划，科学制定防空警报设施建设布点方案，明确重要防护目标单位、经济发达镇防空警报设施设置点。</w:t>
      </w:r>
    </w:p>
    <w:p w14:paraId="45E9FF32">
      <w:pPr>
        <w:keepNext w:val="0"/>
        <w:keepLines w:val="0"/>
        <w:pageBreakBefore w:val="0"/>
        <w:widowControl w:val="0"/>
        <w:kinsoku/>
        <w:wordWrap/>
        <w:overflowPunct/>
        <w:topLinePunct w:val="0"/>
        <w:autoSpaceDE/>
        <w:autoSpaceDN/>
        <w:bidi w:val="0"/>
        <w:adjustRightInd/>
        <w:snapToGrid/>
        <w:spacing w:line="240" w:lineRule="auto"/>
        <w:ind w:right="-100" w:rightChars="-50"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防空警报设施设置应当符合国家技术规范要求，同等条件下优先选择设置在机关、人民团体、事业单位、学校、医院或者居民委员会</w:t>
      </w:r>
      <w:r>
        <w:rPr>
          <w:rFonts w:hint="default" w:ascii="仿宋_GB2312" w:hAnsi="仿宋_GB2312" w:eastAsia="仿宋_GB2312" w:cs="仿宋_GB2312"/>
          <w:b w:val="0"/>
          <w:bCs/>
          <w:sz w:val="32"/>
          <w:szCs w:val="32"/>
        </w:rPr>
        <w:t>、村民委员会</w:t>
      </w:r>
      <w:r>
        <w:rPr>
          <w:rFonts w:hint="eastAsia" w:ascii="仿宋_GB2312" w:hAnsi="仿宋_GB2312" w:eastAsia="仿宋_GB2312" w:cs="仿宋_GB2312"/>
          <w:b w:val="0"/>
          <w:bCs/>
          <w:sz w:val="32"/>
          <w:szCs w:val="32"/>
        </w:rPr>
        <w:t>等的公共建筑上。</w:t>
      </w:r>
    </w:p>
    <w:p w14:paraId="580F307E">
      <w:pPr>
        <w:keepNext w:val="0"/>
        <w:keepLines w:val="0"/>
        <w:pageBreakBefore w:val="0"/>
        <w:widowControl w:val="0"/>
        <w:kinsoku/>
        <w:wordWrap/>
        <w:overflowPunct/>
        <w:topLinePunct w:val="0"/>
        <w:autoSpaceDE/>
        <w:autoSpaceDN/>
        <w:bidi w:val="0"/>
        <w:adjustRightInd/>
        <w:snapToGrid/>
        <w:spacing w:line="240" w:lineRule="auto"/>
        <w:ind w:right="-100" w:rightChars="-50" w:firstLine="640" w:firstLineChars="200"/>
        <w:textAlignment w:val="auto"/>
        <w:rPr>
          <w:rFonts w:hint="eastAsia" w:ascii="仿宋_GB2312" w:hAnsi="仿宋_GB2312" w:eastAsia="仿宋_GB2312" w:cs="仿宋_GB2312"/>
          <w:b w:val="0"/>
          <w:bCs/>
          <w:sz w:val="32"/>
          <w:szCs w:val="32"/>
        </w:rPr>
      </w:pPr>
      <w:r>
        <w:rPr>
          <w:rFonts w:hint="eastAsia" w:ascii="黑体" w:hAnsi="黑体" w:eastAsia="黑体" w:cs="黑体"/>
          <w:b w:val="0"/>
          <w:bCs/>
          <w:sz w:val="32"/>
          <w:szCs w:val="32"/>
        </w:rPr>
        <w:t>第十条</w:t>
      </w:r>
      <w:r>
        <w:rPr>
          <w:rFonts w:hint="eastAsia" w:ascii="仿宋_GB2312" w:hAnsi="仿宋_GB2312" w:eastAsia="仿宋_GB2312" w:cs="仿宋_GB2312"/>
          <w:b w:val="0"/>
          <w:bCs/>
          <w:sz w:val="32"/>
          <w:szCs w:val="32"/>
        </w:rPr>
        <w:t xml:space="preserve">  防空警报设施建设规划和</w:t>
      </w:r>
      <w:r>
        <w:rPr>
          <w:rFonts w:hint="default" w:ascii="仿宋_GB2312" w:hAnsi="仿宋_GB2312" w:eastAsia="仿宋_GB2312" w:cs="仿宋_GB2312"/>
          <w:b w:val="0"/>
          <w:bCs/>
          <w:sz w:val="32"/>
          <w:szCs w:val="32"/>
        </w:rPr>
        <w:t>防空</w:t>
      </w:r>
      <w:r>
        <w:rPr>
          <w:rFonts w:hint="eastAsia" w:ascii="仿宋_GB2312" w:hAnsi="仿宋_GB2312" w:eastAsia="仿宋_GB2312" w:cs="仿宋_GB2312"/>
          <w:b w:val="0"/>
          <w:bCs/>
          <w:sz w:val="32"/>
          <w:szCs w:val="32"/>
        </w:rPr>
        <w:t>警报设施建设布点方案明确要求应当安装防空警报设施的民用建筑物，民用建筑物的建设单位或者管理单位应当提供安装防空警报设施的位置空间、电源、线路、管孔等基础条件。</w:t>
      </w:r>
    </w:p>
    <w:p w14:paraId="33FD742C">
      <w:pPr>
        <w:keepNext w:val="0"/>
        <w:keepLines w:val="0"/>
        <w:pageBreakBefore w:val="0"/>
        <w:widowControl w:val="0"/>
        <w:kinsoku/>
        <w:wordWrap/>
        <w:overflowPunct/>
        <w:topLinePunct w:val="0"/>
        <w:autoSpaceDE/>
        <w:autoSpaceDN/>
        <w:bidi w:val="0"/>
        <w:adjustRightInd/>
        <w:snapToGrid/>
        <w:spacing w:line="240" w:lineRule="auto"/>
        <w:ind w:right="-100" w:rightChars="-50"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鼓励建设单位根据防空警报设施建设需要在新建民用建筑物顶层修建防空警报设施专用房。</w:t>
      </w:r>
    </w:p>
    <w:p w14:paraId="124CB8D5">
      <w:pPr>
        <w:keepNext w:val="0"/>
        <w:keepLines w:val="0"/>
        <w:pageBreakBefore w:val="0"/>
        <w:widowControl w:val="0"/>
        <w:kinsoku/>
        <w:wordWrap/>
        <w:overflowPunct/>
        <w:topLinePunct w:val="0"/>
        <w:autoSpaceDE/>
        <w:autoSpaceDN/>
        <w:bidi w:val="0"/>
        <w:adjustRightInd/>
        <w:snapToGrid/>
        <w:spacing w:line="240" w:lineRule="auto"/>
        <w:ind w:right="-100" w:rightChars="-50" w:firstLine="640" w:firstLineChars="200"/>
        <w:textAlignment w:val="auto"/>
        <w:rPr>
          <w:rFonts w:hint="eastAsia" w:ascii="仿宋_GB2312" w:hAnsi="仿宋_GB2312" w:eastAsia="仿宋_GB2312" w:cs="仿宋_GB2312"/>
          <w:b w:val="0"/>
          <w:bCs/>
          <w:sz w:val="32"/>
          <w:szCs w:val="32"/>
        </w:rPr>
      </w:pPr>
      <w:r>
        <w:rPr>
          <w:rFonts w:hint="eastAsia" w:ascii="黑体" w:hAnsi="黑体" w:eastAsia="黑体" w:cs="黑体"/>
          <w:b w:val="0"/>
          <w:bCs/>
          <w:sz w:val="32"/>
          <w:szCs w:val="32"/>
        </w:rPr>
        <w:t>第十一条</w:t>
      </w:r>
      <w:r>
        <w:rPr>
          <w:rFonts w:hint="eastAsia" w:ascii="仿宋_GB2312" w:hAnsi="仿宋_GB2312" w:eastAsia="仿宋_GB2312" w:cs="仿宋_GB2312"/>
          <w:b w:val="0"/>
          <w:bCs/>
          <w:sz w:val="32"/>
          <w:szCs w:val="32"/>
        </w:rPr>
        <w:t xml:space="preserve">  鼓励在符合防空警报设施建设规划的民用通信塔</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站</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上安装防空警报设施。在民用通信塔（站）上安装防空警报设施的，市、县（市、区）人民防空主管部门应当</w:t>
      </w:r>
      <w:r>
        <w:rPr>
          <w:rFonts w:hint="default" w:ascii="仿宋_GB2312" w:hAnsi="仿宋_GB2312" w:eastAsia="仿宋_GB2312" w:cs="仿宋_GB2312"/>
          <w:b w:val="0"/>
          <w:bCs/>
          <w:sz w:val="32"/>
          <w:szCs w:val="32"/>
        </w:rPr>
        <w:t>在安装前</w:t>
      </w:r>
      <w:r>
        <w:rPr>
          <w:rFonts w:hint="eastAsia" w:ascii="仿宋_GB2312" w:hAnsi="仿宋_GB2312" w:eastAsia="仿宋_GB2312" w:cs="仿宋_GB2312"/>
          <w:b w:val="0"/>
          <w:bCs/>
          <w:sz w:val="32"/>
          <w:szCs w:val="32"/>
        </w:rPr>
        <w:t>告知通信运营单位，避免造成信号干扰。</w:t>
      </w:r>
    </w:p>
    <w:p w14:paraId="16617EF3">
      <w:pPr>
        <w:keepNext w:val="0"/>
        <w:keepLines w:val="0"/>
        <w:pageBreakBefore w:val="0"/>
        <w:widowControl w:val="0"/>
        <w:kinsoku/>
        <w:wordWrap/>
        <w:overflowPunct/>
        <w:topLinePunct w:val="0"/>
        <w:autoSpaceDE/>
        <w:autoSpaceDN/>
        <w:bidi w:val="0"/>
        <w:adjustRightInd/>
        <w:snapToGrid/>
        <w:spacing w:line="240" w:lineRule="auto"/>
        <w:ind w:right="-100" w:rightChars="-50" w:firstLine="640" w:firstLineChars="200"/>
        <w:textAlignment w:val="auto"/>
        <w:rPr>
          <w:rFonts w:hint="eastAsia" w:ascii="仿宋_GB2312" w:hAnsi="仿宋_GB2312" w:eastAsia="仿宋_GB2312" w:cs="仿宋_GB2312"/>
          <w:b w:val="0"/>
          <w:bCs/>
          <w:sz w:val="32"/>
          <w:szCs w:val="32"/>
        </w:rPr>
      </w:pPr>
      <w:r>
        <w:rPr>
          <w:rFonts w:hint="eastAsia" w:ascii="黑体" w:hAnsi="黑体" w:eastAsia="黑体" w:cs="黑体"/>
          <w:b w:val="0"/>
          <w:bCs/>
          <w:sz w:val="32"/>
          <w:szCs w:val="32"/>
        </w:rPr>
        <w:t>第十二条</w:t>
      </w:r>
      <w:r>
        <w:rPr>
          <w:rFonts w:hint="eastAsia" w:ascii="仿宋_GB2312" w:hAnsi="仿宋_GB2312" w:eastAsia="仿宋_GB2312" w:cs="仿宋_GB2312"/>
          <w:b w:val="0"/>
          <w:bCs/>
          <w:sz w:val="32"/>
          <w:szCs w:val="32"/>
        </w:rPr>
        <w:t xml:space="preserve">  防空警报设施由人民防空主管部门组织安装。有关单位或者个人应当为防空警报设施的安装提供方便，不得阻挠。</w:t>
      </w:r>
    </w:p>
    <w:p w14:paraId="264CAD9B">
      <w:pPr>
        <w:keepNext w:val="0"/>
        <w:keepLines w:val="0"/>
        <w:pageBreakBefore w:val="0"/>
        <w:widowControl w:val="0"/>
        <w:kinsoku/>
        <w:wordWrap/>
        <w:overflowPunct/>
        <w:topLinePunct w:val="0"/>
        <w:autoSpaceDE/>
        <w:autoSpaceDN/>
        <w:bidi w:val="0"/>
        <w:adjustRightInd/>
        <w:snapToGrid/>
        <w:spacing w:line="240" w:lineRule="auto"/>
        <w:ind w:right="-100" w:rightChars="-50"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人民防空主管部门应当在防空警报设施上设置警示标志。</w:t>
      </w:r>
    </w:p>
    <w:p w14:paraId="30E1FDCF">
      <w:pPr>
        <w:keepNext w:val="0"/>
        <w:keepLines w:val="0"/>
        <w:pageBreakBefore w:val="0"/>
        <w:widowControl w:val="0"/>
        <w:kinsoku/>
        <w:wordWrap/>
        <w:overflowPunct/>
        <w:topLinePunct w:val="0"/>
        <w:autoSpaceDE/>
        <w:autoSpaceDN/>
        <w:bidi w:val="0"/>
        <w:adjustRightInd/>
        <w:snapToGrid/>
        <w:spacing w:line="240" w:lineRule="auto"/>
        <w:ind w:right="-100" w:rightChars="-50" w:firstLine="640" w:firstLineChars="200"/>
        <w:textAlignment w:val="auto"/>
        <w:rPr>
          <w:rFonts w:hint="eastAsia" w:ascii="仿宋_GB2312" w:hAnsi="仿宋_GB2312" w:eastAsia="仿宋_GB2312" w:cs="仿宋_GB2312"/>
          <w:b w:val="0"/>
          <w:bCs/>
          <w:sz w:val="32"/>
          <w:szCs w:val="32"/>
        </w:rPr>
      </w:pPr>
      <w:r>
        <w:rPr>
          <w:rFonts w:hint="eastAsia" w:ascii="黑体" w:hAnsi="黑体" w:eastAsia="黑体" w:cs="黑体"/>
          <w:b w:val="0"/>
          <w:bCs/>
          <w:sz w:val="32"/>
          <w:szCs w:val="32"/>
        </w:rPr>
        <w:t>第十三条</w:t>
      </w:r>
      <w:r>
        <w:rPr>
          <w:rFonts w:hint="eastAsia" w:ascii="仿宋_GB2312" w:hAnsi="仿宋_GB2312" w:eastAsia="仿宋_GB2312" w:cs="仿宋_GB2312"/>
          <w:b w:val="0"/>
          <w:bCs/>
          <w:sz w:val="32"/>
          <w:szCs w:val="32"/>
        </w:rPr>
        <w:t xml:space="preserve">  人民防空主管部门应当与防空警报设施设置点所在单位签订维护管理协议，督促指导其开展防空警报设施维护管理工作。</w:t>
      </w:r>
    </w:p>
    <w:p w14:paraId="4F078FE8">
      <w:pPr>
        <w:keepNext w:val="0"/>
        <w:keepLines w:val="0"/>
        <w:pageBreakBefore w:val="0"/>
        <w:widowControl w:val="0"/>
        <w:kinsoku/>
        <w:wordWrap/>
        <w:overflowPunct/>
        <w:topLinePunct w:val="0"/>
        <w:autoSpaceDE/>
        <w:autoSpaceDN/>
        <w:bidi w:val="0"/>
        <w:adjustRightInd/>
        <w:snapToGrid/>
        <w:spacing w:line="240" w:lineRule="auto"/>
        <w:ind w:right="-100" w:rightChars="-50"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防空警报设施设置点所在单位负责做好日常维护管理工作。负责日常维护管理的人员应当保持稳定，确需变动的，应当做好交接工作。</w:t>
      </w:r>
    </w:p>
    <w:p w14:paraId="1FEDE455">
      <w:pPr>
        <w:keepNext w:val="0"/>
        <w:keepLines w:val="0"/>
        <w:pageBreakBefore w:val="0"/>
        <w:widowControl w:val="0"/>
        <w:kinsoku/>
        <w:wordWrap/>
        <w:overflowPunct/>
        <w:topLinePunct w:val="0"/>
        <w:autoSpaceDE/>
        <w:autoSpaceDN/>
        <w:bidi w:val="0"/>
        <w:adjustRightInd/>
        <w:snapToGrid/>
        <w:spacing w:line="240" w:lineRule="auto"/>
        <w:ind w:right="-100" w:rightChars="-50"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防空警报设施设置点所在单位发现</w:t>
      </w:r>
      <w:r>
        <w:rPr>
          <w:rFonts w:hint="default" w:ascii="仿宋_GB2312" w:hAnsi="仿宋_GB2312" w:eastAsia="仿宋_GB2312" w:cs="仿宋_GB2312"/>
          <w:b w:val="0"/>
          <w:bCs/>
          <w:sz w:val="32"/>
          <w:szCs w:val="32"/>
        </w:rPr>
        <w:t>防空</w:t>
      </w:r>
      <w:r>
        <w:rPr>
          <w:rFonts w:hint="eastAsia" w:ascii="仿宋_GB2312" w:hAnsi="仿宋_GB2312" w:eastAsia="仿宋_GB2312" w:cs="仿宋_GB2312"/>
          <w:b w:val="0"/>
          <w:bCs/>
          <w:sz w:val="32"/>
          <w:szCs w:val="32"/>
        </w:rPr>
        <w:t>警报设施丢失或者被拆卸、电力线路故障以及出现其他异常情况时，应当及时报告所属区域的人民防空主管部门。</w:t>
      </w:r>
    </w:p>
    <w:p w14:paraId="4B63A1E7">
      <w:pPr>
        <w:keepNext w:val="0"/>
        <w:keepLines w:val="0"/>
        <w:pageBreakBefore w:val="0"/>
        <w:widowControl w:val="0"/>
        <w:kinsoku/>
        <w:wordWrap/>
        <w:overflowPunct/>
        <w:topLinePunct w:val="0"/>
        <w:autoSpaceDE/>
        <w:autoSpaceDN/>
        <w:bidi w:val="0"/>
        <w:adjustRightInd/>
        <w:snapToGrid/>
        <w:spacing w:line="240" w:lineRule="auto"/>
        <w:ind w:right="-100" w:rightChars="-50" w:firstLine="640" w:firstLineChars="200"/>
        <w:textAlignment w:val="auto"/>
        <w:rPr>
          <w:rFonts w:hint="eastAsia" w:ascii="仿宋_GB2312" w:hAnsi="仿宋_GB2312" w:eastAsia="仿宋_GB2312" w:cs="仿宋_GB2312"/>
          <w:b w:val="0"/>
          <w:bCs/>
          <w:sz w:val="32"/>
          <w:szCs w:val="32"/>
        </w:rPr>
      </w:pPr>
      <w:r>
        <w:rPr>
          <w:rFonts w:hint="eastAsia" w:ascii="黑体" w:hAnsi="黑体" w:eastAsia="黑体" w:cs="黑体"/>
          <w:b w:val="0"/>
          <w:bCs/>
          <w:sz w:val="32"/>
          <w:szCs w:val="32"/>
        </w:rPr>
        <w:t>第十四条</w:t>
      </w:r>
      <w:r>
        <w:rPr>
          <w:rFonts w:hint="eastAsia" w:ascii="仿宋_GB2312" w:hAnsi="仿宋_GB2312" w:eastAsia="仿宋_GB2312" w:cs="仿宋_GB2312"/>
          <w:b w:val="0"/>
          <w:bCs/>
          <w:sz w:val="32"/>
          <w:szCs w:val="32"/>
        </w:rPr>
        <w:t xml:space="preserve">  人民防空主管部门根据工作需要，可以采取政府购买服务的方式将防空警报设施的技术检测、性能调试等技术性工作委托专业机构承担。</w:t>
      </w:r>
    </w:p>
    <w:p w14:paraId="77795B2E">
      <w:pPr>
        <w:keepNext w:val="0"/>
        <w:keepLines w:val="0"/>
        <w:pageBreakBefore w:val="0"/>
        <w:widowControl w:val="0"/>
        <w:kinsoku/>
        <w:wordWrap/>
        <w:overflowPunct/>
        <w:topLinePunct w:val="0"/>
        <w:autoSpaceDE/>
        <w:autoSpaceDN/>
        <w:bidi w:val="0"/>
        <w:adjustRightInd/>
        <w:snapToGrid/>
        <w:spacing w:line="240" w:lineRule="auto"/>
        <w:ind w:right="-100" w:rightChars="-50" w:firstLine="640" w:firstLineChars="200"/>
        <w:textAlignment w:val="auto"/>
        <w:rPr>
          <w:rFonts w:hint="eastAsia" w:ascii="仿宋_GB2312" w:hAnsi="仿宋_GB2312" w:eastAsia="仿宋_GB2312" w:cs="仿宋_GB2312"/>
          <w:b w:val="0"/>
          <w:bCs/>
          <w:sz w:val="32"/>
          <w:szCs w:val="32"/>
        </w:rPr>
      </w:pPr>
      <w:r>
        <w:rPr>
          <w:rFonts w:hint="eastAsia" w:ascii="黑体" w:hAnsi="黑体" w:eastAsia="黑体" w:cs="黑体"/>
          <w:b w:val="0"/>
          <w:bCs/>
          <w:sz w:val="32"/>
          <w:szCs w:val="32"/>
        </w:rPr>
        <w:t>第十五条</w:t>
      </w:r>
      <w:r>
        <w:rPr>
          <w:rFonts w:hint="eastAsia" w:ascii="仿宋_GB2312" w:hAnsi="仿宋_GB2312" w:eastAsia="仿宋_GB2312" w:cs="仿宋_GB2312"/>
          <w:b w:val="0"/>
          <w:bCs/>
          <w:sz w:val="32"/>
          <w:szCs w:val="32"/>
        </w:rPr>
        <w:t xml:space="preserve">  任何单位和个人不得擅自拆除、迁移防空警报设施，不得随意改动防空警报设施的部件和线路。确需拆除、迁移防空警报设施的，应当报经人民防空主管部门批准，按照相关规定在原址就近重建；在原址就近重建确有困难的，应当按照市、县（市、区）人民防空主管部门规定的时间和指定的地点重建。</w:t>
      </w:r>
    </w:p>
    <w:p w14:paraId="2D85B5FB">
      <w:pPr>
        <w:keepNext w:val="0"/>
        <w:keepLines w:val="0"/>
        <w:pageBreakBefore w:val="0"/>
        <w:widowControl w:val="0"/>
        <w:kinsoku/>
        <w:wordWrap/>
        <w:overflowPunct/>
        <w:topLinePunct w:val="0"/>
        <w:autoSpaceDE/>
        <w:autoSpaceDN/>
        <w:bidi w:val="0"/>
        <w:adjustRightInd/>
        <w:snapToGrid/>
        <w:spacing w:line="240" w:lineRule="auto"/>
        <w:ind w:right="-100" w:rightChars="-50"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工程建设单位或者个人在施工过程中应当采取防护措施，确保防空警报设施安全。施工中造成防空警报设施损毁的，建设单位或者个人应当赔偿。</w:t>
      </w:r>
    </w:p>
    <w:p w14:paraId="10B9B34C">
      <w:pPr>
        <w:keepNext w:val="0"/>
        <w:keepLines w:val="0"/>
        <w:pageBreakBefore w:val="0"/>
        <w:widowControl w:val="0"/>
        <w:kinsoku/>
        <w:wordWrap/>
        <w:overflowPunct/>
        <w:topLinePunct w:val="0"/>
        <w:autoSpaceDE/>
        <w:autoSpaceDN/>
        <w:bidi w:val="0"/>
        <w:adjustRightInd/>
        <w:snapToGrid/>
        <w:spacing w:line="240" w:lineRule="auto"/>
        <w:ind w:right="-100" w:rightChars="-50" w:firstLine="640" w:firstLineChars="200"/>
        <w:textAlignment w:val="auto"/>
        <w:rPr>
          <w:rFonts w:hint="eastAsia" w:ascii="仿宋_GB2312" w:hAnsi="仿宋_GB2312" w:eastAsia="仿宋_GB2312" w:cs="仿宋_GB2312"/>
          <w:b w:val="0"/>
          <w:bCs/>
          <w:sz w:val="32"/>
          <w:szCs w:val="32"/>
        </w:rPr>
      </w:pPr>
      <w:r>
        <w:rPr>
          <w:rFonts w:hint="eastAsia" w:ascii="黑体" w:hAnsi="黑体" w:eastAsia="黑体" w:cs="黑体"/>
          <w:b w:val="0"/>
          <w:bCs/>
          <w:sz w:val="32"/>
          <w:szCs w:val="32"/>
        </w:rPr>
        <w:t>第十六条</w:t>
      </w:r>
      <w:r>
        <w:rPr>
          <w:rFonts w:hint="eastAsia" w:ascii="仿宋_GB2312" w:hAnsi="仿宋_GB2312" w:eastAsia="仿宋_GB2312" w:cs="仿宋_GB2312"/>
          <w:b w:val="0"/>
          <w:bCs/>
          <w:sz w:val="32"/>
          <w:szCs w:val="32"/>
        </w:rPr>
        <w:t xml:space="preserve">  防空警报试鸣使用全国统一的防空警报信号，不得随意更改或者自行设定。防空警报专用频率和防空警报音响信号，任何单位或者个人不得占用、混同。</w:t>
      </w:r>
    </w:p>
    <w:p w14:paraId="0E88401E">
      <w:pPr>
        <w:keepNext w:val="0"/>
        <w:keepLines w:val="0"/>
        <w:pageBreakBefore w:val="0"/>
        <w:widowControl w:val="0"/>
        <w:kinsoku/>
        <w:wordWrap/>
        <w:overflowPunct/>
        <w:topLinePunct w:val="0"/>
        <w:autoSpaceDE/>
        <w:autoSpaceDN/>
        <w:bidi w:val="0"/>
        <w:adjustRightInd/>
        <w:snapToGrid/>
        <w:spacing w:line="240" w:lineRule="auto"/>
        <w:ind w:right="-100" w:rightChars="-50" w:firstLine="640" w:firstLineChars="200"/>
        <w:textAlignment w:val="auto"/>
        <w:rPr>
          <w:rFonts w:hint="eastAsia" w:ascii="仿宋_GB2312" w:hAnsi="仿宋_GB2312" w:eastAsia="仿宋_GB2312" w:cs="仿宋_GB2312"/>
          <w:b w:val="0"/>
          <w:bCs/>
          <w:sz w:val="32"/>
          <w:szCs w:val="32"/>
        </w:rPr>
      </w:pPr>
      <w:r>
        <w:rPr>
          <w:rFonts w:hint="eastAsia" w:ascii="黑体" w:hAnsi="黑体" w:eastAsia="黑体" w:cs="黑体"/>
          <w:b w:val="0"/>
          <w:bCs/>
          <w:sz w:val="32"/>
          <w:szCs w:val="32"/>
        </w:rPr>
        <w:t>第十七条</w:t>
      </w:r>
      <w:r>
        <w:rPr>
          <w:rFonts w:hint="eastAsia" w:ascii="仿宋_GB2312" w:hAnsi="仿宋_GB2312" w:eastAsia="仿宋_GB2312" w:cs="仿宋_GB2312"/>
          <w:b w:val="0"/>
          <w:bCs/>
          <w:sz w:val="32"/>
          <w:szCs w:val="32"/>
        </w:rPr>
        <w:t xml:space="preserve">  人民防空主管部门负责组织实施</w:t>
      </w:r>
      <w:r>
        <w:rPr>
          <w:rFonts w:hint="default" w:ascii="仿宋_GB2312" w:hAnsi="仿宋_GB2312" w:eastAsia="仿宋_GB2312" w:cs="仿宋_GB2312"/>
          <w:b w:val="0"/>
          <w:bCs/>
          <w:sz w:val="32"/>
          <w:szCs w:val="32"/>
        </w:rPr>
        <w:t>防空</w:t>
      </w:r>
      <w:r>
        <w:rPr>
          <w:rFonts w:hint="eastAsia" w:ascii="仿宋_GB2312" w:hAnsi="仿宋_GB2312" w:eastAsia="仿宋_GB2312" w:cs="仿宋_GB2312"/>
          <w:b w:val="0"/>
          <w:bCs/>
          <w:sz w:val="32"/>
          <w:szCs w:val="32"/>
        </w:rPr>
        <w:t>警报信号发放工作。新闻媒体、通信运营单位接到发放</w:t>
      </w:r>
      <w:r>
        <w:rPr>
          <w:rFonts w:hint="default" w:ascii="仿宋_GB2312" w:hAnsi="仿宋_GB2312" w:eastAsia="仿宋_GB2312" w:cs="仿宋_GB2312"/>
          <w:b w:val="0"/>
          <w:bCs/>
          <w:sz w:val="32"/>
          <w:szCs w:val="32"/>
        </w:rPr>
        <w:t>防空</w:t>
      </w:r>
      <w:r>
        <w:rPr>
          <w:rFonts w:hint="eastAsia" w:ascii="仿宋_GB2312" w:hAnsi="仿宋_GB2312" w:eastAsia="仿宋_GB2312" w:cs="仿宋_GB2312"/>
          <w:b w:val="0"/>
          <w:bCs/>
          <w:sz w:val="32"/>
          <w:szCs w:val="32"/>
        </w:rPr>
        <w:t>警报信号命令后，必须按照规定即时发放，不得延误。</w:t>
      </w:r>
    </w:p>
    <w:p w14:paraId="37C3527E">
      <w:pPr>
        <w:keepNext w:val="0"/>
        <w:keepLines w:val="0"/>
        <w:pageBreakBefore w:val="0"/>
        <w:widowControl w:val="0"/>
        <w:kinsoku/>
        <w:wordWrap/>
        <w:overflowPunct/>
        <w:topLinePunct w:val="0"/>
        <w:autoSpaceDE/>
        <w:autoSpaceDN/>
        <w:bidi w:val="0"/>
        <w:adjustRightInd/>
        <w:snapToGrid/>
        <w:spacing w:line="240" w:lineRule="auto"/>
        <w:ind w:right="-100" w:rightChars="-50"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战时防空警报信号的发放由战时人民防空指挥机构决定。</w:t>
      </w:r>
    </w:p>
    <w:p w14:paraId="681B9024">
      <w:pPr>
        <w:keepNext w:val="0"/>
        <w:keepLines w:val="0"/>
        <w:pageBreakBefore w:val="0"/>
        <w:widowControl w:val="0"/>
        <w:kinsoku/>
        <w:wordWrap/>
        <w:overflowPunct/>
        <w:topLinePunct w:val="0"/>
        <w:autoSpaceDE/>
        <w:autoSpaceDN/>
        <w:bidi w:val="0"/>
        <w:adjustRightInd/>
        <w:snapToGrid/>
        <w:spacing w:line="240" w:lineRule="auto"/>
        <w:ind w:right="-100" w:rightChars="-50" w:firstLine="640" w:firstLineChars="200"/>
        <w:textAlignment w:val="auto"/>
        <w:rPr>
          <w:rFonts w:hint="eastAsia" w:ascii="仿宋_GB2312" w:hAnsi="仿宋_GB2312" w:eastAsia="仿宋_GB2312" w:cs="仿宋_GB2312"/>
          <w:b w:val="0"/>
          <w:bCs/>
          <w:sz w:val="32"/>
          <w:szCs w:val="32"/>
        </w:rPr>
      </w:pPr>
      <w:r>
        <w:rPr>
          <w:rFonts w:hint="eastAsia" w:ascii="黑体" w:hAnsi="黑体" w:eastAsia="黑体" w:cs="黑体"/>
          <w:b w:val="0"/>
          <w:bCs/>
          <w:sz w:val="32"/>
          <w:szCs w:val="32"/>
        </w:rPr>
        <w:t>第十八条</w:t>
      </w:r>
      <w:r>
        <w:rPr>
          <w:rFonts w:hint="eastAsia" w:ascii="仿宋_GB2312" w:hAnsi="仿宋_GB2312" w:eastAsia="仿宋_GB2312" w:cs="仿宋_GB2312"/>
          <w:b w:val="0"/>
          <w:bCs/>
          <w:sz w:val="32"/>
          <w:szCs w:val="32"/>
        </w:rPr>
        <w:t xml:space="preserve">  市、县（市、区）人民政府根据需要组织防空警报试鸣，并在试鸣5日前发布公告。</w:t>
      </w:r>
    </w:p>
    <w:p w14:paraId="12917008">
      <w:pPr>
        <w:keepNext w:val="0"/>
        <w:keepLines w:val="0"/>
        <w:pageBreakBefore w:val="0"/>
        <w:widowControl w:val="0"/>
        <w:kinsoku/>
        <w:wordWrap/>
        <w:overflowPunct/>
        <w:topLinePunct w:val="0"/>
        <w:autoSpaceDE/>
        <w:autoSpaceDN/>
        <w:bidi w:val="0"/>
        <w:adjustRightInd/>
        <w:snapToGrid/>
        <w:spacing w:line="240" w:lineRule="auto"/>
        <w:ind w:right="-100" w:rightChars="-50"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防空警报试鸣方案由人民防空主管部门会同相关部门制定，报本级人民政府批准后组织实施。</w:t>
      </w:r>
    </w:p>
    <w:p w14:paraId="42BA6299">
      <w:pPr>
        <w:keepNext w:val="0"/>
        <w:keepLines w:val="0"/>
        <w:pageBreakBefore w:val="0"/>
        <w:widowControl w:val="0"/>
        <w:kinsoku/>
        <w:wordWrap/>
        <w:overflowPunct/>
        <w:topLinePunct w:val="0"/>
        <w:autoSpaceDE/>
        <w:autoSpaceDN/>
        <w:bidi w:val="0"/>
        <w:adjustRightInd/>
        <w:snapToGrid/>
        <w:spacing w:line="240" w:lineRule="auto"/>
        <w:ind w:right="-100" w:rightChars="-50" w:firstLine="640" w:firstLineChars="200"/>
        <w:textAlignment w:val="auto"/>
        <w:rPr>
          <w:rFonts w:hint="eastAsia" w:ascii="仿宋_GB2312" w:hAnsi="仿宋_GB2312" w:eastAsia="仿宋_GB2312" w:cs="仿宋_GB2312"/>
          <w:b w:val="0"/>
          <w:bCs/>
          <w:sz w:val="32"/>
          <w:szCs w:val="32"/>
        </w:rPr>
      </w:pPr>
      <w:r>
        <w:rPr>
          <w:rFonts w:hint="eastAsia" w:ascii="黑体" w:hAnsi="黑体" w:eastAsia="黑体" w:cs="黑体"/>
          <w:b w:val="0"/>
          <w:bCs/>
          <w:sz w:val="32"/>
          <w:szCs w:val="32"/>
        </w:rPr>
        <w:t>第十九条</w:t>
      </w:r>
      <w:r>
        <w:rPr>
          <w:rFonts w:hint="eastAsia" w:ascii="仿宋_GB2312" w:hAnsi="仿宋_GB2312" w:eastAsia="仿宋_GB2312" w:cs="仿宋_GB2312"/>
          <w:b w:val="0"/>
          <w:bCs/>
          <w:sz w:val="32"/>
          <w:szCs w:val="32"/>
        </w:rPr>
        <w:t xml:space="preserve">  平时发生重大自然灾害或者区域性重大突发事件鸣放灾情警报可以使用防空警报设施。灾情警报的发放按照有关部门和人民防空主管部门制定的预案执行。 </w:t>
      </w:r>
    </w:p>
    <w:p w14:paraId="449A75E2">
      <w:pPr>
        <w:keepNext w:val="0"/>
        <w:keepLines w:val="0"/>
        <w:pageBreakBefore w:val="0"/>
        <w:widowControl w:val="0"/>
        <w:kinsoku/>
        <w:wordWrap/>
        <w:overflowPunct/>
        <w:topLinePunct w:val="0"/>
        <w:autoSpaceDE/>
        <w:autoSpaceDN/>
        <w:bidi w:val="0"/>
        <w:adjustRightInd/>
        <w:snapToGrid/>
        <w:spacing w:line="240" w:lineRule="auto"/>
        <w:ind w:right="-100" w:rightChars="-50" w:firstLine="640" w:firstLineChars="200"/>
        <w:textAlignment w:val="auto"/>
        <w:rPr>
          <w:rFonts w:hint="eastAsia" w:ascii="仿宋_GB2312" w:hAnsi="仿宋_GB2312" w:eastAsia="仿宋_GB2312" w:cs="仿宋_GB2312"/>
          <w:b w:val="0"/>
          <w:bCs/>
          <w:sz w:val="32"/>
          <w:szCs w:val="32"/>
        </w:rPr>
      </w:pPr>
      <w:r>
        <w:rPr>
          <w:rFonts w:hint="eastAsia" w:ascii="黑体" w:hAnsi="黑体" w:eastAsia="黑体" w:cs="黑体"/>
          <w:b w:val="0"/>
          <w:bCs/>
          <w:sz w:val="32"/>
          <w:szCs w:val="32"/>
        </w:rPr>
        <w:t>第二十条</w:t>
      </w:r>
      <w:r>
        <w:rPr>
          <w:rFonts w:hint="eastAsia" w:ascii="仿宋_GB2312" w:hAnsi="仿宋_GB2312" w:eastAsia="仿宋_GB2312" w:cs="仿宋_GB2312"/>
          <w:b w:val="0"/>
          <w:bCs/>
          <w:sz w:val="32"/>
          <w:szCs w:val="32"/>
        </w:rPr>
        <w:t xml:space="preserve">  在安全保密的情况下，人民防空主管部门可以按照国家有关规定利用防空警报设施向社会提供公益服务。</w:t>
      </w:r>
    </w:p>
    <w:p w14:paraId="518DA720">
      <w:pPr>
        <w:keepNext w:val="0"/>
        <w:keepLines w:val="0"/>
        <w:pageBreakBefore w:val="0"/>
        <w:widowControl w:val="0"/>
        <w:kinsoku/>
        <w:wordWrap/>
        <w:overflowPunct/>
        <w:topLinePunct w:val="0"/>
        <w:autoSpaceDE/>
        <w:autoSpaceDN/>
        <w:bidi w:val="0"/>
        <w:adjustRightInd/>
        <w:snapToGrid/>
        <w:spacing w:line="240" w:lineRule="auto"/>
        <w:ind w:right="-100" w:rightChars="-50" w:firstLine="640" w:firstLineChars="200"/>
        <w:textAlignment w:val="auto"/>
        <w:rPr>
          <w:rFonts w:hint="eastAsia" w:ascii="仿宋_GB2312" w:hAnsi="仿宋_GB2312" w:eastAsia="仿宋_GB2312" w:cs="仿宋_GB2312"/>
          <w:b w:val="0"/>
          <w:bCs/>
          <w:sz w:val="32"/>
          <w:szCs w:val="32"/>
        </w:rPr>
      </w:pPr>
      <w:r>
        <w:rPr>
          <w:rFonts w:hint="eastAsia" w:ascii="黑体" w:hAnsi="黑体" w:eastAsia="黑体" w:cs="黑体"/>
          <w:b w:val="0"/>
          <w:bCs/>
          <w:sz w:val="32"/>
          <w:szCs w:val="32"/>
        </w:rPr>
        <w:t>第二十一条</w:t>
      </w:r>
      <w:r>
        <w:rPr>
          <w:rFonts w:hint="eastAsia" w:ascii="仿宋_GB2312" w:hAnsi="仿宋_GB2312" w:eastAsia="仿宋_GB2312" w:cs="仿宋_GB2312"/>
          <w:b w:val="0"/>
          <w:bCs/>
          <w:sz w:val="32"/>
          <w:szCs w:val="32"/>
        </w:rPr>
        <w:t xml:space="preserve">  违反本办法规定的行为，法律、法规、规章已有法律责任规定的，</w:t>
      </w:r>
      <w:r>
        <w:rPr>
          <w:rFonts w:hint="default" w:ascii="仿宋_GB2312" w:hAnsi="仿宋_GB2312" w:eastAsia="仿宋_GB2312" w:cs="仿宋_GB2312"/>
          <w:b w:val="0"/>
          <w:bCs/>
          <w:sz w:val="32"/>
          <w:szCs w:val="32"/>
        </w:rPr>
        <w:t>适用</w:t>
      </w:r>
      <w:r>
        <w:rPr>
          <w:rFonts w:hint="eastAsia" w:ascii="仿宋_GB2312" w:hAnsi="仿宋_GB2312" w:eastAsia="仿宋_GB2312" w:cs="仿宋_GB2312"/>
          <w:b w:val="0"/>
          <w:bCs/>
          <w:sz w:val="32"/>
          <w:szCs w:val="32"/>
        </w:rPr>
        <w:t>其规定。</w:t>
      </w:r>
    </w:p>
    <w:p w14:paraId="6C758F6B">
      <w:pPr>
        <w:keepNext w:val="0"/>
        <w:keepLines w:val="0"/>
        <w:pageBreakBefore w:val="0"/>
        <w:widowControl w:val="0"/>
        <w:kinsoku/>
        <w:wordWrap/>
        <w:overflowPunct/>
        <w:topLinePunct w:val="0"/>
        <w:autoSpaceDE/>
        <w:autoSpaceDN/>
        <w:bidi w:val="0"/>
        <w:adjustRightInd/>
        <w:snapToGrid/>
        <w:spacing w:line="240" w:lineRule="auto"/>
        <w:ind w:right="-100" w:rightChars="-50" w:firstLine="640" w:firstLineChars="200"/>
        <w:textAlignment w:val="auto"/>
        <w:rPr>
          <w:rFonts w:hint="eastAsia" w:ascii="方正仿宋简体" w:hAnsi="方正仿宋简体" w:eastAsia="方正仿宋简体" w:cs="方正仿宋简体"/>
          <w:b/>
          <w:sz w:val="32"/>
          <w:szCs w:val="32"/>
        </w:rPr>
      </w:pPr>
      <w:r>
        <w:rPr>
          <w:rFonts w:hint="eastAsia" w:ascii="黑体" w:hAnsi="黑体" w:eastAsia="黑体" w:cs="黑体"/>
          <w:b w:val="0"/>
          <w:bCs/>
          <w:sz w:val="32"/>
          <w:szCs w:val="32"/>
        </w:rPr>
        <w:t>第二十二条</w:t>
      </w:r>
      <w:r>
        <w:rPr>
          <w:rFonts w:hint="eastAsia" w:ascii="仿宋_GB2312" w:hAnsi="仿宋_GB2312" w:eastAsia="仿宋_GB2312" w:cs="仿宋_GB2312"/>
          <w:b w:val="0"/>
          <w:bCs/>
          <w:sz w:val="32"/>
          <w:szCs w:val="32"/>
        </w:rPr>
        <w:t xml:space="preserve">  本办法自</w:t>
      </w:r>
      <w:r>
        <w:rPr>
          <w:rFonts w:hint="default" w:ascii="仿宋_GB2312" w:hAnsi="仿宋_GB2312" w:eastAsia="仿宋_GB2312" w:cs="仿宋_GB2312"/>
          <w:b w:val="0"/>
          <w:bCs/>
          <w:sz w:val="32"/>
          <w:szCs w:val="32"/>
        </w:rPr>
        <w:t>2025</w:t>
      </w:r>
      <w:r>
        <w:rPr>
          <w:rFonts w:hint="eastAsia" w:ascii="仿宋_GB2312" w:hAnsi="仿宋_GB2312" w:eastAsia="仿宋_GB2312" w:cs="仿宋_GB2312"/>
          <w:b w:val="0"/>
          <w:bCs/>
          <w:sz w:val="32"/>
          <w:szCs w:val="32"/>
        </w:rPr>
        <w:t>年</w:t>
      </w:r>
      <w:r>
        <w:rPr>
          <w:rFonts w:hint="default" w:ascii="仿宋_GB2312" w:hAnsi="仿宋_GB2312" w:eastAsia="仿宋_GB2312" w:cs="仿宋_GB2312"/>
          <w:b w:val="0"/>
          <w:bCs/>
          <w:sz w:val="32"/>
          <w:szCs w:val="32"/>
        </w:rPr>
        <w:t>2</w:t>
      </w:r>
      <w:r>
        <w:rPr>
          <w:rFonts w:hint="eastAsia" w:ascii="仿宋_GB2312" w:hAnsi="仿宋_GB2312" w:eastAsia="仿宋_GB2312" w:cs="仿宋_GB2312"/>
          <w:b w:val="0"/>
          <w:bCs/>
          <w:sz w:val="32"/>
          <w:szCs w:val="32"/>
        </w:rPr>
        <w:t>月</w:t>
      </w:r>
      <w:r>
        <w:rPr>
          <w:rFonts w:hint="default" w:ascii="仿宋_GB2312" w:hAnsi="仿宋_GB2312" w:eastAsia="仿宋_GB2312" w:cs="仿宋_GB2312"/>
          <w:b w:val="0"/>
          <w:bCs/>
          <w:sz w:val="32"/>
          <w:szCs w:val="32"/>
        </w:rPr>
        <w:t>1</w:t>
      </w:r>
      <w:r>
        <w:rPr>
          <w:rFonts w:hint="eastAsia" w:ascii="仿宋_GB2312" w:hAnsi="仿宋_GB2312" w:eastAsia="仿宋_GB2312" w:cs="仿宋_GB2312"/>
          <w:b w:val="0"/>
          <w:bCs/>
          <w:sz w:val="32"/>
          <w:szCs w:val="32"/>
        </w:rPr>
        <w:t>日起施行。</w:t>
      </w:r>
    </w:p>
    <w:p w14:paraId="532E9F00">
      <w:pPr>
        <w:keepNext w:val="0"/>
        <w:keepLines w:val="0"/>
        <w:pageBreakBefore w:val="0"/>
        <w:widowControl w:val="0"/>
        <w:kinsoku/>
        <w:wordWrap/>
        <w:overflowPunct/>
        <w:topLinePunct w:val="0"/>
        <w:autoSpaceDE/>
        <w:autoSpaceDN/>
        <w:bidi w:val="0"/>
        <w:adjustRightInd/>
        <w:snapToGrid/>
        <w:spacing w:line="240" w:lineRule="auto"/>
        <w:textAlignment w:val="auto"/>
      </w:pPr>
    </w:p>
    <w:p w14:paraId="0F3C6E94">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bookmarkStart w:id="0" w:name="_GoBack"/>
      <w:bookmarkEnd w:id="0"/>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CD270A0-BDDB-47E0-9A38-E73F7CD67BE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9D33F968-0D2F-489F-8A25-127944C317E3}"/>
  </w:font>
  <w:font w:name="方正仿宋简体">
    <w:panose1 w:val="02000000000000000000"/>
    <w:charset w:val="86"/>
    <w:family w:val="script"/>
    <w:pitch w:val="default"/>
    <w:sig w:usb0="A00002BF" w:usb1="184F6CFA" w:usb2="00000012" w:usb3="00000000" w:csb0="00040001" w:csb1="00000000"/>
    <w:embedRegular r:id="rId3" w:fontKey="{7C0611DB-A78C-4CAC-867E-755C7252EAD2}"/>
  </w:font>
  <w:font w:name="楷体_GB2312">
    <w:altName w:val="楷体"/>
    <w:panose1 w:val="02010609030101010101"/>
    <w:charset w:val="86"/>
    <w:family w:val="auto"/>
    <w:pitch w:val="default"/>
    <w:sig w:usb0="00000000" w:usb1="00000000" w:usb2="00000000" w:usb3="00000000" w:csb0="00040000" w:csb1="00000000"/>
    <w:embedRegular r:id="rId4" w:fontKey="{E02A56F3-7E47-480F-9877-9EBEDB4EC63E}"/>
  </w:font>
  <w:font w:name="仿宋_GB2312">
    <w:altName w:val="仿宋"/>
    <w:panose1 w:val="02010609030101010101"/>
    <w:charset w:val="86"/>
    <w:family w:val="auto"/>
    <w:pitch w:val="default"/>
    <w:sig w:usb0="00000000" w:usb1="00000000" w:usb2="00000000" w:usb3="00000000" w:csb0="00040000" w:csb1="00000000"/>
    <w:embedRegular r:id="rId5" w:fontKey="{69BA691E-C39B-4DEC-BE0D-14ACF8FB8BE6}"/>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方正黑体简体">
    <w:altName w:val="微软雅黑"/>
    <w:panose1 w:val="02000000000000000000"/>
    <w:charset w:val="86"/>
    <w:family w:val="script"/>
    <w:pitch w:val="default"/>
    <w:sig w:usb0="00000000" w:usb1="00000000"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93CFBA">
    <w:pPr>
      <w:pStyle w:val="5"/>
      <w:ind w:left="4560"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035018">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57035018">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14:paraId="470BECE9">
    <w:pPr>
      <w:pStyle w:val="5"/>
      <w:wordWrap w:val="0"/>
      <w:ind w:left="4560"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济宁市</w:t>
    </w:r>
    <w:r>
      <w:rPr>
        <w:rFonts w:hint="eastAsia" w:ascii="宋体" w:hAnsi="宋体" w:cs="宋体"/>
        <w:b/>
        <w:bCs/>
        <w:color w:val="005192"/>
        <w:sz w:val="28"/>
        <w:szCs w:val="44"/>
        <w:lang w:val="en-US" w:eastAsia="zh-CN"/>
      </w:rPr>
      <w:t>人民</w:t>
    </w:r>
    <w:r>
      <w:rPr>
        <w:rFonts w:hint="eastAsia" w:ascii="宋体" w:hAnsi="宋体" w:eastAsia="宋体" w:cs="宋体"/>
        <w:b/>
        <w:bCs/>
        <w:color w:val="005192"/>
        <w:sz w:val="28"/>
        <w:szCs w:val="44"/>
        <w:lang w:val="en-US" w:eastAsia="zh-CN"/>
      </w:rPr>
      <w:t xml:space="preserve">政府发布     </w:t>
    </w:r>
  </w:p>
  <w:p w14:paraId="5A14E519">
    <w:pPr>
      <w:pStyle w:val="5"/>
      <w:wordWrap w:val="0"/>
      <w:ind w:left="4560"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90E48F">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14:paraId="4B8B561F">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eastAsia="zh-CN"/>
      </w:rPr>
      <w:t>济宁市</w:t>
    </w:r>
    <w:r>
      <w:rPr>
        <w:rFonts w:hint="eastAsia" w:ascii="宋体" w:hAnsi="宋体" w:cs="宋体"/>
        <w:b/>
        <w:bCs/>
        <w:color w:val="005192"/>
        <w:sz w:val="32"/>
        <w:lang w:eastAsia="zh-CN"/>
      </w:rPr>
      <w:t>人民</w:t>
    </w:r>
    <w:r>
      <w:rPr>
        <w:rFonts w:hint="eastAsia" w:ascii="宋体" w:hAnsi="宋体" w:eastAsia="宋体" w:cs="宋体"/>
        <w:b/>
        <w:bCs/>
        <w:color w:val="005192"/>
        <w:sz w:val="32"/>
        <w:lang w:eastAsia="zh-CN"/>
      </w:rPr>
      <w:t>政府</w:t>
    </w:r>
    <w:r>
      <w:rPr>
        <w:rFonts w:hint="eastAsia" w:ascii="宋体" w:hAnsi="宋体" w:eastAsia="宋体" w:cs="宋体"/>
        <w:b/>
        <w:bCs/>
        <w:color w:val="005192"/>
        <w:sz w:val="32"/>
        <w:szCs w:val="32"/>
        <w:lang w:val="en-US" w:eastAsia="zh-CN"/>
      </w:rPr>
      <w:t>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1E13164"/>
    <w:rsid w:val="04B679C3"/>
    <w:rsid w:val="080F63D8"/>
    <w:rsid w:val="09341458"/>
    <w:rsid w:val="0B0912D7"/>
    <w:rsid w:val="152D2DCA"/>
    <w:rsid w:val="1DEC284C"/>
    <w:rsid w:val="1E6523AC"/>
    <w:rsid w:val="22440422"/>
    <w:rsid w:val="31A15F24"/>
    <w:rsid w:val="395347B5"/>
    <w:rsid w:val="39A232A0"/>
    <w:rsid w:val="39E745AA"/>
    <w:rsid w:val="3B5A6BBB"/>
    <w:rsid w:val="3EDA13A6"/>
    <w:rsid w:val="42F058B7"/>
    <w:rsid w:val="436109F6"/>
    <w:rsid w:val="441A38D4"/>
    <w:rsid w:val="4BC77339"/>
    <w:rsid w:val="4C9236C5"/>
    <w:rsid w:val="505C172E"/>
    <w:rsid w:val="52F46F0B"/>
    <w:rsid w:val="53D8014D"/>
    <w:rsid w:val="55E064E0"/>
    <w:rsid w:val="572C6D10"/>
    <w:rsid w:val="5DC34279"/>
    <w:rsid w:val="608816D1"/>
    <w:rsid w:val="60EF4E7F"/>
    <w:rsid w:val="665233C1"/>
    <w:rsid w:val="6AD9688B"/>
    <w:rsid w:val="6D0E3F22"/>
    <w:rsid w:val="6EBFAB65"/>
    <w:rsid w:val="79DF7BD6"/>
    <w:rsid w:val="7C9011D9"/>
    <w:rsid w:val="7DC651C5"/>
    <w:rsid w:val="7FBE8912"/>
    <w:rsid w:val="7FCC2834"/>
    <w:rsid w:val="7FEBA4AF"/>
    <w:rsid w:val="BB4BAE07"/>
    <w:rsid w:val="BDFF84BE"/>
    <w:rsid w:val="FFFE1D6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qFormat/>
    <w:uiPriority w:val="0"/>
    <w:pPr>
      <w:spacing w:after="12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1638</Words>
  <Characters>1650</Characters>
  <Lines>1</Lines>
  <Paragraphs>1</Paragraphs>
  <TotalTime>2</TotalTime>
  <ScaleCrop>false</ScaleCrop>
  <LinksUpToDate>false</LinksUpToDate>
  <CharactersWithSpaces>1691</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2021-09-10T18:41:00Z</dcterms:created>
  <dc:creator>t</dc:creator>
  <cp:lastModifiedBy>王楷</cp:lastModifiedBy>
  <cp:lastPrinted>2021-10-27T19:30:00Z</cp:lastPrinted>
  <dcterms:modified xsi:type="dcterms:W3CDTF">2025-01-06T03:19:51Z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E831BF350264DACDCC4AE0657E9F530F</vt:lpwstr>
  </property>
  <property fmtid="{D5CDD505-2E9C-101B-9397-08002B2CF9AE}" pid="4" name="KSOTemplateDocerSaveRecord">
    <vt:lpwstr>eyJoZGlkIjoiYzA4NzJjZWEzMGExZGJhMGU5ZGRhM2M5ZTVlZWNhZmUiLCJ1c2VySWQiOiIyMTUxMzQ4MTAifQ==</vt:lpwstr>
  </property>
</Properties>
</file>