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济市监字[2022]30号</w:t>
      </w:r>
    </w:p>
    <w:p>
      <w:pPr>
        <w:spacing w:line="600" w:lineRule="exact"/>
        <w:ind w:firstLine="1320" w:firstLineChars="300"/>
        <w:jc w:val="both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ind w:firstLine="1320" w:firstLineChars="300"/>
        <w:jc w:val="both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济宁市市场监督管理局关于开展</w:t>
      </w:r>
    </w:p>
    <w:p>
      <w:pPr>
        <w:spacing w:line="600" w:lineRule="exact"/>
        <w:jc w:val="both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2022年“知识产权创新突破年”攻坚行动的通知</w:t>
      </w:r>
    </w:p>
    <w:p>
      <w:pPr>
        <w:spacing w:line="600" w:lineRule="exact"/>
        <w:jc w:val="both"/>
        <w:rPr>
          <w:rFonts w:hint="eastAsia" w:ascii="方正小标宋简体" w:eastAsia="方正小标宋简体"/>
          <w:b w:val="0"/>
          <w:bCs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各县（市、区）市场监督管理局，市局各相关科室、直属单位：</w:t>
      </w:r>
    </w:p>
    <w:p>
      <w:pPr>
        <w:spacing w:line="600" w:lineRule="exact"/>
        <w:jc w:val="both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现将《2022年“知识产权创新突破年”攻坚行动》印发给你们，请结合工作实际，认真贯彻落实。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济宁市市场监督管理局</w:t>
      </w: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2022年3月4日</w:t>
      </w:r>
    </w:p>
    <w:p>
      <w:pPr>
        <w:spacing w:line="600" w:lineRule="exact"/>
        <w:ind w:firstLine="1280" w:firstLineChars="4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（此件主动公开）</w:t>
      </w: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both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“知识产权创新突破年”攻坚行动</w:t>
      </w:r>
    </w:p>
    <w:p>
      <w:pPr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计划目标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2022年末，我市每万人口高价值发明专利拥有量增幅30%。落实市委经济工作会议精神“对231集群和优势产业集群中的每个产业，逐个建立专利导航”，2022年度完成“新一代信息技术”“新能源”“新材料”三个集群产业专利导航报告。多部门协同、跨地区联动、市县两级一体、社会多元共治的知识产权保护工作体系进一步完善，知识产权保护能力和水平整体提升，侵权易发多发现象得到有效遏制，知识产权保护社会满意度达到较高水平。知识产权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创造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运用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保护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全链条提升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省对市考核指标进入全省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位次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前3名。</w:t>
      </w:r>
    </w:p>
    <w:p>
      <w:pPr>
        <w:spacing w:line="600" w:lineRule="exact"/>
        <w:ind w:firstLine="640" w:firstLineChars="200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二、攻坚重点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1.精准发力高价值发明专利提升。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出台并实施高价值发明专利培育方案，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万人高价值发明专利拥有量增幅30%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围绕我市“231”集群产业，大力提升战略性新兴产业高价值发明专利的创造和储备；开展省级、市级高价值专利培育中心建设工作，推动形成至少5个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战略性新兴产业高价值专利组合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2.强力推进知识产权转移转化。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开展专利技术转移转化专项计划，拓宽知识产权转化运用供需渠道，全市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知识产权交易、许可额年均增幅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达到2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力提升知识产权质押融资。健全知识产权质押融资风险分担补偿机制办法，降低知识产权质押贷款风险，促进知识产权运用和金融融通。持续做好知识产权质押融资项目库建设，筛选知识产权工作基础扎实、信用良好的中小微企业入库，重点向各商业银行、担保机构推荐。开展知识产权质押融资“入园惠企”活动，推动知识产权质押融资引起银企对接，鼓励银行机构扩大知识产权质押贷款规模，落实省级、市级专利权质押贴息工作，合理降低中小微企业融资成本，知识产权质押融资件数和融资额增幅10%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/>
        <w:jc w:val="left"/>
        <w:textAlignment w:val="auto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3.持续实施专利导航工程。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2021年实施高端装备、高度化工、医药产业专利导航的基础上，2022年实施新一代信息技术、新能源、新材料产业专利导航；自2022年开始，分批分期开展“231”集群产业龙头企业、重点企业实施企业微导航。促进专利导航成果运用，围绕建链补链出台扶持政策，布局一批高价值专利，引导创新资源有效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4.大力开展地理标志保护运用促进工程。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分发挥济宁地域特色优势和资源禀赋，努力打造知识产权特色城市。出台并实施我市地理标志保护和运用专项规划，重点培育“鱼台大米”“金乡大蒜”“汶上芦花鸡”“嘉祥白菊花”。开展地理标志保护运用促进工程，提升地理标志质量效益，积极争创2家国家级、省级地理标志保护运用促进工程项目，助力乡村振兴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5.全面提升知识产权代理服务水平。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引进5家左右国内高端知识产权代理服务机构，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提升我市知识产权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高价值专利创造、专利技术转移转化、知识产权保护等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代理服务水平。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引导本地知识产权服务机构拓宽知识产权专业代理服务范围；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规范专利代理申请行为，严厉打击不以保护创新为目的的非正常专利申请行为，促进专利申请质量提升。持续推动专利业务本地化办理工作。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每年针对代理服务水平高、高价值专利授权数量多、产生的经济效益好的3家代理服务机构，开展市级知识产权服务品牌机构培育。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6.全力以赴争创中国（济宁）知识产权保护中心、梁山快速维权中心等。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我市高端装备、高端化工产业，开展知识产权快速协同保护，提高专利审查质量和效率，形成以知识产权快速审查、快速授权、快速确权、快速维权“一站式”服务为核心职能，专利导航与运营、知识产权宣传咨询服务为补充的知识产权快保护工作体系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7.扎实开展专利侵权纠纷行政裁决示范试点。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标准建设口审庭，开展执法人员培训，畅通投诉受理渠道，制定完善办案规范、优化办案流程，发挥行政裁决在解决专利侵权纠纷方面快速、灵活、主动性强的优势，着力提高专利侵权案件办案数量和质量，保护创新的积极性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8.加大知识产权违法行为打击力度。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关键领域、重点环节、重点群体，持续开展专项执法行动。对接省局知识产权侵权假冒线索智能检测系统，排查收集线上专利、商标侵权假冒行为线索，实施源头追溯，推动知识产权保护线上线下融合发展。引导重点电商平台实施《电子商务平台知识产权保护管理》国家标准，争取1-2家电商平台纳入省级知识产权保护规范化电商平台培育项目。依法归集知识产权信用信息，实施信用风险分级分类监管，提高监管效能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9.优化知识产权维权服务。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知识产权保护重点联系机制，扩大市级重点联系单位范围，建立知识产权专家库、志愿者队伍，构建重点企业知识产权保护便捷响应通道，高效、妥善解决企业有关知识产权保护的困难和问题。宣传落实《山东省企业知识产权保险扶持项目管理实施办法》，鼓励保险机构开展知识产权海外侵权保险业务，降低企业维权成本。组织开展我市企业海外知识产权保护状况调查，指导涉外企业开展知识产权风险预警和维权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10.加强地理标志、奥林匹克标志、特殊标志保护。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研分析我市地理标志保护现状，以金乡大蒜、鱼台大米等为重点创建国家、省级地理标志保护示范区。加强对地理标志重点产品实施保护，加大违法违规使用地理标志专用标志等行为整治力度。以批发市场、旅游景区为重点，强化对奥林匹克标志等知识产权保护，为北京冬奥会冬残奥会顺利举办营造良好氛围。</w:t>
      </w:r>
    </w:p>
    <w:p>
      <w:pPr>
        <w:spacing w:line="600" w:lineRule="exact"/>
        <w:ind w:firstLine="640" w:firstLineChars="200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/>
        <w:jc w:val="left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1.高位推动。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构建 “市县一体”知识产权工作领导小组工作体系，充分发挥各部门职能作用，形成工作合力。出台并实施全市知识产权“十四五”规划工作任务目标。强化督导考核，每月以市政府名义通报各县（市、区）高价值发明专利工作进展情况，列出全市前三位和后三位县(市、区)，及时总结推广县(市、区)好的工作经验和做法。建立高价值发明专利台账，减少高价值发明专利失效，注重做好七年以上发明专利维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/>
        <w:jc w:val="left"/>
        <w:textAlignment w:val="auto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2.政策拉动。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充分发挥资金和政策保障作用。协调市财政部门加大专利专项资金投入，争取2022年专利发展专项资金突破1000万元。出台知识产权激励政策，打通知识产权创造、运用、保护、管理和服务全链条。制定“高价值专利培育”“知识产权保护”“专利技术转移转化”等重点专项规划及推进措施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/>
        <w:jc w:val="left"/>
        <w:textAlignment w:val="auto"/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3.典型带动。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造知识产权重点县（市、区）、重点园区、重点企业。重点打造任城、邹城、曲阜、高新区等重点县（市、区）:充分发挥任城区、邹城市国家知识产权强县试点示范县(市、区)和曲阜市国家传统知识知识产权保护试点县(市、区)引领带动作用，指导高新区积极争创国家知识产权强县试点示范县(市、区)。重点培育梁山高端专用汽车产业园区、金乡新材料产业园区、邹城蘑菇小镇农业科技园区等重点园区。围绕“专精特新”企业、“小巨人”企业开展10家左右市级知识产权优势企业培育，积极推荐省级、国家级知识产权优势示范企业申报，全力推动我市知识产权强市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4.共治联动。</w:t>
      </w:r>
      <w:r>
        <w:rPr>
          <w:rFonts w:hint="eastAsia" w:ascii="Times New Roman" w:hAnsi="Times New Roman" w:eastAsia="方正仿宋简体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汇集政府、企业、金融机构、知识产权服务机构、社会大众等各方面力量，营造全社会创新创造浓厚氛围。压实战略领导小组各成员单位责任，加强部门协同建设，重点推动知识产权与工业、科技、金融、人才等深度融合。真正发挥企业作为知识产权主体作用，大力激发创新创造能力。加强与天津审协、省保护中心、济南代办处沟通协调，争取我市高价值发明专利的快速审查、快速授权。充分发挥国家知识产权局专利代办处济宁工作站作用，搭建起为创新主体商标、专利快速申请的绿色通道。提升知识产权服务机构水平，发挥专业人办专业事的作用，开展精准化、专业化服务。充分利用“4.26知识产权宣传周”、“中国专利周”活动，采取深入开展知识产权进企业、进单位、进社区、进学校等形式，通过拓展社交媒体、短视频、客户端等渠道加大知识产权宣传，特别是知识产权惠企政策宣传，提升全社会知识产权意识，营造全社会尊重知识产权的文化氛围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304" w:bottom="1418" w:left="1361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767140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b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t xml:space="preserve"> 73 -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1836558"/>
      <w:docPartObj>
        <w:docPartGallery w:val="autotext"/>
      </w:docPartObj>
    </w:sdtPr>
    <w:sdtEndPr>
      <w:rPr>
        <w:rFonts w:asciiTheme="majorEastAsia" w:hAnsiTheme="majorEastAsia" w:eastAsiaTheme="majorEastAsia"/>
        <w:b/>
        <w:sz w:val="28"/>
        <w:szCs w:val="28"/>
      </w:rPr>
    </w:sdtEndPr>
    <w:sdtContent>
      <w:p>
        <w:pPr>
          <w:pStyle w:val="2"/>
          <w:rPr>
            <w:rFonts w:asciiTheme="majorEastAsia" w:hAnsiTheme="majorEastAsia" w:eastAsiaTheme="majorEastAsia"/>
            <w:b/>
            <w:sz w:val="28"/>
            <w:szCs w:val="28"/>
          </w:rPr>
        </w:pP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b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t xml:space="preserve"> 72 -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66"/>
    <w:rsid w:val="000B7A4B"/>
    <w:rsid w:val="000C0BA9"/>
    <w:rsid w:val="00151D5D"/>
    <w:rsid w:val="00282EB2"/>
    <w:rsid w:val="003131BB"/>
    <w:rsid w:val="003D42CB"/>
    <w:rsid w:val="003F5986"/>
    <w:rsid w:val="00563FE6"/>
    <w:rsid w:val="00733E31"/>
    <w:rsid w:val="00795E5B"/>
    <w:rsid w:val="00842534"/>
    <w:rsid w:val="00880DE3"/>
    <w:rsid w:val="008A52D1"/>
    <w:rsid w:val="008C23BF"/>
    <w:rsid w:val="008E3A26"/>
    <w:rsid w:val="00974B1F"/>
    <w:rsid w:val="009A31BC"/>
    <w:rsid w:val="009C0E4A"/>
    <w:rsid w:val="00B27218"/>
    <w:rsid w:val="00B41C6E"/>
    <w:rsid w:val="00C82091"/>
    <w:rsid w:val="00CA3BB5"/>
    <w:rsid w:val="00D53C7D"/>
    <w:rsid w:val="00D87F28"/>
    <w:rsid w:val="00DB4C5C"/>
    <w:rsid w:val="00DD7E66"/>
    <w:rsid w:val="00DE119B"/>
    <w:rsid w:val="00EB3149"/>
    <w:rsid w:val="00FA0241"/>
    <w:rsid w:val="00FA53F0"/>
    <w:rsid w:val="00FC2907"/>
    <w:rsid w:val="01764E4A"/>
    <w:rsid w:val="0AEC1AF5"/>
    <w:rsid w:val="0CB27D38"/>
    <w:rsid w:val="16A916DA"/>
    <w:rsid w:val="19146622"/>
    <w:rsid w:val="19D0293E"/>
    <w:rsid w:val="1D1E6DC5"/>
    <w:rsid w:val="20FE2342"/>
    <w:rsid w:val="257D2CC8"/>
    <w:rsid w:val="2E30678A"/>
    <w:rsid w:val="2FFD1599"/>
    <w:rsid w:val="32D7744D"/>
    <w:rsid w:val="3667440A"/>
    <w:rsid w:val="3BDA0335"/>
    <w:rsid w:val="3CA3309F"/>
    <w:rsid w:val="3CD755C5"/>
    <w:rsid w:val="45D1497B"/>
    <w:rsid w:val="50714CCC"/>
    <w:rsid w:val="512D08FB"/>
    <w:rsid w:val="51510A20"/>
    <w:rsid w:val="53FB2980"/>
    <w:rsid w:val="58474967"/>
    <w:rsid w:val="60FF4F8F"/>
    <w:rsid w:val="62EA643E"/>
    <w:rsid w:val="650C6370"/>
    <w:rsid w:val="6703389F"/>
    <w:rsid w:val="69362A96"/>
    <w:rsid w:val="74483BE5"/>
    <w:rsid w:val="76415B58"/>
    <w:rsid w:val="7A3D722A"/>
    <w:rsid w:val="7BB2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3159</Words>
  <Characters>3234</Characters>
  <Lines>173</Lines>
  <Paragraphs>48</Paragraphs>
  <TotalTime>18</TotalTime>
  <ScaleCrop>false</ScaleCrop>
  <LinksUpToDate>false</LinksUpToDate>
  <CharactersWithSpaces>3290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2022-01-18T23:42:00Z</dcterms:created>
  <dc:creator>印刷所排版</dc:creator>
  <cp:lastModifiedBy>白眼木鱼</cp:lastModifiedBy>
  <cp:lastPrinted>2022-03-04T06:08:51Z</cp:lastPrinted>
  <dcterms:modified xsi:type="dcterms:W3CDTF">2022-03-04T06:30:14Z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0409DD7C0C83458CA521EA7F1157C370</vt:lpwstr>
  </property>
</Properties>
</file>