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C2D" w:rsidRDefault="00BE7C2D">
      <w:pPr>
        <w:spacing w:line="110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BE7C2D">
        <w:tc>
          <w:tcPr>
            <w:tcW w:w="8527" w:type="dxa"/>
            <w:shd w:val="clear" w:color="auto" w:fill="auto"/>
          </w:tcPr>
          <w:p w:rsidR="00BE7C2D" w:rsidRDefault="00D46B16">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BE7C2D" w:rsidRDefault="00BE7C2D">
      <w:pPr>
        <w:spacing w:line="300" w:lineRule="exact"/>
        <w:jc w:val="center"/>
      </w:pPr>
    </w:p>
    <w:p w:rsidR="00BE7C2D" w:rsidRDefault="00BE7C2D">
      <w:pPr>
        <w:spacing w:line="300" w:lineRule="exact"/>
        <w:jc w:val="center"/>
      </w:pPr>
    </w:p>
    <w:p w:rsidR="00BE7C2D" w:rsidRDefault="00D46B16">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济政字〔2022〕30号</w:t>
      </w:r>
    </w:p>
    <w:p w:rsidR="00BE7C2D" w:rsidRDefault="00D46B16">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7.95pt;height:0pt;width:430.85pt;z-index:251659264;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rsidR="00BE7C2D" w:rsidRDefault="00BE7C2D">
      <w:pPr>
        <w:spacing w:line="620" w:lineRule="exact"/>
        <w:jc w:val="center"/>
        <w:rPr>
          <w:rFonts w:ascii="方正小标宋简体" w:eastAsia="方正小标宋简体" w:hAnsi="文星仿宋" w:cs="方正小标宋简体"/>
          <w:b/>
          <w:color w:val="000000"/>
          <w:sz w:val="44"/>
          <w:szCs w:val="44"/>
        </w:rPr>
      </w:pPr>
    </w:p>
    <w:p w:rsidR="00BE7C2D" w:rsidRDefault="00D46B16">
      <w:pPr>
        <w:tabs>
          <w:tab w:val="left" w:pos="8730"/>
        </w:tabs>
        <w:spacing w:line="6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Pr>
          <w:rFonts w:ascii="方正小标宋简体" w:eastAsia="方正小标宋简体" w:hAnsi="方正小标宋简体" w:cs="方正小标宋简体" w:hint="eastAsia"/>
          <w:b/>
          <w:sz w:val="44"/>
          <w:szCs w:val="44"/>
          <w:lang w:bidi="ar"/>
        </w:rPr>
        <w:t>府</w:t>
      </w:r>
    </w:p>
    <w:p w:rsidR="00BE7C2D" w:rsidRDefault="00D46B16">
      <w:pPr>
        <w:spacing w:line="600" w:lineRule="exact"/>
        <w:jc w:val="center"/>
        <w:rPr>
          <w:rFonts w:ascii="方正小标宋简体" w:eastAsia="方正小标宋简体" w:hAnsi="文星仿宋" w:cs="方正小标宋简体"/>
          <w:b/>
          <w:sz w:val="44"/>
          <w:szCs w:val="44"/>
        </w:rPr>
      </w:pPr>
      <w:bookmarkStart w:id="2" w:name="BKsubject"/>
      <w:r>
        <w:rPr>
          <w:rFonts w:ascii="方正小标宋简体" w:eastAsia="方正小标宋简体" w:hAnsi="文星仿宋" w:cs="方正小标宋简体" w:hint="eastAsia"/>
          <w:b/>
          <w:sz w:val="44"/>
          <w:szCs w:val="44"/>
          <w:lang w:bidi="ar"/>
        </w:rPr>
        <w:t>关于印发济宁市采煤塌陷地综合治理规划（2021—2030年）的通知</w:t>
      </w:r>
      <w:bookmarkEnd w:id="2"/>
    </w:p>
    <w:p w:rsidR="00BE7C2D" w:rsidRDefault="00BE7C2D">
      <w:pPr>
        <w:pStyle w:val="ab"/>
        <w:spacing w:beforeAutospacing="0" w:afterAutospacing="0" w:line="500" w:lineRule="exact"/>
        <w:ind w:firstLineChars="200" w:firstLine="626"/>
        <w:rPr>
          <w:rFonts w:ascii="方正仿宋简体" w:eastAsia="方正仿宋简体" w:hAnsi="文星仿宋" w:cs="方正仿宋简体" w:hint="default"/>
          <w:b/>
          <w:color w:val="000000"/>
          <w:sz w:val="32"/>
          <w:szCs w:val="32"/>
        </w:rPr>
      </w:pPr>
    </w:p>
    <w:p w:rsidR="00BE7C2D" w:rsidRDefault="00D46B16">
      <w:pPr>
        <w:pStyle w:val="ab"/>
        <w:spacing w:beforeAutospacing="0" w:afterAutospacing="0" w:line="500" w:lineRule="exact"/>
        <w:rPr>
          <w:rFonts w:ascii="方正仿宋简体" w:eastAsia="方正仿宋简体" w:hAnsi="文星仿宋" w:cs="方正仿宋简体" w:hint="default"/>
          <w:b/>
          <w:color w:val="000000"/>
          <w:spacing w:val="-6"/>
          <w:sz w:val="32"/>
          <w:szCs w:val="32"/>
        </w:rPr>
      </w:pPr>
      <w:r>
        <w:rPr>
          <w:rFonts w:ascii="方正仿宋简体" w:eastAsia="方正仿宋简体" w:hAnsi="文星仿宋" w:cs="方正仿宋简体"/>
          <w:b/>
          <w:color w:val="000000"/>
          <w:spacing w:val="-6"/>
          <w:sz w:val="32"/>
          <w:szCs w:val="32"/>
        </w:rPr>
        <w:t>有关县（市、区）人民政府，济宁高新区、太白湖新区、济宁经济技术开发区管委会，市直有关部门、单位，有关矿业集团：</w:t>
      </w:r>
    </w:p>
    <w:p w:rsidR="00BE7C2D" w:rsidRDefault="00D46B16">
      <w:pPr>
        <w:pStyle w:val="ab"/>
        <w:spacing w:beforeAutospacing="0" w:afterAutospacing="0" w:line="500" w:lineRule="exact"/>
        <w:ind w:firstLineChars="200" w:firstLine="626"/>
        <w:rPr>
          <w:rFonts w:ascii="方正仿宋简体" w:eastAsia="方正仿宋简体" w:hAnsi="文星仿宋" w:cs="方正仿宋简体" w:hint="default"/>
          <w:b/>
          <w:color w:val="000000"/>
          <w:sz w:val="32"/>
          <w:szCs w:val="32"/>
        </w:rPr>
      </w:pPr>
      <w:r>
        <w:rPr>
          <w:rFonts w:ascii="方正仿宋简体" w:eastAsia="方正仿宋简体" w:hAnsi="文星仿宋" w:cs="方正仿宋简体"/>
          <w:b/>
          <w:color w:val="000000"/>
          <w:sz w:val="32"/>
          <w:szCs w:val="32"/>
        </w:rPr>
        <w:t>现将《济宁市采煤塌陷地综合治理规划（2021—2030年）》印发给你们，请认真贯彻执行。</w:t>
      </w:r>
    </w:p>
    <w:p w:rsidR="00BE7C2D" w:rsidRDefault="00BE7C2D">
      <w:pPr>
        <w:pStyle w:val="ab"/>
        <w:widowControl w:val="0"/>
        <w:spacing w:beforeAutospacing="0" w:afterAutospacing="0" w:line="520" w:lineRule="exact"/>
        <w:ind w:firstLineChars="200" w:firstLine="626"/>
        <w:jc w:val="both"/>
        <w:rPr>
          <w:rFonts w:ascii="方正仿宋简体" w:eastAsia="方正仿宋简体" w:hAnsi="Tahoma" w:cs="Tahoma" w:hint="default"/>
          <w:b/>
          <w:color w:val="000000"/>
          <w:sz w:val="32"/>
          <w:szCs w:val="32"/>
        </w:rPr>
      </w:pPr>
    </w:p>
    <w:p w:rsidR="00BE7C2D" w:rsidRDefault="00BE7C2D">
      <w:pPr>
        <w:pStyle w:val="ab"/>
        <w:widowControl w:val="0"/>
        <w:spacing w:beforeAutospacing="0" w:afterAutospacing="0" w:line="520" w:lineRule="exact"/>
        <w:ind w:firstLineChars="200" w:firstLine="626"/>
        <w:jc w:val="both"/>
        <w:rPr>
          <w:rFonts w:ascii="方正仿宋简体" w:eastAsia="方正仿宋简体" w:hAnsi="Tahoma" w:cs="Tahoma" w:hint="default"/>
          <w:b/>
          <w:color w:val="000000"/>
          <w:sz w:val="32"/>
          <w:szCs w:val="32"/>
        </w:rPr>
      </w:pPr>
    </w:p>
    <w:p w:rsidR="00BE7C2D" w:rsidRDefault="00BE7C2D">
      <w:pPr>
        <w:pStyle w:val="ab"/>
        <w:widowControl w:val="0"/>
        <w:spacing w:beforeAutospacing="0" w:afterAutospacing="0" w:line="520" w:lineRule="exact"/>
        <w:ind w:firstLineChars="200" w:firstLine="626"/>
        <w:jc w:val="both"/>
        <w:rPr>
          <w:rFonts w:ascii="方正仿宋简体" w:eastAsia="方正仿宋简体" w:hAnsi="Tahoma" w:cs="Tahoma" w:hint="default"/>
          <w:b/>
          <w:color w:val="000000"/>
          <w:sz w:val="32"/>
          <w:szCs w:val="32"/>
        </w:rPr>
      </w:pPr>
    </w:p>
    <w:p w:rsidR="00BE7C2D" w:rsidRDefault="00D46B16">
      <w:pPr>
        <w:pStyle w:val="ab"/>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济宁市人民政府 </w:t>
      </w:r>
    </w:p>
    <w:p w:rsidR="00BE7C2D" w:rsidRDefault="00D46B16">
      <w:pPr>
        <w:pStyle w:val="ab"/>
        <w:widowControl w:val="0"/>
        <w:spacing w:beforeAutospacing="0" w:afterAutospacing="0" w:line="600" w:lineRule="exact"/>
        <w:ind w:right="1092"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2022年6月25日  </w:t>
      </w:r>
    </w:p>
    <w:p w:rsidR="00BE7C2D" w:rsidRDefault="00D46B16">
      <w:pPr>
        <w:pStyle w:val="ab"/>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BE7C2D" w:rsidRDefault="00BE7C2D">
      <w:pPr>
        <w:spacing w:line="600" w:lineRule="exact"/>
        <w:jc w:val="center"/>
        <w:rPr>
          <w:rFonts w:ascii="方正小标宋简体" w:eastAsia="方正小标宋简体" w:hAnsi="文星仿宋" w:cs="方正小标宋简体"/>
          <w:b/>
          <w:sz w:val="44"/>
          <w:szCs w:val="44"/>
          <w:lang w:bidi="ar"/>
        </w:rPr>
      </w:pPr>
    </w:p>
    <w:p w:rsidR="00BE7C2D" w:rsidRDefault="00BE7C2D">
      <w:pPr>
        <w:spacing w:line="600" w:lineRule="exact"/>
        <w:jc w:val="center"/>
        <w:rPr>
          <w:rFonts w:ascii="方正小标宋简体" w:eastAsia="方正小标宋简体" w:hAnsi="文星仿宋" w:cs="方正小标宋简体"/>
          <w:b/>
          <w:sz w:val="44"/>
          <w:szCs w:val="44"/>
          <w:lang w:bidi="ar"/>
        </w:rPr>
      </w:pPr>
    </w:p>
    <w:p w:rsidR="00BE7C2D" w:rsidRDefault="00D46B16">
      <w:pPr>
        <w:spacing w:line="600" w:lineRule="exact"/>
        <w:jc w:val="center"/>
        <w:rPr>
          <w:rFonts w:ascii="方正小标宋简体" w:eastAsia="方正小标宋简体" w:hAnsi="文星仿宋" w:cs="方正小标宋简体"/>
          <w:b/>
          <w:sz w:val="44"/>
          <w:szCs w:val="44"/>
          <w:lang w:bidi="ar"/>
        </w:rPr>
      </w:pPr>
      <w:r>
        <w:rPr>
          <w:rFonts w:ascii="方正小标宋简体" w:eastAsia="方正小标宋简体" w:hAnsi="文星仿宋" w:cs="方正小标宋简体" w:hint="eastAsia"/>
          <w:b/>
          <w:sz w:val="44"/>
          <w:szCs w:val="44"/>
          <w:lang w:bidi="ar"/>
        </w:rPr>
        <w:t>济宁市采煤塌陷地综合治理规划</w:t>
      </w:r>
    </w:p>
    <w:p w:rsidR="00BE7C2D" w:rsidRDefault="00D46B16">
      <w:pPr>
        <w:spacing w:line="580" w:lineRule="exact"/>
        <w:jc w:val="center"/>
        <w:rPr>
          <w:rFonts w:ascii="方正仿宋简体" w:eastAsia="方正仿宋简体"/>
          <w:b/>
          <w:sz w:val="32"/>
          <w:szCs w:val="32"/>
        </w:rPr>
      </w:pPr>
      <w:r>
        <w:rPr>
          <w:rFonts w:ascii="方正小标宋简体" w:eastAsia="方正小标宋简体" w:hAnsi="文星仿宋" w:cs="方正小标宋简体" w:hint="eastAsia"/>
          <w:b/>
          <w:sz w:val="44"/>
          <w:szCs w:val="44"/>
          <w:lang w:bidi="ar"/>
        </w:rPr>
        <w:t>（2021—2030年）</w:t>
      </w:r>
    </w:p>
    <w:p w:rsidR="00BE7C2D" w:rsidRDefault="00BE7C2D">
      <w:pPr>
        <w:spacing w:line="580" w:lineRule="exact"/>
        <w:rPr>
          <w:rFonts w:ascii="方正仿宋简体" w:eastAsia="方正仿宋简体"/>
          <w:b/>
          <w:sz w:val="32"/>
          <w:szCs w:val="32"/>
        </w:rPr>
      </w:pPr>
    </w:p>
    <w:p w:rsidR="00BE7C2D" w:rsidRDefault="00D46B16">
      <w:pPr>
        <w:spacing w:line="580" w:lineRule="exact"/>
        <w:jc w:val="center"/>
        <w:rPr>
          <w:rFonts w:ascii="方正小标宋简体" w:eastAsia="方正小标宋简体"/>
          <w:b/>
          <w:sz w:val="32"/>
          <w:szCs w:val="32"/>
        </w:rPr>
      </w:pPr>
      <w:r>
        <w:rPr>
          <w:rFonts w:ascii="方正小标宋简体" w:eastAsia="方正小标宋简体" w:hint="eastAsia"/>
          <w:b/>
          <w:sz w:val="32"/>
          <w:szCs w:val="32"/>
        </w:rPr>
        <w:t>前    言</w:t>
      </w:r>
    </w:p>
    <w:p w:rsidR="00BE7C2D" w:rsidRDefault="00BE7C2D">
      <w:pPr>
        <w:spacing w:line="580" w:lineRule="exact"/>
        <w:rPr>
          <w:rFonts w:ascii="方正仿宋简体" w:eastAsia="方正仿宋简体"/>
          <w:b/>
          <w:sz w:val="32"/>
          <w:szCs w:val="32"/>
        </w:rPr>
      </w:pPr>
    </w:p>
    <w:p w:rsidR="00BE7C2D" w:rsidRDefault="00D46B16">
      <w:pPr>
        <w:spacing w:line="580" w:lineRule="exact"/>
        <w:ind w:firstLineChars="200" w:firstLine="626"/>
        <w:rPr>
          <w:rFonts w:ascii="方正仿宋简体" w:eastAsia="方正仿宋简体"/>
          <w:b/>
          <w:sz w:val="32"/>
          <w:szCs w:val="32"/>
        </w:rPr>
      </w:pPr>
      <w:r>
        <w:rPr>
          <w:rFonts w:ascii="方正仿宋简体" w:eastAsia="方正仿宋简体" w:hint="eastAsia"/>
          <w:b/>
          <w:sz w:val="32"/>
          <w:szCs w:val="32"/>
        </w:rPr>
        <w:t>在国家和省高质量发展背景下，2021—2025年，即国家“十四五”期间，是济宁全面实施生态文明建设、美丽宜居乡村建设、新旧动能转换、产业振兴、黄河流域和南四湖流域生态保护和高质量发展、保障和改善民生等重大战略的关键时期。抓住历史机遇，通过采煤塌陷地综合治理和土地的高效开发利用，将采煤塌陷包袱转为发展的生态和空间资源，服务全市相关战略的实施，具有十分重要的现实作用和长远意义。</w:t>
      </w:r>
    </w:p>
    <w:p w:rsidR="00BE7C2D" w:rsidRDefault="00D46B16">
      <w:pPr>
        <w:spacing w:line="540" w:lineRule="exact"/>
        <w:ind w:firstLineChars="200" w:firstLine="626"/>
        <w:rPr>
          <w:rFonts w:ascii="方正仿宋简体" w:eastAsia="方正仿宋简体"/>
          <w:b/>
          <w:sz w:val="32"/>
          <w:szCs w:val="32"/>
        </w:rPr>
      </w:pPr>
      <w:r>
        <w:rPr>
          <w:rFonts w:ascii="方正仿宋简体" w:eastAsia="方正仿宋简体" w:hint="eastAsia"/>
          <w:b/>
          <w:sz w:val="32"/>
          <w:szCs w:val="32"/>
        </w:rPr>
        <w:t>《济宁市采煤塌陷地治理规划（2016—2030年）》以服务全市“十三五”发展需求为重点，划定治理功能分区，制定2016—2020年全市采煤塌陷地治理布局、方向、目标和时序，促进了当时工作的有序推进。“十四五”伊始，济宁顺应形势，结合本地实际，制定了新的发展战略，坚持深化改革，迎接新挑战，巩固提升发展成果。基于发展和深化改革需要，市政府组织对《济宁市采煤塌陷地治理规划（2016—2030年）》进行修编，探索以采煤塌陷地综合治理服务耕地保护、生态保护和经济、社会协调可持续发展的有效路径。</w:t>
      </w:r>
    </w:p>
    <w:p w:rsidR="00BE7C2D" w:rsidRDefault="00D46B16">
      <w:pPr>
        <w:spacing w:line="560" w:lineRule="exact"/>
        <w:ind w:firstLineChars="200" w:firstLine="626"/>
        <w:rPr>
          <w:rFonts w:ascii="方正仿宋简体" w:eastAsia="方正仿宋简体"/>
          <w:b/>
          <w:sz w:val="32"/>
          <w:szCs w:val="32"/>
        </w:rPr>
      </w:pPr>
      <w:r>
        <w:rPr>
          <w:rFonts w:ascii="方正仿宋简体" w:eastAsia="方正仿宋简体" w:hint="eastAsia"/>
          <w:b/>
          <w:sz w:val="32"/>
          <w:szCs w:val="32"/>
        </w:rPr>
        <w:lastRenderedPageBreak/>
        <w:t>本次修编，主要依据《山东省采煤塌陷地综合治理专项规划（2019—2030年）》和《关于进一步做好采煤塌陷地治理等工作的实施意见》（鲁发改能源〔2021〕242号）要求，结合《山东省黄河流域生态保护和高质量发展规划》《南四湖流域生态保护修复专项规划（2021—2035年）》，按照当前发展形势，在国土空间规划管控理念下，从系统治理角度出发，对全市采煤塌陷地综合治理的方向、时序、布局和功能分区进行优化，为加快构建高质量发展和国土空间高效利用新格局奠定基础。</w:t>
      </w:r>
    </w:p>
    <w:p w:rsidR="00BE7C2D" w:rsidRDefault="00D46B16">
      <w:pPr>
        <w:spacing w:line="560" w:lineRule="exact"/>
        <w:ind w:firstLineChars="200" w:firstLine="626"/>
        <w:rPr>
          <w:rFonts w:ascii="方正仿宋简体" w:eastAsia="方正仿宋简体"/>
          <w:b/>
          <w:sz w:val="32"/>
          <w:szCs w:val="32"/>
        </w:rPr>
      </w:pPr>
      <w:r>
        <w:rPr>
          <w:rFonts w:ascii="方正仿宋简体" w:eastAsia="方正仿宋简体" w:hint="eastAsia"/>
          <w:b/>
          <w:sz w:val="32"/>
          <w:szCs w:val="32"/>
        </w:rPr>
        <w:t>本次规划修编以2020年为基期，2021—2025年为规划期，2026—2030年为展望期。</w:t>
      </w:r>
    </w:p>
    <w:p w:rsidR="00BE7C2D" w:rsidRDefault="00BE7C2D">
      <w:pPr>
        <w:spacing w:line="560" w:lineRule="exact"/>
        <w:ind w:firstLineChars="200" w:firstLine="626"/>
        <w:rPr>
          <w:rFonts w:ascii="方正仿宋简体" w:eastAsia="方正仿宋简体"/>
          <w:b/>
          <w:sz w:val="32"/>
          <w:szCs w:val="32"/>
        </w:rPr>
      </w:pPr>
    </w:p>
    <w:p w:rsidR="00BE7C2D" w:rsidRDefault="00D46B16">
      <w:pPr>
        <w:spacing w:line="540" w:lineRule="exact"/>
        <w:jc w:val="center"/>
        <w:rPr>
          <w:rFonts w:ascii="方正小标宋简体" w:eastAsia="方正小标宋简体"/>
          <w:b/>
          <w:sz w:val="32"/>
          <w:szCs w:val="32"/>
        </w:rPr>
      </w:pPr>
      <w:r>
        <w:rPr>
          <w:rFonts w:ascii="方正小标宋简体" w:eastAsia="方正小标宋简体" w:hint="eastAsia"/>
          <w:b/>
          <w:sz w:val="32"/>
          <w:szCs w:val="32"/>
        </w:rPr>
        <w:t>第一章  全市采煤塌陷地现状</w:t>
      </w:r>
    </w:p>
    <w:p w:rsidR="00BE7C2D" w:rsidRDefault="00BE7C2D">
      <w:pPr>
        <w:spacing w:line="540" w:lineRule="exact"/>
        <w:ind w:firstLineChars="200" w:firstLine="626"/>
        <w:jc w:val="center"/>
        <w:rPr>
          <w:rFonts w:ascii="方正小标宋简体" w:eastAsia="方正小标宋简体"/>
          <w:b/>
          <w:sz w:val="32"/>
          <w:szCs w:val="32"/>
        </w:rPr>
      </w:pPr>
    </w:p>
    <w:p w:rsidR="00BE7C2D" w:rsidRDefault="00D46B16">
      <w:pPr>
        <w:spacing w:line="540" w:lineRule="exact"/>
        <w:jc w:val="center"/>
        <w:rPr>
          <w:rFonts w:ascii="方正楷体简体" w:eastAsia="方正楷体简体"/>
          <w:b/>
          <w:sz w:val="32"/>
          <w:szCs w:val="32"/>
        </w:rPr>
      </w:pPr>
      <w:r>
        <w:rPr>
          <w:rFonts w:ascii="方正楷体简体" w:eastAsia="方正楷体简体" w:hint="eastAsia"/>
          <w:b/>
          <w:sz w:val="32"/>
          <w:szCs w:val="32"/>
        </w:rPr>
        <w:t>第一节  经济社会发展概况</w:t>
      </w:r>
    </w:p>
    <w:p w:rsidR="00BE7C2D" w:rsidRDefault="00BE7C2D">
      <w:pPr>
        <w:spacing w:line="540" w:lineRule="exact"/>
        <w:ind w:firstLineChars="200" w:firstLine="626"/>
        <w:rPr>
          <w:rFonts w:ascii="方正仿宋简体" w:eastAsia="方正仿宋简体"/>
          <w:b/>
          <w:sz w:val="32"/>
          <w:szCs w:val="32"/>
        </w:rPr>
      </w:pPr>
    </w:p>
    <w:p w:rsidR="00BE7C2D" w:rsidRDefault="00D46B16">
      <w:pPr>
        <w:spacing w:line="540" w:lineRule="exact"/>
        <w:ind w:firstLineChars="200" w:firstLine="626"/>
        <w:rPr>
          <w:rFonts w:ascii="方正仿宋简体" w:eastAsia="方正仿宋简体"/>
          <w:b/>
          <w:sz w:val="32"/>
          <w:szCs w:val="32"/>
        </w:rPr>
      </w:pPr>
      <w:r>
        <w:rPr>
          <w:rFonts w:ascii="方正仿宋简体" w:eastAsia="方正仿宋简体" w:hint="eastAsia"/>
          <w:b/>
          <w:sz w:val="32"/>
          <w:szCs w:val="32"/>
        </w:rPr>
        <w:t>济宁市下辖任城区、兖州区、曲阜市、邹城市、微山县等11个县（市、区）和济宁高新区、太白湖新区、济宁经济技术开发区3个功能区，总面积11187平方公里，常住人口835.79万人。</w:t>
      </w:r>
    </w:p>
    <w:p w:rsidR="00BE7C2D" w:rsidRDefault="00D46B16">
      <w:pPr>
        <w:spacing w:line="540" w:lineRule="exact"/>
        <w:ind w:firstLineChars="200" w:firstLine="626"/>
        <w:rPr>
          <w:rFonts w:ascii="方正仿宋简体" w:eastAsia="方正仿宋简体"/>
          <w:b/>
          <w:sz w:val="32"/>
          <w:szCs w:val="32"/>
        </w:rPr>
      </w:pPr>
      <w:r>
        <w:rPr>
          <w:rFonts w:ascii="方正仿宋简体" w:eastAsia="方正仿宋简体" w:hint="eastAsia"/>
          <w:b/>
          <w:sz w:val="32"/>
          <w:szCs w:val="32"/>
        </w:rPr>
        <w:t>2020年，全市实现地区生产总值（GDP）4494.31亿元，同比增长3.6%，三次产业比重为11.7：39.2：49.1；第一产业增加值525.61亿元、同比增长2.4%，第二产业增加值1761.69亿元、同比增长3.6%，第三产业增加值2207.01亿元、同比增长3.8%。全市人均可支配收入2.93万元，增长4.3%。</w:t>
      </w:r>
    </w:p>
    <w:p w:rsidR="00BE7C2D" w:rsidRDefault="00D46B16">
      <w:pPr>
        <w:spacing w:line="540" w:lineRule="exact"/>
        <w:ind w:firstLineChars="200" w:firstLine="626"/>
        <w:rPr>
          <w:rFonts w:ascii="方正仿宋简体" w:eastAsia="方正仿宋简体"/>
          <w:b/>
          <w:sz w:val="32"/>
          <w:szCs w:val="32"/>
        </w:rPr>
      </w:pPr>
      <w:r>
        <w:rPr>
          <w:rFonts w:ascii="方正仿宋简体" w:eastAsia="方正仿宋简体" w:hint="eastAsia"/>
          <w:b/>
          <w:sz w:val="32"/>
          <w:szCs w:val="32"/>
        </w:rPr>
        <w:t>济宁市是国家重点建设的14个亿吨级煤炭基地—鲁西煤炭基地的重要组成</w:t>
      </w:r>
      <w:r>
        <w:rPr>
          <w:rFonts w:ascii="方正仿宋简体" w:eastAsia="方正仿宋简体" w:hAnsi="方正仿宋简体" w:hint="eastAsia"/>
          <w:b/>
          <w:spacing w:val="-6"/>
          <w:sz w:val="32"/>
          <w:szCs w:val="32"/>
        </w:rPr>
        <w:t>部分，煤炭产量占全省的一半以上。煤炭及其上下游产业是济宁的支柱产业，在经济发展中占据重要地位。2020年，济宁煤炭企业主营业务收入约370亿元，</w:t>
      </w:r>
      <w:r>
        <w:rPr>
          <w:rFonts w:ascii="方正仿宋简体" w:eastAsia="方正仿宋简体" w:hint="eastAsia"/>
          <w:b/>
          <w:sz w:val="32"/>
          <w:szCs w:val="32"/>
        </w:rPr>
        <w:t>利润总额104亿元。</w:t>
      </w:r>
    </w:p>
    <w:p w:rsidR="00BE7C2D" w:rsidRDefault="00BE7C2D">
      <w:pPr>
        <w:spacing w:line="540" w:lineRule="exact"/>
        <w:ind w:firstLineChars="200" w:firstLine="626"/>
        <w:rPr>
          <w:rFonts w:ascii="方正仿宋简体" w:eastAsia="方正仿宋简体"/>
          <w:b/>
          <w:sz w:val="32"/>
          <w:szCs w:val="32"/>
        </w:rPr>
      </w:pPr>
    </w:p>
    <w:p w:rsidR="00BE7C2D" w:rsidRDefault="00D46B16">
      <w:pPr>
        <w:spacing w:line="540" w:lineRule="exact"/>
        <w:jc w:val="center"/>
        <w:rPr>
          <w:rFonts w:ascii="方正楷体简体" w:eastAsia="方正楷体简体"/>
          <w:b/>
          <w:sz w:val="32"/>
          <w:szCs w:val="32"/>
        </w:rPr>
      </w:pPr>
      <w:r>
        <w:rPr>
          <w:rFonts w:ascii="方正楷体简体" w:eastAsia="方正楷体简体" w:hint="eastAsia"/>
          <w:b/>
          <w:sz w:val="32"/>
          <w:szCs w:val="32"/>
        </w:rPr>
        <w:t>第二节  煤炭资源分布及开采情况</w:t>
      </w:r>
    </w:p>
    <w:p w:rsidR="00BE7C2D" w:rsidRDefault="00BE7C2D">
      <w:pPr>
        <w:spacing w:line="540" w:lineRule="exact"/>
        <w:ind w:firstLineChars="200" w:firstLine="626"/>
        <w:rPr>
          <w:rFonts w:ascii="方正仿宋简体" w:eastAsia="方正仿宋简体"/>
          <w:b/>
          <w:sz w:val="32"/>
          <w:szCs w:val="32"/>
        </w:rPr>
      </w:pPr>
    </w:p>
    <w:p w:rsidR="00BE7C2D" w:rsidRDefault="00D46B16">
      <w:pPr>
        <w:spacing w:line="540" w:lineRule="exact"/>
        <w:ind w:firstLineChars="200" w:firstLine="626"/>
        <w:rPr>
          <w:rFonts w:ascii="方正黑体简体" w:eastAsia="方正黑体简体"/>
          <w:b/>
          <w:sz w:val="32"/>
          <w:szCs w:val="32"/>
        </w:rPr>
      </w:pPr>
      <w:r>
        <w:rPr>
          <w:rFonts w:ascii="方正黑体简体" w:eastAsia="方正黑体简体" w:hint="eastAsia"/>
          <w:b/>
          <w:sz w:val="32"/>
          <w:szCs w:val="32"/>
        </w:rPr>
        <w:t>一、煤炭资源分布情况</w:t>
      </w:r>
    </w:p>
    <w:p w:rsidR="00BE7C2D" w:rsidRDefault="00D46B16">
      <w:pPr>
        <w:spacing w:line="540" w:lineRule="exact"/>
        <w:ind w:firstLineChars="200" w:firstLine="626"/>
        <w:rPr>
          <w:rFonts w:ascii="方正仿宋简体" w:eastAsia="方正仿宋简体"/>
          <w:b/>
          <w:sz w:val="32"/>
          <w:szCs w:val="32"/>
        </w:rPr>
      </w:pPr>
      <w:r>
        <w:rPr>
          <w:rFonts w:ascii="方正仿宋简体" w:eastAsia="方正仿宋简体" w:hint="eastAsia"/>
          <w:b/>
          <w:sz w:val="32"/>
          <w:szCs w:val="32"/>
        </w:rPr>
        <w:t>济宁市煤炭资源主要分布在兖州煤田、济宁煤田、滕北煤田、滕南煤田、丰沛煤田、金乡煤田、巨野煤田和宁汶煤田等区域，涉及任城区、兖州区、济宁高新区、太白湖新区、邹城市、曲阜市、汶上县、微山县、嘉祥县、金乡县、鱼台县、</w:t>
      </w:r>
      <w:r>
        <w:rPr>
          <w:rFonts w:ascii="方正仿宋简体" w:eastAsia="方正仿宋简体"/>
          <w:b/>
          <w:sz w:val="32"/>
          <w:szCs w:val="32"/>
        </w:rPr>
        <w:t>梁山县</w:t>
      </w:r>
      <w:r>
        <w:rPr>
          <w:rFonts w:ascii="方正仿宋简体" w:eastAsia="方正仿宋简体" w:hint="eastAsia"/>
          <w:b/>
          <w:sz w:val="32"/>
          <w:szCs w:val="32"/>
        </w:rPr>
        <w:t>。可采煤层主要赋存于古生代石炭—二叠系的太原组和山西组，大部分主采煤层厚度在3—8米之间，属于厚煤层，煤层产状总体稳定。</w:t>
      </w:r>
    </w:p>
    <w:p w:rsidR="00BE7C2D" w:rsidRDefault="00D46B16">
      <w:pPr>
        <w:spacing w:line="540" w:lineRule="exact"/>
        <w:ind w:firstLineChars="200" w:firstLine="626"/>
        <w:rPr>
          <w:rFonts w:ascii="方正黑体简体" w:eastAsia="方正黑体简体"/>
          <w:b/>
          <w:sz w:val="32"/>
          <w:szCs w:val="32"/>
        </w:rPr>
      </w:pPr>
      <w:r>
        <w:rPr>
          <w:rFonts w:ascii="方正黑体简体" w:eastAsia="方正黑体简体" w:hint="eastAsia"/>
          <w:b/>
          <w:sz w:val="32"/>
          <w:szCs w:val="32"/>
        </w:rPr>
        <w:t>二、煤炭开发利用情况</w:t>
      </w:r>
    </w:p>
    <w:p w:rsidR="00BE7C2D" w:rsidRDefault="00D46B16">
      <w:pPr>
        <w:spacing w:line="540" w:lineRule="exact"/>
        <w:ind w:firstLineChars="200" w:firstLine="626"/>
        <w:rPr>
          <w:rFonts w:ascii="方正仿宋简体" w:eastAsia="方正仿宋简体"/>
          <w:b/>
          <w:sz w:val="32"/>
          <w:szCs w:val="32"/>
        </w:rPr>
      </w:pPr>
      <w:r>
        <w:rPr>
          <w:rFonts w:ascii="方正仿宋简体" w:eastAsia="方正仿宋简体" w:hint="eastAsia"/>
          <w:b/>
          <w:sz w:val="32"/>
          <w:szCs w:val="32"/>
        </w:rPr>
        <w:t>济宁市的煤炭开采分4个阶段。1958—1995年为起始阶段：煤矿缓慢增加，产能缓慢增长，资源缓慢减少。1996—2010年为成长阶段：煤矿快速增多，产能迅速提高，资源快速减少。2011—2020年为成熟阶段：煤矿新增与闭坑并行，产能小幅减少，截至2020年剩余可采储量为15.61亿吨。2020年后进入资源开采后期：煤矿逐步关闭，资源存量逐渐枯竭。截止2020年底，济宁市共涉及煤矿采矿权68个，其中，井口在市内的生产矿井45对（含停建矿井1对、停产矿井</w:t>
      </w:r>
      <w:r>
        <w:rPr>
          <w:rFonts w:ascii="方正仿宋简体" w:eastAsia="方正仿宋简体"/>
          <w:b/>
          <w:sz w:val="32"/>
          <w:szCs w:val="32"/>
        </w:rPr>
        <w:t>4</w:t>
      </w:r>
      <w:r>
        <w:rPr>
          <w:rFonts w:ascii="方正仿宋简体" w:eastAsia="方正仿宋简体" w:hint="eastAsia"/>
          <w:b/>
          <w:sz w:val="32"/>
          <w:szCs w:val="32"/>
        </w:rPr>
        <w:t>对），关退矿井12对，主要分布在任城区、兖州区、邹城市、曲阜市、汶上县和微山县；井口在市外的11对，主要涉及微山县。</w:t>
      </w:r>
    </w:p>
    <w:p w:rsidR="00BE7C2D" w:rsidRDefault="00BE7C2D">
      <w:pPr>
        <w:spacing w:line="540" w:lineRule="exact"/>
        <w:ind w:firstLineChars="200" w:firstLine="626"/>
        <w:rPr>
          <w:rFonts w:ascii="方正仿宋简体" w:eastAsia="方正仿宋简体"/>
          <w:b/>
          <w:sz w:val="32"/>
          <w:szCs w:val="32"/>
        </w:rPr>
      </w:pPr>
    </w:p>
    <w:p w:rsidR="00BE7C2D" w:rsidRDefault="00D46B16">
      <w:pPr>
        <w:spacing w:line="540" w:lineRule="exact"/>
        <w:jc w:val="center"/>
        <w:rPr>
          <w:rFonts w:ascii="方正楷体简体" w:eastAsia="方正楷体简体"/>
          <w:b/>
          <w:sz w:val="32"/>
          <w:szCs w:val="32"/>
        </w:rPr>
      </w:pPr>
      <w:r>
        <w:rPr>
          <w:rFonts w:ascii="方正楷体简体" w:eastAsia="方正楷体简体" w:hint="eastAsia"/>
          <w:b/>
          <w:sz w:val="32"/>
          <w:szCs w:val="32"/>
        </w:rPr>
        <w:t>第三节  采煤塌陷地概况</w:t>
      </w:r>
    </w:p>
    <w:p w:rsidR="00BE7C2D" w:rsidRDefault="00BE7C2D">
      <w:pPr>
        <w:spacing w:line="540" w:lineRule="exact"/>
        <w:ind w:firstLineChars="200" w:firstLine="626"/>
        <w:rPr>
          <w:rFonts w:ascii="方正仿宋简体" w:eastAsia="方正仿宋简体"/>
          <w:b/>
          <w:sz w:val="32"/>
          <w:szCs w:val="32"/>
        </w:rPr>
      </w:pPr>
    </w:p>
    <w:p w:rsidR="00BE7C2D" w:rsidRDefault="00D46B16">
      <w:pPr>
        <w:spacing w:line="540" w:lineRule="exact"/>
        <w:ind w:firstLineChars="200" w:firstLine="626"/>
        <w:rPr>
          <w:rFonts w:ascii="方正仿宋简体" w:eastAsia="方正仿宋简体"/>
          <w:b/>
          <w:sz w:val="32"/>
          <w:szCs w:val="32"/>
        </w:rPr>
      </w:pPr>
      <w:r>
        <w:rPr>
          <w:rFonts w:ascii="方正仿宋简体" w:eastAsia="方正仿宋简体" w:hint="eastAsia"/>
          <w:b/>
          <w:sz w:val="32"/>
          <w:szCs w:val="32"/>
        </w:rPr>
        <w:t>截至2020年底，济宁市采煤沉陷区规模为65418.85公顷，采煤塌陷地为52311.25公顷，其中历史遗留采煤塌陷地为8375.80公顷。南四湖外，采煤沉陷区规模为55818.87公顷，采煤塌陷地为44175.47公顷，其中稳沉采煤塌陷地为31947.57公顷。由于南四湖内的采煤塌陷地可自然修复，不再列入本规划治理范围。</w:t>
      </w:r>
    </w:p>
    <w:p w:rsidR="00BE7C2D" w:rsidRDefault="00D46B16">
      <w:pPr>
        <w:spacing w:line="540" w:lineRule="exact"/>
        <w:ind w:firstLineChars="200" w:firstLine="626"/>
        <w:rPr>
          <w:rFonts w:ascii="方正仿宋简体" w:eastAsia="方正仿宋简体"/>
          <w:b/>
          <w:sz w:val="32"/>
          <w:szCs w:val="32"/>
        </w:rPr>
      </w:pPr>
      <w:r>
        <w:rPr>
          <w:rFonts w:ascii="方正仿宋简体" w:eastAsia="方正仿宋简体" w:hint="eastAsia"/>
          <w:b/>
          <w:sz w:val="32"/>
          <w:szCs w:val="32"/>
        </w:rPr>
        <w:t>全市采煤塌陷地共涉及13个县（市、区）、5</w:t>
      </w:r>
      <w:r>
        <w:rPr>
          <w:rFonts w:ascii="方正仿宋简体" w:eastAsia="方正仿宋简体"/>
          <w:b/>
          <w:sz w:val="32"/>
          <w:szCs w:val="32"/>
        </w:rPr>
        <w:t>6</w:t>
      </w:r>
      <w:r>
        <w:rPr>
          <w:rFonts w:ascii="方正仿宋简体" w:eastAsia="方正仿宋简体" w:hint="eastAsia"/>
          <w:b/>
          <w:sz w:val="32"/>
          <w:szCs w:val="32"/>
        </w:rPr>
        <w:t>个乡镇（街道）。县（市、区）具体分布情况见图1与专栏1。</w:t>
      </w:r>
    </w:p>
    <w:p w:rsidR="00BE7C2D" w:rsidRDefault="00D46B16">
      <w:pPr>
        <w:pStyle w:val="a5"/>
        <w:ind w:firstLineChars="0" w:firstLine="0"/>
        <w:jc w:val="center"/>
      </w:pPr>
      <w:r>
        <w:rPr>
          <w:noProof/>
        </w:rPr>
        <w:drawing>
          <wp:inline distT="0" distB="0" distL="114300" distR="114300">
            <wp:extent cx="5672455" cy="3533775"/>
            <wp:effectExtent l="0" t="0" r="0" b="0"/>
            <wp:docPr id="1027" name="Image1"/>
            <wp:cNvGraphicFramePr/>
            <a:graphic xmlns:a="http://schemas.openxmlformats.org/drawingml/2006/main">
              <a:graphicData uri="http://schemas.openxmlformats.org/drawingml/2006/chart">
                <c:chart xmlns:c="http://schemas.openxmlformats.org/drawingml/2006/chart" r:id="rId8"/>
              </a:graphicData>
            </a:graphic>
          </wp:inline>
        </w:drawing>
      </w:r>
    </w:p>
    <w:p w:rsidR="00BE7C2D" w:rsidRDefault="00D46B16">
      <w:pPr>
        <w:jc w:val="center"/>
        <w:rPr>
          <w:rFonts w:ascii="方正黑体简体" w:eastAsia="方正黑体简体" w:hAnsi="宋体" w:cs="宋体"/>
          <w:b/>
          <w:sz w:val="28"/>
          <w:szCs w:val="28"/>
        </w:rPr>
      </w:pPr>
      <w:r>
        <w:rPr>
          <w:rFonts w:ascii="方正黑体简体" w:eastAsia="方正黑体简体" w:hAnsi="宋体" w:cs="宋体" w:hint="eastAsia"/>
          <w:b/>
          <w:sz w:val="28"/>
          <w:szCs w:val="28"/>
        </w:rPr>
        <w:t>图1 济宁市各</w:t>
      </w:r>
      <w:r>
        <w:rPr>
          <w:rFonts w:ascii="方正黑体简体" w:eastAsia="方正黑体简体" w:hAnsi="宋体" w:cs="宋体" w:hint="eastAsia"/>
          <w:b/>
          <w:sz w:val="30"/>
          <w:szCs w:val="30"/>
        </w:rPr>
        <w:t>县（市、区）</w:t>
      </w:r>
      <w:r>
        <w:rPr>
          <w:rFonts w:ascii="方正黑体简体" w:eastAsia="方正黑体简体" w:hAnsi="宋体" w:cs="宋体" w:hint="eastAsia"/>
          <w:b/>
          <w:sz w:val="28"/>
          <w:szCs w:val="28"/>
        </w:rPr>
        <w:t>采煤塌陷地现状（2020年）</w:t>
      </w:r>
    </w:p>
    <w:p w:rsidR="00BE7C2D" w:rsidRDefault="00BE7C2D">
      <w:pPr>
        <w:spacing w:line="600" w:lineRule="exact"/>
        <w:rPr>
          <w:rFonts w:ascii="方正仿宋简体" w:eastAsia="方正仿宋简体" w:hAnsi="宋体" w:cs="宋体"/>
          <w:b/>
          <w:sz w:val="32"/>
          <w:szCs w:val="32"/>
        </w:rPr>
      </w:pPr>
    </w:p>
    <w:p w:rsidR="00BE7C2D" w:rsidRDefault="00D46B16">
      <w:pPr>
        <w:spacing w:line="600" w:lineRule="exact"/>
        <w:jc w:val="center"/>
        <w:rPr>
          <w:rFonts w:ascii="方正楷体简体" w:eastAsia="方正楷体简体" w:hAnsi="宋体" w:cs="宋体"/>
          <w:b/>
          <w:sz w:val="32"/>
          <w:szCs w:val="32"/>
        </w:rPr>
      </w:pPr>
      <w:r>
        <w:rPr>
          <w:rFonts w:ascii="方正楷体简体" w:eastAsia="方正楷体简体" w:hAnsi="宋体" w:cs="宋体" w:hint="eastAsia"/>
          <w:b/>
          <w:sz w:val="32"/>
          <w:szCs w:val="32"/>
        </w:rPr>
        <w:t>第四节  采煤塌陷地治理情况</w:t>
      </w:r>
    </w:p>
    <w:p w:rsidR="00BE7C2D" w:rsidRDefault="00BE7C2D">
      <w:pPr>
        <w:spacing w:line="600" w:lineRule="exact"/>
        <w:ind w:firstLine="600"/>
        <w:rPr>
          <w:rFonts w:ascii="方正仿宋简体" w:eastAsia="方正仿宋简体" w:hAnsi="宋体" w:cs="宋体"/>
          <w:b/>
          <w:sz w:val="32"/>
          <w:szCs w:val="32"/>
        </w:rPr>
      </w:pPr>
    </w:p>
    <w:p w:rsidR="00BE7C2D" w:rsidRDefault="00D46B16">
      <w:pPr>
        <w:spacing w:line="600" w:lineRule="exact"/>
        <w:ind w:firstLine="600"/>
        <w:rPr>
          <w:rFonts w:ascii="方正仿宋简体" w:eastAsia="方正仿宋简体" w:hAnsi="宋体" w:cs="宋体"/>
          <w:b/>
          <w:sz w:val="32"/>
          <w:szCs w:val="32"/>
        </w:rPr>
      </w:pPr>
      <w:r>
        <w:rPr>
          <w:rFonts w:ascii="方正仿宋简体" w:eastAsia="方正仿宋简体" w:hAnsi="宋体" w:cs="宋体" w:hint="eastAsia"/>
          <w:b/>
          <w:sz w:val="32"/>
          <w:szCs w:val="32"/>
        </w:rPr>
        <w:t>截至2020年底，济宁市累计投入约42.3亿元，实施采煤塌陷地治理项目292个，治理稳沉采煤塌陷地26224.36公顷，治理率82.09%，其中，治理历史遗留采煤塌陷地7032.89公顷，治理率83.97%。具体治理情况见专栏1。</w:t>
      </w:r>
    </w:p>
    <w:p w:rsidR="00BE7C2D" w:rsidRDefault="00BE7C2D">
      <w:pPr>
        <w:spacing w:line="600" w:lineRule="exact"/>
        <w:ind w:firstLineChars="200" w:firstLine="626"/>
        <w:rPr>
          <w:rFonts w:ascii="方正仿宋简体" w:eastAsia="方正仿宋简体"/>
          <w:b/>
          <w:sz w:val="32"/>
          <w:szCs w:val="32"/>
        </w:rPr>
      </w:pPr>
    </w:p>
    <w:p w:rsidR="00BE7C2D" w:rsidRDefault="00BE7C2D">
      <w:pPr>
        <w:spacing w:line="600" w:lineRule="exact"/>
        <w:ind w:firstLineChars="200" w:firstLine="626"/>
        <w:rPr>
          <w:rFonts w:ascii="方正仿宋简体" w:eastAsia="方正仿宋简体"/>
          <w:b/>
          <w:sz w:val="32"/>
          <w:szCs w:val="32"/>
        </w:rPr>
      </w:pPr>
    </w:p>
    <w:p w:rsidR="00BE7C2D" w:rsidRDefault="00BE7C2D">
      <w:pPr>
        <w:spacing w:line="600" w:lineRule="exact"/>
        <w:ind w:firstLineChars="200" w:firstLine="626"/>
        <w:rPr>
          <w:rFonts w:ascii="方正仿宋简体" w:eastAsia="方正仿宋简体"/>
          <w:b/>
          <w:sz w:val="32"/>
          <w:szCs w:val="32"/>
        </w:rPr>
      </w:pPr>
    </w:p>
    <w:p w:rsidR="00BE7C2D" w:rsidRDefault="00BE7C2D">
      <w:pPr>
        <w:spacing w:line="600" w:lineRule="exact"/>
        <w:ind w:firstLineChars="200" w:firstLine="626"/>
        <w:rPr>
          <w:rFonts w:ascii="方正仿宋简体" w:eastAsia="方正仿宋简体"/>
          <w:b/>
          <w:sz w:val="32"/>
          <w:szCs w:val="32"/>
        </w:rPr>
        <w:sectPr w:rsidR="00BE7C2D">
          <w:headerReference w:type="even" r:id="rId9"/>
          <w:footerReference w:type="even" r:id="rId10"/>
          <w:footerReference w:type="default" r:id="rId11"/>
          <w:pgSz w:w="11906" w:h="16838"/>
          <w:pgMar w:top="1814" w:right="1588" w:bottom="1191" w:left="1588" w:header="0" w:footer="1418" w:gutter="0"/>
          <w:pgNumType w:fmt="numberInDash"/>
          <w:cols w:space="425"/>
          <w:docGrid w:type="linesAndChars" w:linePitch="628" w:charSpace="-1683"/>
        </w:sectPr>
      </w:pPr>
    </w:p>
    <w:tbl>
      <w:tblPr>
        <w:tblW w:w="5000" w:type="pct"/>
        <w:tblCellMar>
          <w:left w:w="28" w:type="dxa"/>
          <w:right w:w="28" w:type="dxa"/>
        </w:tblCellMar>
        <w:tblLook w:val="04A0" w:firstRow="1" w:lastRow="0" w:firstColumn="1" w:lastColumn="0" w:noHBand="0" w:noVBand="1"/>
      </w:tblPr>
      <w:tblGrid>
        <w:gridCol w:w="725"/>
        <w:gridCol w:w="2012"/>
        <w:gridCol w:w="1525"/>
        <w:gridCol w:w="1528"/>
        <w:gridCol w:w="1772"/>
        <w:gridCol w:w="1553"/>
        <w:gridCol w:w="1525"/>
        <w:gridCol w:w="1528"/>
        <w:gridCol w:w="2004"/>
      </w:tblGrid>
      <w:tr w:rsidR="00BE7C2D">
        <w:trPr>
          <w:trHeight w:val="482"/>
          <w:tblHeader/>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szCs w:val="22"/>
              </w:rPr>
            </w:pPr>
            <w:r>
              <w:rPr>
                <w:rFonts w:ascii="方正黑体简体" w:eastAsia="方正黑体简体" w:hint="eastAsia"/>
                <w:b/>
                <w:szCs w:val="22"/>
              </w:rPr>
              <w:t>专栏 1  济宁市采煤塌陷地现状（2020年）</w:t>
            </w:r>
            <w:r>
              <w:rPr>
                <w:rFonts w:ascii="方正黑体简体" w:eastAsia="方正黑体简体" w:hint="eastAsia"/>
                <w:b/>
              </w:rPr>
              <w:t>（单位：公顷）</w:t>
            </w:r>
          </w:p>
        </w:tc>
      </w:tr>
      <w:tr w:rsidR="00BE7C2D">
        <w:trPr>
          <w:trHeight w:val="492"/>
          <w:tblHeader/>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序号</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县（市</w:t>
            </w:r>
            <w:r>
              <w:rPr>
                <w:rFonts w:ascii="方正黑体简体" w:eastAsia="方正黑体简体"/>
                <w:b/>
              </w:rPr>
              <w:t>、区</w:t>
            </w:r>
            <w:r>
              <w:rPr>
                <w:rFonts w:ascii="方正黑体简体" w:eastAsia="方正黑体简体" w:hint="eastAsia"/>
                <w:b/>
              </w:rPr>
              <w:t>）</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采煤沉陷区</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采煤塌陷地</w:t>
            </w:r>
          </w:p>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（含南四湖）</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采煤塌陷地</w:t>
            </w:r>
          </w:p>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（不含南四湖）</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稳沉采煤</w:t>
            </w:r>
          </w:p>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塌陷地</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已治理稳沉</w:t>
            </w:r>
          </w:p>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采煤塌陷地</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历史遗留</w:t>
            </w:r>
          </w:p>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采煤塌陷地</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已治理历史遗留</w:t>
            </w:r>
          </w:p>
          <w:p w:rsidR="00BE7C2D" w:rsidRDefault="00D46B16">
            <w:pPr>
              <w:widowControl/>
              <w:spacing w:line="300" w:lineRule="exact"/>
              <w:ind w:leftChars="-30" w:left="-58" w:rightChars="-30" w:right="-58"/>
              <w:jc w:val="center"/>
              <w:rPr>
                <w:rFonts w:ascii="方正黑体简体" w:eastAsia="方正黑体简体"/>
                <w:b/>
              </w:rPr>
            </w:pPr>
            <w:r>
              <w:rPr>
                <w:rFonts w:ascii="方正黑体简体" w:eastAsia="方正黑体简体" w:hint="eastAsia"/>
                <w:b/>
              </w:rPr>
              <w:t>采煤塌陷地</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1</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任城区</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10173.60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6737.12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6692.13</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3259.58</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2640.84</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2</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兖州区</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5989.49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5174.07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5174.07</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3363.19</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2781.65</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1311.18</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1101.31</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3</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曲阜市</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4395.58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3096.12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3096.12</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2423.83</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2011.56</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717.06</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655.51</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4</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邹城市</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9681.69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8875.36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8875.36</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7633.60</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6119.73</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4021.14</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3322.60</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5</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微山县</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16444.99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13647.05</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5671.57</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4474.18</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3703.81</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1261.89</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1076.78</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6</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鱼台县</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1312.03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1079.25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1067.85</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983.21</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864.24</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40.71</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39.16</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7</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金乡县</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1560.57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984.69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984.69</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480.32</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420.46</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8</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嘉祥县</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3137.39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1815.64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1815.64</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649.52</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530.06</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9</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梁山县</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245.12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53.35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53.35</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32.50</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10</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汶上县</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2831.08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2037.00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2037.00</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1274.63</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1038.92</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11</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济宁高新区</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5655.62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4883.05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4883.05</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4250.10</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3499.36</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596.13</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485.48</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12</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太白湖新区</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3963.20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3909.58</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3805.67</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3122.90</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2613.71</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427.69</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352.06</w:t>
            </w:r>
          </w:p>
        </w:tc>
      </w:tr>
      <w:tr w:rsidR="00BE7C2D">
        <w:trPr>
          <w:trHeight w:val="482"/>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13</w:t>
            </w:r>
          </w:p>
        </w:tc>
        <w:tc>
          <w:tcPr>
            <w:tcW w:w="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济宁经济技术开发区</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28.49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18.97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rPr>
            </w:pPr>
            <w:r>
              <w:rPr>
                <w:rFonts w:ascii="方正仿宋简体" w:eastAsia="方正仿宋简体" w:hint="eastAsia"/>
                <w:b/>
                <w:color w:val="000000"/>
              </w:rPr>
              <w:t>18.97</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0.00</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0.00</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0.00</w:t>
            </w:r>
          </w:p>
        </w:tc>
      </w:tr>
      <w:tr w:rsidR="00BE7C2D">
        <w:trPr>
          <w:trHeight w:val="482"/>
        </w:trPr>
        <w:tc>
          <w:tcPr>
            <w:tcW w:w="96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合计</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color w:val="000000"/>
              </w:rPr>
              <w:t xml:space="preserve">65418.85 </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 xml:space="preserve">52311.25 </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color w:val="000000"/>
              </w:rPr>
            </w:pPr>
            <w:r>
              <w:rPr>
                <w:rFonts w:ascii="方正仿宋简体" w:eastAsia="方正仿宋简体" w:hint="eastAsia"/>
                <w:b/>
                <w:color w:val="000000"/>
              </w:rPr>
              <w:t>44175.47</w:t>
            </w:r>
          </w:p>
        </w:tc>
        <w:tc>
          <w:tcPr>
            <w:tcW w:w="5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31947.57</w:t>
            </w:r>
          </w:p>
        </w:tc>
        <w:tc>
          <w:tcPr>
            <w:tcW w:w="5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rPr>
                <w:rFonts w:ascii="方正仿宋简体" w:eastAsia="方正仿宋简体"/>
                <w:b/>
              </w:rPr>
            </w:pPr>
            <w:r>
              <w:rPr>
                <w:rFonts w:ascii="方正仿宋简体" w:eastAsia="方正仿宋简体" w:hint="eastAsia"/>
                <w:b/>
              </w:rPr>
              <w:t>26224.36</w:t>
            </w:r>
          </w:p>
        </w:tc>
        <w:tc>
          <w:tcPr>
            <w:tcW w:w="5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 xml:space="preserve">8375.80 </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rPr>
            </w:pPr>
            <w:r>
              <w:rPr>
                <w:rFonts w:ascii="方正仿宋简体" w:eastAsia="方正仿宋简体" w:hint="eastAsia"/>
                <w:b/>
              </w:rPr>
              <w:t xml:space="preserve">7032.89 </w:t>
            </w:r>
          </w:p>
        </w:tc>
      </w:tr>
    </w:tbl>
    <w:p w:rsidR="00BE7C2D" w:rsidRDefault="00BE7C2D">
      <w:pPr>
        <w:spacing w:line="600" w:lineRule="exact"/>
        <w:ind w:firstLineChars="200" w:firstLine="626"/>
        <w:rPr>
          <w:rFonts w:ascii="方正仿宋简体" w:eastAsia="方正仿宋简体"/>
          <w:b/>
          <w:sz w:val="32"/>
          <w:szCs w:val="32"/>
        </w:rPr>
      </w:pPr>
    </w:p>
    <w:p w:rsidR="00BE7C2D" w:rsidRDefault="00BE7C2D">
      <w:pPr>
        <w:spacing w:line="600" w:lineRule="exact"/>
        <w:ind w:firstLineChars="200" w:firstLine="626"/>
        <w:rPr>
          <w:rFonts w:ascii="方正仿宋简体" w:eastAsia="方正仿宋简体"/>
          <w:b/>
          <w:sz w:val="32"/>
          <w:szCs w:val="32"/>
        </w:rPr>
      </w:pPr>
    </w:p>
    <w:p w:rsidR="00BE7C2D" w:rsidRDefault="00BE7C2D">
      <w:pPr>
        <w:spacing w:line="600" w:lineRule="exact"/>
        <w:rPr>
          <w:rFonts w:ascii="方正仿宋简体" w:eastAsia="方正仿宋简体"/>
          <w:b/>
          <w:sz w:val="32"/>
          <w:szCs w:val="32"/>
        </w:rPr>
        <w:sectPr w:rsidR="00BE7C2D">
          <w:headerReference w:type="default" r:id="rId12"/>
          <w:footerReference w:type="default" r:id="rId13"/>
          <w:pgSz w:w="16838" w:h="11906" w:orient="landscape"/>
          <w:pgMar w:top="1134" w:right="1134" w:bottom="1134" w:left="1588" w:header="0" w:footer="1134" w:gutter="0"/>
          <w:pgNumType w:fmt="numberInDash"/>
          <w:cols w:space="425"/>
          <w:docGrid w:type="linesAndChars" w:linePitch="628" w:charSpace="-1683"/>
        </w:sectPr>
      </w:pPr>
    </w:p>
    <w:p w:rsidR="00BE7C2D" w:rsidRDefault="00BE7C2D">
      <w:pPr>
        <w:spacing w:line="600" w:lineRule="exact"/>
        <w:rPr>
          <w:rFonts w:ascii="方正仿宋简体" w:eastAsia="方正仿宋简体"/>
          <w:b/>
          <w:sz w:val="32"/>
          <w:szCs w:val="32"/>
        </w:rPr>
      </w:pPr>
    </w:p>
    <w:p w:rsidR="00BE7C2D" w:rsidRDefault="00D46B16">
      <w:pPr>
        <w:spacing w:line="580" w:lineRule="exact"/>
        <w:jc w:val="center"/>
        <w:rPr>
          <w:rFonts w:ascii="方正小标宋简体" w:eastAsia="方正小标宋简体"/>
          <w:b/>
          <w:sz w:val="32"/>
          <w:szCs w:val="32"/>
        </w:rPr>
      </w:pPr>
      <w:r>
        <w:rPr>
          <w:rFonts w:ascii="方正小标宋简体" w:eastAsia="方正小标宋简体" w:hint="eastAsia"/>
          <w:b/>
          <w:sz w:val="32"/>
          <w:szCs w:val="32"/>
        </w:rPr>
        <w:t>第二章  原规划实施绩效评价</w:t>
      </w:r>
    </w:p>
    <w:p w:rsidR="00BE7C2D" w:rsidRDefault="00BE7C2D">
      <w:pPr>
        <w:spacing w:line="580" w:lineRule="exact"/>
        <w:ind w:firstLineChars="200" w:firstLine="626"/>
        <w:jc w:val="center"/>
        <w:rPr>
          <w:rFonts w:ascii="方正小标宋简体" w:eastAsia="方正小标宋简体"/>
          <w:b/>
          <w:sz w:val="32"/>
          <w:szCs w:val="32"/>
        </w:rPr>
      </w:pPr>
    </w:p>
    <w:p w:rsidR="00BE7C2D" w:rsidRDefault="00D46B16">
      <w:pPr>
        <w:spacing w:line="580" w:lineRule="exact"/>
        <w:jc w:val="center"/>
        <w:rPr>
          <w:rFonts w:ascii="方正楷体简体" w:eastAsia="方正楷体简体"/>
          <w:b/>
          <w:sz w:val="32"/>
          <w:szCs w:val="32"/>
        </w:rPr>
      </w:pPr>
      <w:r>
        <w:rPr>
          <w:rFonts w:ascii="方正楷体简体" w:eastAsia="方正楷体简体" w:hint="eastAsia"/>
          <w:b/>
          <w:sz w:val="32"/>
          <w:szCs w:val="32"/>
        </w:rPr>
        <w:t>第一节  取得的主要成效</w:t>
      </w:r>
    </w:p>
    <w:p w:rsidR="00BE7C2D" w:rsidRDefault="00BE7C2D">
      <w:pPr>
        <w:spacing w:line="580" w:lineRule="exact"/>
        <w:ind w:firstLineChars="200" w:firstLine="626"/>
        <w:rPr>
          <w:rFonts w:ascii="方正仿宋简体" w:eastAsia="方正仿宋简体"/>
          <w:b/>
          <w:sz w:val="32"/>
          <w:szCs w:val="32"/>
        </w:rPr>
      </w:pPr>
    </w:p>
    <w:p w:rsidR="00BE7C2D" w:rsidRDefault="00D46B16">
      <w:pPr>
        <w:spacing w:line="560" w:lineRule="exact"/>
        <w:ind w:firstLineChars="200" w:firstLine="626"/>
        <w:rPr>
          <w:rFonts w:ascii="方正仿宋简体" w:eastAsia="方正仿宋简体"/>
          <w:b/>
          <w:sz w:val="32"/>
          <w:szCs w:val="32"/>
        </w:rPr>
      </w:pPr>
      <w:r>
        <w:rPr>
          <w:rFonts w:ascii="方正仿宋简体" w:eastAsia="方正仿宋简体" w:hint="eastAsia"/>
          <w:b/>
          <w:sz w:val="32"/>
          <w:szCs w:val="32"/>
        </w:rPr>
        <w:t>通过《济宁市采煤塌陷地治理规划（2016—2030年）》的实施，全市初步形成了土地复垦、生态修复、产业发展和建设利用“四位一体”治理模式，完成了规划期治理任务，强化了采煤塌陷地节约集约利用程度，提升了采煤塌陷地治理的经济、社会和生态效益。土地复垦方面，如汶上县义桥煤矿实施的采煤塌陷地治理项目，提高了土壤质量和农业生产基础条件，促进了农业增效、农民增收；生态修复方面，如邹城市实施的太平采煤塌陷地水系连通、地形营造、景观设计和植被修复工程，入选了自然资源部第二批生态产品价值实现典型案例；产业发展方面，如任城区王楼煤矿实施的喻兴生态园项目，实现了无法复垦采煤塌陷地的产业利用，提高了治理的经济和生态效益；建设利用方面，济宁</w:t>
      </w:r>
      <w:r w:rsidR="00C25BD5">
        <w:rPr>
          <w:rFonts w:ascii="方正仿宋简体" w:eastAsia="方正仿宋简体" w:hint="eastAsia"/>
          <w:b/>
          <w:sz w:val="32"/>
          <w:szCs w:val="32"/>
        </w:rPr>
        <w:t>市</w:t>
      </w:r>
      <w:r>
        <w:rPr>
          <w:rFonts w:ascii="方正仿宋简体" w:eastAsia="方正仿宋简体" w:hint="eastAsia"/>
          <w:b/>
          <w:sz w:val="32"/>
          <w:szCs w:val="32"/>
        </w:rPr>
        <w:t>开展了城市规划区内煤炭采空区注浆充填进行城市建设方面的探索。</w:t>
      </w:r>
    </w:p>
    <w:p w:rsidR="00BE7C2D" w:rsidRDefault="00BE7C2D">
      <w:pPr>
        <w:spacing w:line="580" w:lineRule="exact"/>
        <w:ind w:firstLineChars="200" w:firstLine="626"/>
        <w:rPr>
          <w:rFonts w:ascii="方正仿宋简体" w:eastAsia="方正仿宋简体"/>
          <w:b/>
          <w:sz w:val="32"/>
          <w:szCs w:val="32"/>
        </w:rPr>
      </w:pPr>
    </w:p>
    <w:p w:rsidR="00BE7C2D" w:rsidRDefault="00D46B16">
      <w:pPr>
        <w:spacing w:line="580" w:lineRule="exact"/>
        <w:jc w:val="center"/>
        <w:rPr>
          <w:rFonts w:ascii="方正楷体简体" w:eastAsia="方正楷体简体"/>
          <w:b/>
          <w:sz w:val="32"/>
          <w:szCs w:val="32"/>
        </w:rPr>
      </w:pPr>
      <w:r>
        <w:rPr>
          <w:rFonts w:ascii="方正楷体简体" w:eastAsia="方正楷体简体" w:hint="eastAsia"/>
          <w:b/>
          <w:sz w:val="32"/>
          <w:szCs w:val="32"/>
        </w:rPr>
        <w:t>第二节  规划实施存在的主要问题</w:t>
      </w:r>
    </w:p>
    <w:p w:rsidR="00BE7C2D" w:rsidRDefault="00BE7C2D">
      <w:pPr>
        <w:spacing w:line="580" w:lineRule="exact"/>
        <w:ind w:firstLineChars="200" w:firstLine="626"/>
        <w:rPr>
          <w:rFonts w:ascii="方正仿宋简体" w:eastAsia="方正仿宋简体"/>
          <w:b/>
          <w:sz w:val="32"/>
          <w:szCs w:val="32"/>
        </w:rPr>
      </w:pPr>
    </w:p>
    <w:p w:rsidR="00BE7C2D" w:rsidRDefault="00D46B16">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采煤塌陷地综合治理纵深发展不足，加之政策制约，取得的经济、社会和生态效益有限，未能充分发挥对“三农”建设、煤炭矿区可持续发展、全市产业转型升级的服务和助力作用。生态修复目标不明确，提供生态产品、实现生态价值的机制未能有效建立。产业利用功能区块划定不合理，未充分考虑产业导向和新业态发展趋势，经济效益不够显著。同时因《济宁市采煤塌陷地治理规划（2016—2030年）》颁布时间早于《山东省采煤塌陷地综合治理专项规划（2019—2030年）》，与其任务安排和治理进度并不一致。</w:t>
      </w:r>
    </w:p>
    <w:p w:rsidR="00BE7C2D" w:rsidRDefault="00BE7C2D">
      <w:pPr>
        <w:spacing w:line="580" w:lineRule="exact"/>
        <w:ind w:firstLineChars="200" w:firstLine="626"/>
        <w:rPr>
          <w:rFonts w:ascii="方正仿宋简体" w:eastAsia="方正仿宋简体"/>
          <w:b/>
          <w:sz w:val="32"/>
          <w:szCs w:val="32"/>
        </w:rPr>
      </w:pPr>
    </w:p>
    <w:p w:rsidR="00BE7C2D" w:rsidRDefault="00D46B16">
      <w:pPr>
        <w:spacing w:line="580" w:lineRule="exact"/>
        <w:jc w:val="center"/>
        <w:rPr>
          <w:rFonts w:ascii="方正小标宋简体" w:eastAsia="方正小标宋简体" w:hAnsi="黑体"/>
          <w:b/>
          <w:sz w:val="32"/>
          <w:szCs w:val="32"/>
        </w:rPr>
      </w:pPr>
      <w:r>
        <w:rPr>
          <w:rFonts w:ascii="方正小标宋简体" w:eastAsia="方正小标宋简体" w:hAnsi="黑体" w:hint="eastAsia"/>
          <w:b/>
          <w:sz w:val="32"/>
          <w:szCs w:val="32"/>
        </w:rPr>
        <w:t>第三章  采煤塌陷地预测</w:t>
      </w:r>
    </w:p>
    <w:p w:rsidR="00BE7C2D" w:rsidRDefault="00BE7C2D">
      <w:pPr>
        <w:spacing w:line="580" w:lineRule="exact"/>
        <w:ind w:firstLineChars="200" w:firstLine="626"/>
        <w:jc w:val="center"/>
        <w:rPr>
          <w:rFonts w:ascii="方正小标宋简体" w:eastAsia="方正小标宋简体" w:hAnsi="黑体"/>
          <w:b/>
          <w:sz w:val="32"/>
          <w:szCs w:val="32"/>
        </w:rPr>
      </w:pPr>
    </w:p>
    <w:p w:rsidR="00BE7C2D" w:rsidRDefault="00D46B16">
      <w:pPr>
        <w:spacing w:line="580" w:lineRule="exact"/>
        <w:jc w:val="center"/>
        <w:rPr>
          <w:rFonts w:ascii="方正楷体简体" w:eastAsia="方正楷体简体" w:hAnsi="黑体"/>
          <w:b/>
          <w:sz w:val="32"/>
          <w:szCs w:val="32"/>
        </w:rPr>
      </w:pPr>
      <w:r>
        <w:rPr>
          <w:rFonts w:ascii="方正楷体简体" w:eastAsia="方正楷体简体" w:hAnsi="黑体" w:hint="eastAsia"/>
          <w:b/>
          <w:sz w:val="32"/>
          <w:szCs w:val="32"/>
        </w:rPr>
        <w:t>第一节  采煤塌陷规模预测</w:t>
      </w:r>
    </w:p>
    <w:p w:rsidR="00BE7C2D" w:rsidRDefault="00BE7C2D">
      <w:pPr>
        <w:spacing w:line="580" w:lineRule="exact"/>
        <w:ind w:firstLineChars="200" w:firstLine="626"/>
        <w:rPr>
          <w:rFonts w:ascii="方正楷体简体" w:eastAsia="方正楷体简体"/>
          <w:b/>
          <w:sz w:val="32"/>
          <w:szCs w:val="32"/>
        </w:rPr>
      </w:pPr>
    </w:p>
    <w:p w:rsidR="00BE7C2D" w:rsidRDefault="00D46B16">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到2025年，济宁市采煤沉陷区为62066.03公顷，其中采煤塌陷地为49123.47公顷；到2030年，采煤沉陷区为69252.21公顷，其中采煤塌陷地为53031.62公顷。规划期内，全市新增采煤塌陷地4948.00公顷，展望期内新增3908.15公顷。（从本章开始，所有数据均不含南四湖范围内的采煤塌陷地）</w:t>
      </w:r>
    </w:p>
    <w:p w:rsidR="00BE7C2D" w:rsidRDefault="00D46B16">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2021年，全市累计形成采煤塌陷地45094.33公顷，年增918.87公顷，增长率为2.08%；2022年，累计规模为46043.34公顷，年增949.01公顷，增长率为2.10%；2023年，累计规模为46848.36公顷，年增805.02公顷，增长率为1.75%；2024年，累计规模为47942.13公顷，年增1093.77公顷，增长率为2.33%；2025年，累计规模为49123.47公顷，年增1181.34公顷，增长率为2.46%。</w:t>
      </w:r>
    </w:p>
    <w:p w:rsidR="00BE7C2D" w:rsidRDefault="00D46B16">
      <w:pPr>
        <w:spacing w:line="580" w:lineRule="exact"/>
        <w:ind w:firstLineChars="200" w:firstLine="626"/>
        <w:rPr>
          <w:rFonts w:ascii="方正仿宋简体" w:eastAsia="方正仿宋简体"/>
          <w:b/>
          <w:sz w:val="32"/>
          <w:szCs w:val="32"/>
        </w:rPr>
      </w:pPr>
      <w:r>
        <w:rPr>
          <w:rFonts w:ascii="方正仿宋简体" w:eastAsia="方正仿宋简体" w:hint="eastAsia"/>
          <w:b/>
          <w:sz w:val="32"/>
          <w:szCs w:val="32"/>
        </w:rPr>
        <w:t>到2030年</w:t>
      </w:r>
      <w:r>
        <w:rPr>
          <w:rFonts w:ascii="方正仿宋简体" w:eastAsia="方正仿宋简体" w:hint="eastAsia"/>
          <w:b/>
          <w:spacing w:val="6"/>
          <w:sz w:val="32"/>
          <w:szCs w:val="32"/>
        </w:rPr>
        <w:t>，采煤塌陷地总规模为53031.62公顷，比2025年增加3908.15公顷。2021—2030年采煤塌陷地预测结果</w:t>
      </w:r>
      <w:r>
        <w:rPr>
          <w:rFonts w:ascii="方正仿宋简体" w:eastAsia="方正仿宋简体" w:hint="eastAsia"/>
          <w:b/>
          <w:sz w:val="32"/>
          <w:szCs w:val="32"/>
        </w:rPr>
        <w:t>见专栏2与图2。</w:t>
      </w:r>
    </w:p>
    <w:p w:rsidR="00BE7C2D" w:rsidRDefault="00BE7C2D">
      <w:pPr>
        <w:spacing w:line="600" w:lineRule="exact"/>
        <w:rPr>
          <w:rFonts w:ascii="方正仿宋简体" w:eastAsia="方正仿宋简体"/>
          <w:b/>
          <w:sz w:val="32"/>
          <w:szCs w:val="32"/>
        </w:rPr>
      </w:pPr>
    </w:p>
    <w:p w:rsidR="00BE7C2D" w:rsidRDefault="00BE7C2D">
      <w:pPr>
        <w:spacing w:line="600" w:lineRule="exact"/>
        <w:rPr>
          <w:rFonts w:ascii="方正仿宋简体" w:eastAsia="方正仿宋简体"/>
          <w:b/>
          <w:sz w:val="32"/>
          <w:szCs w:val="32"/>
        </w:rPr>
      </w:pPr>
    </w:p>
    <w:p w:rsidR="00BE7C2D" w:rsidRDefault="00BE7C2D">
      <w:pPr>
        <w:spacing w:line="600" w:lineRule="exact"/>
        <w:rPr>
          <w:rFonts w:ascii="方正仿宋简体" w:eastAsia="方正仿宋简体"/>
          <w:b/>
          <w:sz w:val="32"/>
          <w:szCs w:val="32"/>
        </w:rPr>
      </w:pPr>
    </w:p>
    <w:p w:rsidR="00BE7C2D" w:rsidRDefault="00BE7C2D">
      <w:pPr>
        <w:spacing w:line="600" w:lineRule="exact"/>
        <w:rPr>
          <w:rFonts w:ascii="方正仿宋简体" w:eastAsia="方正仿宋简体"/>
          <w:b/>
          <w:sz w:val="32"/>
          <w:szCs w:val="32"/>
        </w:rPr>
      </w:pPr>
    </w:p>
    <w:p w:rsidR="00BE7C2D" w:rsidRDefault="00BE7C2D">
      <w:pPr>
        <w:spacing w:line="600" w:lineRule="exact"/>
        <w:ind w:firstLineChars="200" w:firstLine="626"/>
        <w:rPr>
          <w:rFonts w:ascii="方正仿宋简体" w:eastAsia="方正仿宋简体"/>
          <w:b/>
          <w:sz w:val="32"/>
          <w:szCs w:val="32"/>
        </w:rPr>
      </w:pPr>
    </w:p>
    <w:p w:rsidR="00BE7C2D" w:rsidRDefault="00BE7C2D">
      <w:pPr>
        <w:spacing w:line="600" w:lineRule="exact"/>
        <w:ind w:firstLineChars="200" w:firstLine="626"/>
        <w:rPr>
          <w:rFonts w:ascii="方正仿宋简体" w:eastAsia="方正仿宋简体"/>
          <w:b/>
          <w:sz w:val="32"/>
          <w:szCs w:val="32"/>
        </w:rPr>
      </w:pPr>
    </w:p>
    <w:p w:rsidR="00BE7C2D" w:rsidRDefault="00BE7C2D">
      <w:pPr>
        <w:spacing w:line="600" w:lineRule="exact"/>
        <w:ind w:firstLineChars="200" w:firstLine="626"/>
        <w:rPr>
          <w:rFonts w:ascii="方正仿宋简体" w:eastAsia="方正仿宋简体"/>
          <w:b/>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sectPr w:rsidR="00BE7C2D">
          <w:headerReference w:type="default" r:id="rId14"/>
          <w:footerReference w:type="default" r:id="rId15"/>
          <w:pgSz w:w="11906" w:h="16838"/>
          <w:pgMar w:top="1814" w:right="1588" w:bottom="1191" w:left="1588" w:header="0" w:footer="1418" w:gutter="0"/>
          <w:pgNumType w:fmt="numberInDash"/>
          <w:cols w:space="425"/>
          <w:docGrid w:type="linesAndChars" w:linePitch="628" w:charSpace="-1683"/>
        </w:sectPr>
      </w:pPr>
    </w:p>
    <w:tbl>
      <w:tblPr>
        <w:tblStyle w:val="ac"/>
        <w:tblW w:w="5000" w:type="pct"/>
        <w:jc w:val="center"/>
        <w:tblLook w:val="04A0" w:firstRow="1" w:lastRow="0" w:firstColumn="1" w:lastColumn="0" w:noHBand="0" w:noVBand="1"/>
      </w:tblPr>
      <w:tblGrid>
        <w:gridCol w:w="1074"/>
        <w:gridCol w:w="2924"/>
        <w:gridCol w:w="1720"/>
        <w:gridCol w:w="1720"/>
        <w:gridCol w:w="1720"/>
        <w:gridCol w:w="1720"/>
        <w:gridCol w:w="1720"/>
        <w:gridCol w:w="1734"/>
      </w:tblGrid>
      <w:tr w:rsidR="00BE7C2D">
        <w:trPr>
          <w:trHeight w:hRule="exact" w:val="510"/>
          <w:jc w:val="center"/>
        </w:trPr>
        <w:tc>
          <w:tcPr>
            <w:tcW w:w="5000" w:type="pct"/>
            <w:gridSpan w:val="8"/>
            <w:vAlign w:val="center"/>
          </w:tcPr>
          <w:p w:rsidR="00BE7C2D" w:rsidRDefault="00D46B16">
            <w:pPr>
              <w:spacing w:line="300" w:lineRule="exact"/>
              <w:jc w:val="center"/>
              <w:rPr>
                <w:rFonts w:ascii="方正黑体简体" w:eastAsia="方正黑体简体"/>
                <w:b/>
              </w:rPr>
            </w:pPr>
            <w:r>
              <w:rPr>
                <w:rFonts w:ascii="方正黑体简体" w:eastAsia="方正黑体简体" w:hAnsi="宋体" w:cs="宋体" w:hint="eastAsia"/>
                <w:b/>
                <w:color w:val="000000"/>
              </w:rPr>
              <w:t xml:space="preserve">专栏 </w:t>
            </w:r>
            <w:r>
              <w:rPr>
                <w:rFonts w:ascii="方正黑体简体" w:eastAsia="方正黑体简体" w:hint="eastAsia"/>
                <w:b/>
                <w:color w:val="000000"/>
              </w:rPr>
              <w:t>2</w:t>
            </w:r>
            <w:r>
              <w:rPr>
                <w:rFonts w:ascii="方正黑体简体" w:eastAsia="方正黑体简体" w:hAnsi="宋体" w:cs="宋体" w:hint="eastAsia"/>
                <w:b/>
                <w:color w:val="000000"/>
              </w:rPr>
              <w:t xml:space="preserve">  济宁市采煤塌陷地面积预测结果（</w:t>
            </w:r>
            <w:r>
              <w:rPr>
                <w:rFonts w:ascii="方正黑体简体" w:eastAsia="方正黑体简体" w:hint="eastAsia"/>
                <w:b/>
                <w:color w:val="000000"/>
              </w:rPr>
              <w:t>2021—2030</w:t>
            </w:r>
            <w:r>
              <w:rPr>
                <w:rFonts w:ascii="方正黑体简体" w:eastAsia="方正黑体简体" w:hAnsi="宋体" w:cs="宋体" w:hint="eastAsia"/>
                <w:b/>
                <w:color w:val="000000"/>
              </w:rPr>
              <w:t>年）</w:t>
            </w:r>
            <w:r>
              <w:rPr>
                <w:rFonts w:ascii="方正黑体简体" w:eastAsia="方正黑体简体" w:hint="eastAsia"/>
                <w:b/>
              </w:rPr>
              <w:t>（单位：公顷）</w:t>
            </w:r>
          </w:p>
        </w:tc>
      </w:tr>
      <w:tr w:rsidR="00BE7C2D">
        <w:trPr>
          <w:trHeight w:hRule="exact" w:val="510"/>
          <w:jc w:val="center"/>
        </w:trPr>
        <w:tc>
          <w:tcPr>
            <w:tcW w:w="375" w:type="pct"/>
            <w:vAlign w:val="center"/>
          </w:tcPr>
          <w:p w:rsidR="00BE7C2D" w:rsidRDefault="00D46B16">
            <w:pPr>
              <w:spacing w:line="300" w:lineRule="exact"/>
              <w:jc w:val="center"/>
              <w:rPr>
                <w:rFonts w:ascii="方正黑体简体" w:eastAsia="方正黑体简体"/>
                <w:b/>
              </w:rPr>
            </w:pPr>
            <w:r>
              <w:rPr>
                <w:rFonts w:ascii="方正黑体简体" w:eastAsia="方正黑体简体" w:hint="eastAsia"/>
                <w:b/>
              </w:rPr>
              <w:t>序号</w:t>
            </w:r>
          </w:p>
        </w:tc>
        <w:tc>
          <w:tcPr>
            <w:tcW w:w="1020" w:type="pct"/>
            <w:vAlign w:val="center"/>
          </w:tcPr>
          <w:p w:rsidR="00BE7C2D" w:rsidRDefault="00D46B16">
            <w:pPr>
              <w:spacing w:line="300" w:lineRule="exact"/>
              <w:jc w:val="center"/>
              <w:rPr>
                <w:rFonts w:ascii="方正黑体简体" w:eastAsia="方正黑体简体"/>
                <w:b/>
              </w:rPr>
            </w:pPr>
            <w:r>
              <w:rPr>
                <w:rFonts w:ascii="方正黑体简体" w:eastAsia="方正黑体简体" w:hint="eastAsia"/>
                <w:b/>
              </w:rPr>
              <w:t>县</w:t>
            </w:r>
            <w:r>
              <w:rPr>
                <w:rFonts w:ascii="方正黑体简体" w:eastAsia="方正黑体简体"/>
                <w:b/>
              </w:rPr>
              <w:t>（</w:t>
            </w:r>
            <w:r>
              <w:rPr>
                <w:rFonts w:ascii="方正黑体简体" w:eastAsia="方正黑体简体" w:hint="eastAsia"/>
                <w:b/>
              </w:rPr>
              <w:t>市</w:t>
            </w:r>
            <w:r>
              <w:rPr>
                <w:rFonts w:ascii="方正黑体简体" w:eastAsia="方正黑体简体"/>
                <w:b/>
              </w:rPr>
              <w:t>、区）</w:t>
            </w:r>
          </w:p>
        </w:tc>
        <w:tc>
          <w:tcPr>
            <w:tcW w:w="600" w:type="pct"/>
            <w:vAlign w:val="center"/>
          </w:tcPr>
          <w:p w:rsidR="00BE7C2D" w:rsidRDefault="00D46B16">
            <w:pPr>
              <w:spacing w:line="300" w:lineRule="exact"/>
              <w:jc w:val="center"/>
              <w:rPr>
                <w:rFonts w:ascii="方正黑体简体" w:eastAsia="方正黑体简体"/>
                <w:b/>
              </w:rPr>
            </w:pPr>
            <w:r>
              <w:rPr>
                <w:rFonts w:ascii="方正黑体简体" w:eastAsia="方正黑体简体" w:hint="eastAsia"/>
                <w:b/>
              </w:rPr>
              <w:t>2021年</w:t>
            </w:r>
          </w:p>
        </w:tc>
        <w:tc>
          <w:tcPr>
            <w:tcW w:w="600" w:type="pct"/>
            <w:vAlign w:val="center"/>
          </w:tcPr>
          <w:p w:rsidR="00BE7C2D" w:rsidRDefault="00D46B16">
            <w:pPr>
              <w:spacing w:line="300" w:lineRule="exact"/>
              <w:jc w:val="center"/>
              <w:rPr>
                <w:rFonts w:ascii="方正黑体简体" w:eastAsia="方正黑体简体"/>
                <w:b/>
              </w:rPr>
            </w:pPr>
            <w:r>
              <w:rPr>
                <w:rFonts w:ascii="方正黑体简体" w:eastAsia="方正黑体简体" w:hint="eastAsia"/>
                <w:b/>
              </w:rPr>
              <w:t>2022年</w:t>
            </w:r>
          </w:p>
        </w:tc>
        <w:tc>
          <w:tcPr>
            <w:tcW w:w="600" w:type="pct"/>
            <w:vAlign w:val="center"/>
          </w:tcPr>
          <w:p w:rsidR="00BE7C2D" w:rsidRDefault="00D46B16">
            <w:pPr>
              <w:spacing w:line="300" w:lineRule="exact"/>
              <w:jc w:val="center"/>
              <w:rPr>
                <w:rFonts w:ascii="方正黑体简体" w:eastAsia="方正黑体简体"/>
                <w:b/>
              </w:rPr>
            </w:pPr>
            <w:r>
              <w:rPr>
                <w:rFonts w:ascii="方正黑体简体" w:eastAsia="方正黑体简体" w:hint="eastAsia"/>
                <w:b/>
              </w:rPr>
              <w:t>2023年</w:t>
            </w:r>
          </w:p>
        </w:tc>
        <w:tc>
          <w:tcPr>
            <w:tcW w:w="600" w:type="pct"/>
            <w:vAlign w:val="center"/>
          </w:tcPr>
          <w:p w:rsidR="00BE7C2D" w:rsidRDefault="00D46B16">
            <w:pPr>
              <w:spacing w:line="300" w:lineRule="exact"/>
              <w:jc w:val="center"/>
              <w:rPr>
                <w:rFonts w:ascii="方正黑体简体" w:eastAsia="方正黑体简体"/>
                <w:b/>
              </w:rPr>
            </w:pPr>
            <w:r>
              <w:rPr>
                <w:rFonts w:ascii="方正黑体简体" w:eastAsia="方正黑体简体" w:hint="eastAsia"/>
                <w:b/>
              </w:rPr>
              <w:t>2024年</w:t>
            </w:r>
          </w:p>
        </w:tc>
        <w:tc>
          <w:tcPr>
            <w:tcW w:w="600" w:type="pct"/>
            <w:vAlign w:val="center"/>
          </w:tcPr>
          <w:p w:rsidR="00BE7C2D" w:rsidRDefault="00D46B16">
            <w:pPr>
              <w:spacing w:line="300" w:lineRule="exact"/>
              <w:jc w:val="center"/>
              <w:rPr>
                <w:rFonts w:ascii="方正黑体简体" w:eastAsia="方正黑体简体"/>
                <w:b/>
              </w:rPr>
            </w:pPr>
            <w:r>
              <w:rPr>
                <w:rFonts w:ascii="方正黑体简体" w:eastAsia="方正黑体简体" w:hint="eastAsia"/>
                <w:b/>
              </w:rPr>
              <w:t>2025年</w:t>
            </w:r>
          </w:p>
        </w:tc>
        <w:tc>
          <w:tcPr>
            <w:tcW w:w="605" w:type="pct"/>
            <w:vAlign w:val="center"/>
          </w:tcPr>
          <w:p w:rsidR="00BE7C2D" w:rsidRDefault="00D46B16">
            <w:pPr>
              <w:spacing w:line="300" w:lineRule="exact"/>
              <w:jc w:val="center"/>
              <w:rPr>
                <w:rFonts w:ascii="方正黑体简体" w:eastAsia="方正黑体简体"/>
                <w:b/>
              </w:rPr>
            </w:pPr>
            <w:r>
              <w:rPr>
                <w:rFonts w:ascii="方正黑体简体" w:eastAsia="方正黑体简体" w:hint="eastAsia"/>
                <w:b/>
              </w:rPr>
              <w:t>2030年</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1</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任城区</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6886.46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7025.20</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7159.78</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7218.56</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7263.56</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7503.03</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2</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兖州区</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5218.40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5298.22</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5361.52</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5475.21</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5597.09</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5955.99</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3</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曲阜市</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3132.64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3201.28</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3206.77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3221.60</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3296.27</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3361.78</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4</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邹城市</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8964.64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9049.38</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9083.58</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9218.17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9332.63</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9760.28</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5</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微山县</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5841.29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6119.46</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6255.37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6459.67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6612.25</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7594.91</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6</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鱼台县</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1076.40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1078.17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1107.98</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1214.96</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1245.96</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1317.79</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7</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金乡县</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1015.69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1040.53</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1122.07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1244.33</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1332.67</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1669.87</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8</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嘉祥县</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1825.75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1879.11</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1905.00</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1962.45</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2087.10</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2470.60</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9</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梁山县</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100.10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101.75</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105.38</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105.38</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105.38</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105.38</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10</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汶上县</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2091.95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2133.06</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2273.77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2352.26</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2451.03</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2749.83</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11</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济宁高新区</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5088.88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5091.59</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5152.49</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5168.98</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5170.56</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5349.37</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12</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太白湖新区</w:t>
            </w:r>
          </w:p>
        </w:tc>
        <w:tc>
          <w:tcPr>
            <w:tcW w:w="60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 xml:space="preserve">3833.16 </w:t>
            </w:r>
          </w:p>
        </w:tc>
        <w:tc>
          <w:tcPr>
            <w:tcW w:w="60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4006.62</w:t>
            </w:r>
          </w:p>
        </w:tc>
        <w:tc>
          <w:tcPr>
            <w:tcW w:w="60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4095.68</w:t>
            </w:r>
          </w:p>
        </w:tc>
        <w:tc>
          <w:tcPr>
            <w:tcW w:w="60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4281.59</w:t>
            </w:r>
          </w:p>
        </w:tc>
        <w:tc>
          <w:tcPr>
            <w:tcW w:w="60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4610.00</w:t>
            </w:r>
          </w:p>
        </w:tc>
        <w:tc>
          <w:tcPr>
            <w:tcW w:w="60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5173.82</w:t>
            </w:r>
          </w:p>
        </w:tc>
      </w:tr>
      <w:tr w:rsidR="00BE7C2D">
        <w:trPr>
          <w:trHeight w:hRule="exact" w:val="510"/>
          <w:jc w:val="center"/>
        </w:trPr>
        <w:tc>
          <w:tcPr>
            <w:tcW w:w="375"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13</w:t>
            </w:r>
          </w:p>
        </w:tc>
        <w:tc>
          <w:tcPr>
            <w:tcW w:w="1020" w:type="pct"/>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济宁经济技术开发区</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 xml:space="preserve">18.97 </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18.97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18.97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18.97</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18.97</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18.97</w:t>
            </w:r>
          </w:p>
        </w:tc>
      </w:tr>
      <w:tr w:rsidR="00BE7C2D">
        <w:trPr>
          <w:trHeight w:hRule="exact" w:val="510"/>
          <w:jc w:val="center"/>
        </w:trPr>
        <w:tc>
          <w:tcPr>
            <w:tcW w:w="1395" w:type="pct"/>
            <w:gridSpan w:val="2"/>
            <w:vAlign w:val="center"/>
          </w:tcPr>
          <w:p w:rsidR="00BE7C2D" w:rsidRDefault="00D46B16">
            <w:pPr>
              <w:spacing w:line="300" w:lineRule="exact"/>
              <w:jc w:val="center"/>
              <w:rPr>
                <w:rFonts w:ascii="方正仿宋简体" w:eastAsia="方正仿宋简体"/>
                <w:b/>
              </w:rPr>
            </w:pPr>
            <w:r>
              <w:rPr>
                <w:rFonts w:ascii="方正仿宋简体" w:eastAsia="方正仿宋简体" w:hint="eastAsia"/>
                <w:b/>
              </w:rPr>
              <w:t>合计</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45094.33</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46043.34</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46848.36</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47942.13</w:t>
            </w:r>
          </w:p>
        </w:tc>
        <w:tc>
          <w:tcPr>
            <w:tcW w:w="600"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49123.47</w:t>
            </w:r>
          </w:p>
        </w:tc>
        <w:tc>
          <w:tcPr>
            <w:tcW w:w="605" w:type="pct"/>
            <w:vAlign w:val="center"/>
          </w:tcPr>
          <w:p w:rsidR="00BE7C2D" w:rsidRDefault="00D46B16">
            <w:pPr>
              <w:spacing w:line="300" w:lineRule="exact"/>
              <w:jc w:val="center"/>
              <w:rPr>
                <w:rFonts w:ascii="方正仿宋简体" w:eastAsia="方正仿宋简体"/>
                <w:b/>
                <w:color w:val="000000"/>
              </w:rPr>
            </w:pPr>
            <w:r>
              <w:rPr>
                <w:rFonts w:ascii="方正仿宋简体" w:eastAsia="方正仿宋简体" w:hint="eastAsia"/>
                <w:b/>
                <w:color w:val="000000"/>
              </w:rPr>
              <w:t>53031.62</w:t>
            </w:r>
          </w:p>
        </w:tc>
      </w:tr>
    </w:tbl>
    <w:p w:rsidR="00BE7C2D" w:rsidRDefault="00BE7C2D">
      <w:pPr>
        <w:spacing w:line="600" w:lineRule="exact"/>
        <w:ind w:firstLineChars="200" w:firstLine="626"/>
        <w:rPr>
          <w:rFonts w:ascii="方正仿宋简体" w:eastAsia="方正仿宋简体" w:hAnsi="文星仿宋" w:cs="方正仿宋简体"/>
          <w:b/>
          <w:color w:val="000000"/>
          <w:sz w:val="32"/>
          <w:szCs w:val="32"/>
        </w:rPr>
        <w:sectPr w:rsidR="00BE7C2D">
          <w:headerReference w:type="default" r:id="rId16"/>
          <w:footerReference w:type="default" r:id="rId17"/>
          <w:pgSz w:w="16838" w:h="11906" w:orient="landscape"/>
          <w:pgMar w:top="1134" w:right="1134" w:bottom="1134" w:left="1588" w:header="0" w:footer="1134" w:gutter="0"/>
          <w:pgNumType w:fmt="numberInDash"/>
          <w:cols w:space="425"/>
          <w:docGrid w:type="linesAndChars" w:linePitch="628" w:charSpace="-1683"/>
        </w:sectPr>
      </w:pPr>
    </w:p>
    <w:p w:rsidR="00BE7C2D" w:rsidRDefault="00D46B16">
      <w:pPr>
        <w:keepNext/>
        <w:keepLines/>
        <w:jc w:val="center"/>
      </w:pPr>
      <w:bookmarkStart w:id="3" w:name="_Toc90642316"/>
      <w:bookmarkStart w:id="4" w:name="_Toc18888"/>
      <w:bookmarkStart w:id="5" w:name="_Toc19675"/>
      <w:bookmarkStart w:id="6" w:name="_Toc89423794"/>
      <w:r>
        <w:rPr>
          <w:noProof/>
        </w:rPr>
        <w:drawing>
          <wp:inline distT="0" distB="0" distL="114300" distR="114300">
            <wp:extent cx="5505450" cy="3533775"/>
            <wp:effectExtent l="0" t="0" r="19050" b="9525"/>
            <wp:docPr id="1029" name="Image1"/>
            <wp:cNvGraphicFramePr/>
            <a:graphic xmlns:a="http://schemas.openxmlformats.org/drawingml/2006/main">
              <a:graphicData uri="http://schemas.openxmlformats.org/drawingml/2006/chart">
                <c:chart xmlns:c="http://schemas.openxmlformats.org/drawingml/2006/chart" r:id="rId18"/>
              </a:graphicData>
            </a:graphic>
          </wp:inline>
        </w:drawing>
      </w:r>
    </w:p>
    <w:p w:rsidR="00BE7C2D" w:rsidRDefault="00D46B16">
      <w:pPr>
        <w:autoSpaceDE w:val="0"/>
        <w:jc w:val="center"/>
        <w:rPr>
          <w:rFonts w:ascii="方正黑体简体" w:eastAsia="方正黑体简体" w:hAnsi="宋体" w:cs="宋体"/>
          <w:b/>
          <w:sz w:val="28"/>
          <w:szCs w:val="28"/>
        </w:rPr>
      </w:pPr>
      <w:r>
        <w:rPr>
          <w:rFonts w:ascii="方正黑体简体" w:eastAsia="方正黑体简体" w:hAnsi="宋体" w:cs="宋体" w:hint="eastAsia"/>
          <w:b/>
          <w:sz w:val="28"/>
          <w:szCs w:val="28"/>
        </w:rPr>
        <w:t>图2 济宁市各县（市、区）采煤塌陷地预测结果（2021—2025年）</w:t>
      </w:r>
    </w:p>
    <w:bookmarkEnd w:id="3"/>
    <w:bookmarkEnd w:id="4"/>
    <w:bookmarkEnd w:id="5"/>
    <w:bookmarkEnd w:id="6"/>
    <w:p w:rsidR="00BE7C2D" w:rsidRDefault="00BE7C2D">
      <w:pPr>
        <w:spacing w:line="580" w:lineRule="exact"/>
        <w:rPr>
          <w:rFonts w:ascii="方正仿宋简体" w:eastAsia="方正仿宋简体" w:hAnsi="文星仿宋" w:cs="方正仿宋简体"/>
          <w:b/>
          <w:color w:val="000000"/>
          <w:sz w:val="32"/>
          <w:szCs w:val="32"/>
        </w:rPr>
      </w:pPr>
    </w:p>
    <w:p w:rsidR="00BE7C2D" w:rsidRDefault="00D46B16">
      <w:pPr>
        <w:spacing w:line="58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第二节  稳沉采煤塌陷地预测</w:t>
      </w:r>
    </w:p>
    <w:p w:rsidR="00BE7C2D" w:rsidRDefault="00BE7C2D">
      <w:pPr>
        <w:spacing w:line="580" w:lineRule="exact"/>
        <w:rPr>
          <w:rFonts w:ascii="方正仿宋简体" w:eastAsia="方正仿宋简体" w:hAnsi="文星仿宋" w:cs="方正仿宋简体"/>
          <w:b/>
          <w:color w:val="000000"/>
          <w:sz w:val="32"/>
          <w:szCs w:val="32"/>
        </w:rPr>
      </w:pPr>
    </w:p>
    <w:p w:rsidR="00BE7C2D" w:rsidRDefault="00D46B16">
      <w:pPr>
        <w:spacing w:line="600" w:lineRule="exact"/>
        <w:ind w:firstLineChars="196" w:firstLine="614"/>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2025年，济宁市稳沉采煤塌陷地为39582.38公顷，规划期内新增7634.82公顷。其中，2021年，稳沉采煤塌陷地为34288.52公顷，年增2340.95公顷，增长率7.33%；2022年，为35710.26公顷，年增1421.74公顷，增长率4.15%；2023年，为37426.60公顷，年增1716.34公顷，增长率4.81%；2024年，为38478.57公顷，年增1051.98公顷，增长率2.81%；2025年，为39582.38公顷，年增1103.81公顷，增长率2.87%。</w:t>
      </w:r>
    </w:p>
    <w:p w:rsidR="00BE7C2D" w:rsidRDefault="00D46B16">
      <w:pPr>
        <w:spacing w:line="600" w:lineRule="exact"/>
        <w:ind w:firstLineChars="196" w:firstLine="614"/>
        <w:rPr>
          <w:rFonts w:ascii="方正仿宋简体" w:eastAsia="方正仿宋简体" w:hAnsi="文星仿宋" w:cs="方正仿宋简体"/>
          <w:b/>
          <w:color w:val="000000"/>
          <w:sz w:val="32"/>
          <w:szCs w:val="32"/>
        </w:rPr>
        <w:sectPr w:rsidR="00BE7C2D">
          <w:pgSz w:w="11906" w:h="16838"/>
          <w:pgMar w:top="1814" w:right="1588" w:bottom="1191" w:left="1588" w:header="0" w:footer="1418" w:gutter="0"/>
          <w:pgNumType w:fmt="numberInDash"/>
          <w:cols w:space="425"/>
          <w:docGrid w:type="linesAndChars" w:linePitch="628" w:charSpace="-1683"/>
        </w:sectPr>
      </w:pPr>
      <w:r>
        <w:rPr>
          <w:rFonts w:ascii="方正仿宋简体" w:eastAsia="方正仿宋简体" w:hAnsi="文星仿宋" w:cs="方正仿宋简体" w:hint="eastAsia"/>
          <w:b/>
          <w:color w:val="000000"/>
          <w:sz w:val="32"/>
          <w:szCs w:val="32"/>
        </w:rPr>
        <w:t>2021—2025年</w:t>
      </w:r>
      <w:r>
        <w:rPr>
          <w:rFonts w:ascii="方正仿宋简体" w:eastAsia="方正仿宋简体" w:hAnsi="文星仿宋" w:cs="方正仿宋简体" w:hint="eastAsia"/>
          <w:b/>
          <w:color w:val="000000"/>
          <w:spacing w:val="-6"/>
          <w:sz w:val="32"/>
          <w:szCs w:val="32"/>
        </w:rPr>
        <w:t>全市稳沉采煤塌陷地预测结果见专栏3与</w:t>
      </w:r>
      <w:r>
        <w:rPr>
          <w:rFonts w:ascii="方正仿宋简体" w:eastAsia="方正仿宋简体" w:hAnsi="文星仿宋" w:cs="方正仿宋简体" w:hint="eastAsia"/>
          <w:b/>
          <w:color w:val="000000"/>
          <w:sz w:val="32"/>
          <w:szCs w:val="32"/>
        </w:rPr>
        <w:t>图3。</w:t>
      </w:r>
    </w:p>
    <w:tbl>
      <w:tblPr>
        <w:tblW w:w="5000" w:type="pct"/>
        <w:tblLook w:val="04A0" w:firstRow="1" w:lastRow="0" w:firstColumn="1" w:lastColumn="0" w:noHBand="0" w:noVBand="1"/>
      </w:tblPr>
      <w:tblGrid>
        <w:gridCol w:w="1281"/>
        <w:gridCol w:w="3488"/>
        <w:gridCol w:w="1915"/>
        <w:gridCol w:w="1915"/>
        <w:gridCol w:w="1915"/>
        <w:gridCol w:w="1915"/>
        <w:gridCol w:w="1903"/>
      </w:tblGrid>
      <w:tr w:rsidR="00BE7C2D">
        <w:trPr>
          <w:trHeight w:val="499"/>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黑体简体" w:eastAsia="方正黑体简体"/>
                <w:b/>
                <w:szCs w:val="20"/>
              </w:rPr>
            </w:pPr>
            <w:r>
              <w:rPr>
                <w:rFonts w:ascii="方正黑体简体" w:eastAsia="方正黑体简体" w:hint="eastAsia"/>
                <w:b/>
                <w:szCs w:val="20"/>
              </w:rPr>
              <w:t>专栏 3  济宁市稳沉采煤塌陷地预测结果（2021—2025年）（单位：公顷）</w:t>
            </w:r>
          </w:p>
        </w:tc>
      </w:tr>
      <w:tr w:rsidR="00BE7C2D">
        <w:trPr>
          <w:trHeight w:val="499"/>
        </w:trPr>
        <w:tc>
          <w:tcPr>
            <w:tcW w:w="447" w:type="pct"/>
            <w:tcBorders>
              <w:top w:val="single" w:sz="8" w:space="0" w:color="000000"/>
              <w:left w:val="single" w:sz="8" w:space="0" w:color="000000"/>
              <w:bottom w:val="single" w:sz="8" w:space="0" w:color="000000"/>
              <w:right w:val="single" w:sz="8" w:space="0" w:color="000000"/>
            </w:tcBorders>
            <w:vAlign w:val="center"/>
          </w:tcPr>
          <w:p w:rsidR="00BE7C2D" w:rsidRDefault="00D46B16">
            <w:pPr>
              <w:spacing w:line="300" w:lineRule="exact"/>
              <w:jc w:val="center"/>
              <w:rPr>
                <w:rFonts w:ascii="方正黑体简体" w:eastAsia="方正黑体简体"/>
                <w:b/>
                <w:szCs w:val="20"/>
              </w:rPr>
            </w:pPr>
            <w:r>
              <w:rPr>
                <w:rFonts w:ascii="方正黑体简体" w:eastAsia="方正黑体简体" w:hint="eastAsia"/>
                <w:b/>
                <w:szCs w:val="20"/>
              </w:rPr>
              <w:t>序号</w:t>
            </w:r>
          </w:p>
        </w:tc>
        <w:tc>
          <w:tcPr>
            <w:tcW w:w="1216" w:type="pct"/>
            <w:tcBorders>
              <w:top w:val="single" w:sz="8" w:space="0" w:color="000000"/>
              <w:left w:val="nil"/>
              <w:bottom w:val="single" w:sz="8" w:space="0" w:color="000000"/>
              <w:right w:val="single" w:sz="8" w:space="0" w:color="000000"/>
            </w:tcBorders>
            <w:vAlign w:val="center"/>
          </w:tcPr>
          <w:p w:rsidR="00BE7C2D" w:rsidRDefault="00D46B16">
            <w:pPr>
              <w:spacing w:line="300" w:lineRule="exact"/>
              <w:jc w:val="center"/>
              <w:rPr>
                <w:rFonts w:ascii="方正黑体简体" w:eastAsia="方正黑体简体"/>
                <w:b/>
                <w:szCs w:val="20"/>
              </w:rPr>
            </w:pPr>
            <w:r>
              <w:rPr>
                <w:rFonts w:ascii="方正黑体简体" w:eastAsia="方正黑体简体" w:hint="eastAsia"/>
                <w:b/>
                <w:szCs w:val="20"/>
              </w:rPr>
              <w:t>县（市</w:t>
            </w:r>
            <w:r>
              <w:rPr>
                <w:rFonts w:ascii="方正黑体简体" w:eastAsia="方正黑体简体"/>
                <w:b/>
                <w:szCs w:val="20"/>
              </w:rPr>
              <w:t>、区</w:t>
            </w:r>
            <w:r>
              <w:rPr>
                <w:rFonts w:ascii="方正黑体简体" w:eastAsia="方正黑体简体" w:hint="eastAsia"/>
                <w:b/>
                <w:szCs w:val="20"/>
              </w:rPr>
              <w:t>）</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黑体简体" w:eastAsia="方正黑体简体"/>
                <w:b/>
                <w:szCs w:val="20"/>
              </w:rPr>
            </w:pPr>
            <w:r>
              <w:rPr>
                <w:rFonts w:ascii="方正黑体简体" w:eastAsia="方正黑体简体" w:hint="eastAsia"/>
                <w:b/>
                <w:szCs w:val="20"/>
              </w:rPr>
              <w:t>2021年</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黑体简体" w:eastAsia="方正黑体简体"/>
                <w:b/>
                <w:szCs w:val="20"/>
              </w:rPr>
            </w:pPr>
            <w:r>
              <w:rPr>
                <w:rFonts w:ascii="方正黑体简体" w:eastAsia="方正黑体简体" w:hint="eastAsia"/>
                <w:b/>
                <w:szCs w:val="20"/>
              </w:rPr>
              <w:t>2022年</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黑体简体" w:eastAsia="方正黑体简体"/>
                <w:b/>
                <w:szCs w:val="20"/>
              </w:rPr>
            </w:pPr>
            <w:r>
              <w:rPr>
                <w:rFonts w:ascii="方正黑体简体" w:eastAsia="方正黑体简体" w:hint="eastAsia"/>
                <w:b/>
                <w:szCs w:val="20"/>
              </w:rPr>
              <w:t>2023年</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黑体简体" w:eastAsia="方正黑体简体"/>
                <w:b/>
                <w:szCs w:val="20"/>
              </w:rPr>
            </w:pPr>
            <w:r>
              <w:rPr>
                <w:rFonts w:ascii="方正黑体简体" w:eastAsia="方正黑体简体" w:hint="eastAsia"/>
                <w:b/>
                <w:szCs w:val="20"/>
              </w:rPr>
              <w:t>2024年</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黑体简体" w:eastAsia="方正黑体简体"/>
                <w:b/>
                <w:szCs w:val="20"/>
              </w:rPr>
            </w:pPr>
            <w:r>
              <w:rPr>
                <w:rFonts w:ascii="方正黑体简体" w:eastAsia="方正黑体简体" w:hint="eastAsia"/>
                <w:b/>
                <w:szCs w:val="20"/>
              </w:rPr>
              <w:t>2025年</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1</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任城区</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4349.43</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4551.95</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4921.55</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5116.02</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5530.61</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2</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兖州区</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4030.73</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4337.59</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4350.10</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4502.28</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4766.55</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3</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曲阜市</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2359.33</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2534.70</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2715.30</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2917.09</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2934.26</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4</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邹城市</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7938.20</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8247.31</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8528.11</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8583.15</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8699.58</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5</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微山县</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4426.46</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4470.99</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4936.09</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5021.61</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5199.77</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6</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鱼台县</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994.57</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994.57</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1036.24</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1037.05</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1037.05</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7</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金乡县</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519.80</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563.07</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590.00</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603.40</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615.60</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8</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嘉祥县</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659.90</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794.30</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1082.43</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1243.26</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1316.02</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9</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梁山县</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66.91</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66.91</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66.91</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66.91</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66.91</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10</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汶上县</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1252.91</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1278.74</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1326.88</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1416.48</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1431.29</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11</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济宁高新区</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4601.81</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4699.88</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4699.88</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4727.09</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4732.69</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12</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太白湖新区</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3074.89</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3156.67</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3156.67</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3225.26</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3233.08</w:t>
            </w:r>
          </w:p>
        </w:tc>
      </w:tr>
      <w:tr w:rsidR="00BE7C2D">
        <w:trPr>
          <w:trHeight w:val="499"/>
        </w:trPr>
        <w:tc>
          <w:tcPr>
            <w:tcW w:w="447" w:type="pct"/>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13</w:t>
            </w:r>
          </w:p>
        </w:tc>
        <w:tc>
          <w:tcPr>
            <w:tcW w:w="1216"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济宁经济技术开发区</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13.58</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13.58</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16.44</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18.97</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18.97</w:t>
            </w:r>
          </w:p>
        </w:tc>
      </w:tr>
      <w:tr w:rsidR="00BE7C2D">
        <w:trPr>
          <w:trHeight w:val="499"/>
        </w:trPr>
        <w:tc>
          <w:tcPr>
            <w:tcW w:w="1664" w:type="pct"/>
            <w:gridSpan w:val="2"/>
            <w:tcBorders>
              <w:top w:val="nil"/>
              <w:left w:val="single" w:sz="8" w:space="0" w:color="000000"/>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szCs w:val="20"/>
              </w:rPr>
              <w:t>合计</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rPr>
            </w:pPr>
            <w:r>
              <w:rPr>
                <w:rFonts w:ascii="方正仿宋简体" w:eastAsia="方正仿宋简体" w:hint="eastAsia"/>
                <w:b/>
              </w:rPr>
              <w:t>34288.52</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35710.26</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37426.60</w:t>
            </w:r>
          </w:p>
        </w:tc>
        <w:tc>
          <w:tcPr>
            <w:tcW w:w="668"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38478.57</w:t>
            </w:r>
          </w:p>
        </w:tc>
        <w:tc>
          <w:tcPr>
            <w:tcW w:w="665" w:type="pct"/>
            <w:tcBorders>
              <w:top w:val="nil"/>
              <w:left w:val="nil"/>
              <w:bottom w:val="single" w:sz="8" w:space="0" w:color="000000"/>
              <w:right w:val="single" w:sz="8" w:space="0" w:color="000000"/>
            </w:tcBorders>
            <w:shd w:val="clear" w:color="auto" w:fill="auto"/>
            <w:vAlign w:val="center"/>
          </w:tcPr>
          <w:p w:rsidR="00BE7C2D" w:rsidRDefault="00D46B16">
            <w:pPr>
              <w:spacing w:line="300" w:lineRule="exact"/>
              <w:jc w:val="center"/>
              <w:rPr>
                <w:rFonts w:ascii="方正仿宋简体" w:eastAsia="方正仿宋简体"/>
                <w:b/>
                <w:szCs w:val="20"/>
                <w:highlight w:val="yellow"/>
              </w:rPr>
            </w:pPr>
            <w:r>
              <w:rPr>
                <w:rFonts w:ascii="方正仿宋简体" w:eastAsia="方正仿宋简体" w:hint="eastAsia"/>
                <w:b/>
              </w:rPr>
              <w:t>39582.38</w:t>
            </w:r>
          </w:p>
        </w:tc>
      </w:tr>
    </w:tbl>
    <w:p w:rsidR="00BE7C2D" w:rsidRDefault="00BE7C2D">
      <w:pPr>
        <w:spacing w:line="580" w:lineRule="exact"/>
        <w:ind w:firstLineChars="196" w:firstLine="614"/>
        <w:rPr>
          <w:rFonts w:ascii="方正仿宋简体" w:eastAsia="方正仿宋简体" w:hAnsi="文星仿宋" w:cs="方正仿宋简体"/>
          <w:b/>
          <w:color w:val="000000"/>
          <w:sz w:val="32"/>
          <w:szCs w:val="32"/>
        </w:rPr>
        <w:sectPr w:rsidR="00BE7C2D">
          <w:pgSz w:w="16838" w:h="11906" w:orient="landscape"/>
          <w:pgMar w:top="1134" w:right="1134" w:bottom="1134" w:left="1588" w:header="0" w:footer="1134" w:gutter="0"/>
          <w:pgNumType w:fmt="numberInDash"/>
          <w:cols w:space="425"/>
          <w:docGrid w:type="linesAndChars" w:linePitch="628" w:charSpace="-1683"/>
        </w:sectPr>
      </w:pPr>
    </w:p>
    <w:p w:rsidR="00BE7C2D" w:rsidRDefault="00D46B16">
      <w:pPr>
        <w:keepNext/>
        <w:keepLines/>
        <w:spacing w:line="416" w:lineRule="auto"/>
        <w:jc w:val="center"/>
      </w:pPr>
      <w:r>
        <w:rPr>
          <w:noProof/>
        </w:rPr>
        <w:drawing>
          <wp:inline distT="0" distB="0" distL="114300" distR="114300">
            <wp:extent cx="5506720" cy="3595370"/>
            <wp:effectExtent l="0" t="0" r="0" b="0"/>
            <wp:docPr id="1031" name="Image1"/>
            <wp:cNvGraphicFramePr/>
            <a:graphic xmlns:a="http://schemas.openxmlformats.org/drawingml/2006/main">
              <a:graphicData uri="http://schemas.openxmlformats.org/drawingml/2006/chart">
                <c:chart xmlns:c="http://schemas.openxmlformats.org/drawingml/2006/chart" r:id="rId19"/>
              </a:graphicData>
            </a:graphic>
          </wp:inline>
        </w:drawing>
      </w:r>
    </w:p>
    <w:p w:rsidR="00BE7C2D" w:rsidRDefault="00D46B16">
      <w:pPr>
        <w:autoSpaceDE w:val="0"/>
        <w:jc w:val="center"/>
        <w:rPr>
          <w:rFonts w:ascii="方正黑体简体" w:eastAsia="方正黑体简体" w:hAnsi="宋体" w:cs="宋体"/>
          <w:b/>
          <w:sz w:val="28"/>
          <w:szCs w:val="28"/>
        </w:rPr>
      </w:pPr>
      <w:r>
        <w:rPr>
          <w:rFonts w:ascii="方正黑体简体" w:eastAsia="方正黑体简体" w:hAnsi="宋体" w:cs="宋体" w:hint="eastAsia"/>
          <w:b/>
          <w:sz w:val="28"/>
          <w:szCs w:val="28"/>
        </w:rPr>
        <w:t>图3 济宁市各县（市、区）稳沉采煤塌陷地预测结果（2021—2025年）</w:t>
      </w:r>
    </w:p>
    <w:p w:rsidR="00BE7C2D" w:rsidRDefault="00BE7C2D">
      <w:pPr>
        <w:spacing w:line="600" w:lineRule="exact"/>
        <w:jc w:val="center"/>
        <w:rPr>
          <w:rFonts w:ascii="方正楷体简体" w:eastAsia="方正楷体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第三节  采煤塌陷损毁地类预测</w:t>
      </w:r>
    </w:p>
    <w:p w:rsidR="00BE7C2D" w:rsidRDefault="00BE7C2D">
      <w:pPr>
        <w:spacing w:line="600" w:lineRule="exact"/>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2025年，济宁市采煤塌陷地损毁的地类主要为耕地、水域及水利设施用地和林地。其中，耕地20921.92公顷，占42.59%；水域及水利设施用地11966.60公顷，占24.36%；林地7745.96公顷，占15.77%；城镇住宅用地4575.06公顷，占9.31%；交通运输用地1739.36公顷，占3.54%；园地1027.27公顷，占2.09%；工矿仓储用地367.62公顷，占0.75%；其他地类共779.66公顷，占1.59%。2021—2025年采煤塌陷地损毁地类详见附表1。</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第四节  采煤塌陷损毁程度预测</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2025年，济宁市未治理采煤塌陷地中，轻度采煤塌陷地10595.48公顷，占比46.25%；中度采煤塌陷地7129.24公顷，占比31.12%；重度采煤塌陷地5183.47公顷，占比22.63%。2021—2025年采煤塌陷地损毁程度详见附表2。</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b/>
          <w:color w:val="000000"/>
          <w:sz w:val="32"/>
          <w:szCs w:val="32"/>
        </w:rPr>
        <w:t xml:space="preserve"> </w:t>
      </w:r>
    </w:p>
    <w:p w:rsidR="00BE7C2D" w:rsidRDefault="00D46B16">
      <w:pPr>
        <w:spacing w:line="600" w:lineRule="exact"/>
        <w:jc w:val="center"/>
        <w:rPr>
          <w:rFonts w:ascii="方正小标宋简体" w:eastAsia="方正小标宋简体" w:hAnsi="文星仿宋" w:cs="方正仿宋简体"/>
          <w:b/>
          <w:color w:val="000000"/>
          <w:sz w:val="32"/>
          <w:szCs w:val="32"/>
        </w:rPr>
      </w:pPr>
      <w:r>
        <w:rPr>
          <w:rFonts w:ascii="方正小标宋简体" w:eastAsia="方正小标宋简体" w:hAnsi="文星仿宋" w:cs="方正仿宋简体" w:hint="eastAsia"/>
          <w:b/>
          <w:color w:val="000000"/>
          <w:sz w:val="32"/>
          <w:szCs w:val="32"/>
        </w:rPr>
        <w:t>第四章  指导思想、基本原则与规划目标</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第一节  指导思想</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以习近平新时代中国特色社会主义思想为指导，贯彻党的十九大和十九届历次全会精神，践行“绿水青山就是金山银山”理念，严格执行保护耕地、保护环境的基本国策，以服务高质量发展、生态文明建设和美丽宜居乡村建设为目标，统筹实施采煤塌陷地治理，推动黄河流域生态保护与高质量发展。</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第二节  基本原则</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56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一、生态为基，耕地优先</w:t>
      </w:r>
    </w:p>
    <w:p w:rsidR="00BE7C2D" w:rsidRDefault="00D46B16">
      <w:pPr>
        <w:spacing w:line="56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坚持“十分珍惜、合理利用土地和切实保护耕地”的基本国策，采煤塌陷的耕地优先恢复为耕地，无法恢复为耕地的优先治理为其他农用地，确实无法恢复农业用途的，按照矿山生态文明建设要求，加强生态环境修复。</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二、因地制宜，以人为本</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从采煤塌陷地实际和区域发展需要出发，开展采煤塌陷地综合治理。坚持矿区集体土地治理农民的主体地位，切实维护农村集体经济组织和农民的合法权益。</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三、创新驱动，完善机制</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探索建立边采边治等模式，减少采煤塌陷地增量。建立与高标准农田、农田水利、生态修复、水质净化等项目复合实施的治理机制，提高治理成效。推行采煤塌陷地土地流转经营，发展多种形式的农业适度规模经营；完善吸引社会投入的鼓励政策，引导社会资金参与治理；建立健全监管机制和绩效评价机制。</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第三节  规划目标</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一、规划期目标</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2021年济宁市治理稳沉采煤塌陷地4124.48公顷，其中治理历史遗留塌陷地730.71公顷，累计治理已稳沉采煤塌陷地30348.84公顷。</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2022年济宁市治理稳沉采煤塌陷地3939.68公顷（含城镇村658.13公顷），治理率达到100%，其中治理历史遗留塌陷地612.2</w:t>
      </w:r>
      <w:r>
        <w:rPr>
          <w:rFonts w:ascii="方正仿宋简体" w:eastAsia="方正仿宋简体" w:hAnsi="文星仿宋" w:cs="方正仿宋简体"/>
          <w:b/>
          <w:color w:val="000000"/>
          <w:sz w:val="32"/>
          <w:szCs w:val="32"/>
        </w:rPr>
        <w:t>0</w:t>
      </w:r>
      <w:r>
        <w:rPr>
          <w:rFonts w:ascii="方正仿宋简体" w:eastAsia="方正仿宋简体" w:hAnsi="文星仿宋" w:cs="方正仿宋简体" w:hint="eastAsia"/>
          <w:b/>
          <w:color w:val="000000"/>
          <w:sz w:val="32"/>
          <w:szCs w:val="32"/>
        </w:rPr>
        <w:t>公顷，治理率达到100%。</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2023—2025年，治理稳沉采煤塌陷地4190.05公顷，累计治理稳沉采煤塌陷地38478.57公顷，治理率达到100%。其中，2023年治理1421.74公顷、2024年治理1716.34公顷、2025年治理1051.97公顷，每年治理上一年度稳沉采煤塌陷地达到100%；治理未稳沉采煤塌陷地2839.07公顷，治理率达到30%。见专栏4。</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二、展望期目标</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2026—2030年，治理稳沉采煤塌陷地7808.49公顷，累计治理稳沉采煤塌陷地46287.06公顷，治理率达到100%。治理未稳沉采煤塌陷地2386.56公顷，治理率达到50%。</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sectPr w:rsidR="00BE7C2D">
          <w:headerReference w:type="default" r:id="rId20"/>
          <w:footerReference w:type="default" r:id="rId21"/>
          <w:pgSz w:w="11906" w:h="16838"/>
          <w:pgMar w:top="1814" w:right="1588" w:bottom="1191" w:left="1588" w:header="0" w:footer="1418" w:gutter="0"/>
          <w:pgNumType w:fmt="numberInDash"/>
          <w:cols w:space="425"/>
          <w:docGrid w:type="linesAndChars" w:linePitch="628" w:charSpace="-1683"/>
        </w:sectPr>
      </w:pPr>
    </w:p>
    <w:tbl>
      <w:tblPr>
        <w:tblW w:w="5000" w:type="pct"/>
        <w:tblCellMar>
          <w:left w:w="57" w:type="dxa"/>
          <w:right w:w="57" w:type="dxa"/>
        </w:tblCellMar>
        <w:tblLook w:val="04A0" w:firstRow="1" w:lastRow="0" w:firstColumn="1" w:lastColumn="0" w:noHBand="0" w:noVBand="1"/>
      </w:tblPr>
      <w:tblGrid>
        <w:gridCol w:w="594"/>
        <w:gridCol w:w="1848"/>
        <w:gridCol w:w="895"/>
        <w:gridCol w:w="1075"/>
        <w:gridCol w:w="895"/>
        <w:gridCol w:w="1075"/>
        <w:gridCol w:w="1376"/>
        <w:gridCol w:w="1376"/>
        <w:gridCol w:w="1377"/>
        <w:gridCol w:w="1135"/>
        <w:gridCol w:w="1545"/>
        <w:gridCol w:w="1039"/>
      </w:tblGrid>
      <w:tr w:rsidR="00BE7C2D">
        <w:trPr>
          <w:trHeight w:val="454"/>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专栏4 济宁市采煤塌陷地治理目标（2021—2025年）（单位：公顷）</w:t>
            </w:r>
          </w:p>
        </w:tc>
      </w:tr>
      <w:tr w:rsidR="00BE7C2D">
        <w:trPr>
          <w:trHeight w:val="454"/>
        </w:trPr>
        <w:tc>
          <w:tcPr>
            <w:tcW w:w="21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hAnsi="宋体" w:cs="宋体"/>
                <w:b/>
                <w:color w:val="000000"/>
              </w:rPr>
            </w:pPr>
            <w:r>
              <w:rPr>
                <w:rFonts w:ascii="方正黑体简体" w:eastAsia="方正黑体简体" w:hAnsi="宋体" w:cs="宋体" w:hint="eastAsia"/>
                <w:b/>
                <w:color w:val="000000"/>
              </w:rPr>
              <w:t>序号</w:t>
            </w:r>
          </w:p>
        </w:tc>
        <w:tc>
          <w:tcPr>
            <w:tcW w:w="63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hAnsi="宋体" w:cs="宋体"/>
                <w:b/>
                <w:color w:val="000000"/>
              </w:rPr>
            </w:pPr>
            <w:r>
              <w:rPr>
                <w:rFonts w:ascii="方正黑体简体" w:eastAsia="方正黑体简体" w:hAnsi="宋体" w:cs="宋体" w:hint="eastAsia"/>
                <w:b/>
                <w:color w:val="000000"/>
              </w:rPr>
              <w:t>县（市</w:t>
            </w:r>
            <w:r>
              <w:rPr>
                <w:rFonts w:ascii="方正黑体简体" w:eastAsia="方正黑体简体" w:hAnsi="宋体" w:cs="宋体"/>
                <w:b/>
                <w:color w:val="000000"/>
              </w:rPr>
              <w:t>、区</w:t>
            </w:r>
            <w:r>
              <w:rPr>
                <w:rFonts w:ascii="方正黑体简体" w:eastAsia="方正黑体简体" w:hAnsi="宋体" w:cs="宋体" w:hint="eastAsia"/>
                <w:b/>
                <w:color w:val="000000"/>
              </w:rPr>
              <w:t>）</w:t>
            </w:r>
          </w:p>
        </w:tc>
        <w:tc>
          <w:tcPr>
            <w:tcW w:w="69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2021年治理情况</w:t>
            </w:r>
          </w:p>
        </w:tc>
        <w:tc>
          <w:tcPr>
            <w:tcW w:w="69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2022年治理目标</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2023年</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治理目标</w:t>
            </w:r>
          </w:p>
        </w:tc>
        <w:tc>
          <w:tcPr>
            <w:tcW w:w="4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2024年</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治理目标</w:t>
            </w:r>
          </w:p>
        </w:tc>
        <w:tc>
          <w:tcPr>
            <w:tcW w:w="4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2025年</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治理目标</w:t>
            </w:r>
          </w:p>
        </w:tc>
        <w:tc>
          <w:tcPr>
            <w:tcW w:w="400" w:type="pct"/>
            <w:vMerge w:val="restart"/>
            <w:tcBorders>
              <w:top w:val="single" w:sz="4" w:space="0" w:color="000000"/>
              <w:left w:val="single" w:sz="4" w:space="0" w:color="000000"/>
              <w:right w:val="single" w:sz="4" w:space="0" w:color="auto"/>
            </w:tcBorders>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治理稳沉</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合计</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2023—2025年</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治理目标</w:t>
            </w:r>
          </w:p>
        </w:tc>
        <w:tc>
          <w:tcPr>
            <w:tcW w:w="360" w:type="pct"/>
            <w:vMerge w:val="restart"/>
            <w:tcBorders>
              <w:top w:val="single" w:sz="4" w:space="0" w:color="000000"/>
              <w:left w:val="single" w:sz="4" w:space="0" w:color="auto"/>
              <w:right w:val="single" w:sz="4" w:space="0" w:color="000000"/>
            </w:tcBorders>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总计</w:t>
            </w:r>
          </w:p>
        </w:tc>
      </w:tr>
      <w:tr w:rsidR="00BE7C2D">
        <w:trPr>
          <w:trHeight w:val="454"/>
        </w:trPr>
        <w:tc>
          <w:tcPr>
            <w:tcW w:w="21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BE7C2D">
            <w:pPr>
              <w:widowControl/>
              <w:spacing w:line="300" w:lineRule="exact"/>
              <w:jc w:val="center"/>
              <w:rPr>
                <w:rFonts w:ascii="方正黑体简体" w:eastAsia="方正黑体简体" w:hAnsi="宋体" w:cs="宋体"/>
                <w:b/>
                <w:color w:val="000000"/>
              </w:rPr>
            </w:pPr>
          </w:p>
        </w:tc>
        <w:tc>
          <w:tcPr>
            <w:tcW w:w="63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BE7C2D">
            <w:pPr>
              <w:widowControl/>
              <w:spacing w:line="300" w:lineRule="exact"/>
              <w:jc w:val="center"/>
              <w:rPr>
                <w:rFonts w:ascii="方正黑体简体" w:eastAsia="方正黑体简体" w:hAnsi="宋体" w:cs="宋体"/>
                <w:b/>
                <w:color w:val="000000"/>
              </w:rPr>
            </w:pP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稳沉</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其中：</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历史遗留</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稳沉</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其中：</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历史遗留</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稳沉</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（2022年）</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稳沉</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（2023年）</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稳沉</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（2024年）</w:t>
            </w:r>
          </w:p>
        </w:tc>
        <w:tc>
          <w:tcPr>
            <w:tcW w:w="400" w:type="pct"/>
            <w:vMerge/>
            <w:tcBorders>
              <w:left w:val="single" w:sz="4" w:space="0" w:color="000000"/>
              <w:bottom w:val="single" w:sz="4" w:space="0" w:color="000000"/>
              <w:right w:val="single" w:sz="4" w:space="0" w:color="auto"/>
            </w:tcBorders>
            <w:vAlign w:val="center"/>
          </w:tcPr>
          <w:p w:rsidR="00BE7C2D" w:rsidRDefault="00BE7C2D">
            <w:pPr>
              <w:widowControl/>
              <w:spacing w:line="300" w:lineRule="exact"/>
              <w:jc w:val="center"/>
              <w:textAlignment w:val="center"/>
              <w:rPr>
                <w:rFonts w:ascii="方正黑体简体" w:eastAsia="方正黑体简体"/>
                <w:b/>
                <w:color w:val="000000"/>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未稳沉</w:t>
            </w:r>
          </w:p>
          <w:p w:rsidR="00BE7C2D" w:rsidRDefault="00D46B16">
            <w:pPr>
              <w:widowControl/>
              <w:spacing w:line="300" w:lineRule="exact"/>
              <w:jc w:val="center"/>
              <w:textAlignment w:val="center"/>
              <w:rPr>
                <w:rFonts w:ascii="方正黑体简体" w:eastAsia="方正黑体简体"/>
                <w:b/>
                <w:color w:val="000000"/>
              </w:rPr>
            </w:pPr>
            <w:r>
              <w:rPr>
                <w:rFonts w:ascii="方正黑体简体" w:eastAsia="方正黑体简体" w:hint="eastAsia"/>
                <w:b/>
                <w:color w:val="000000"/>
              </w:rPr>
              <w:t>（2024年）</w:t>
            </w:r>
          </w:p>
        </w:tc>
        <w:tc>
          <w:tcPr>
            <w:tcW w:w="360" w:type="pct"/>
            <w:vMerge/>
            <w:tcBorders>
              <w:left w:val="single" w:sz="4" w:space="0" w:color="auto"/>
              <w:bottom w:val="single" w:sz="4" w:space="0" w:color="000000"/>
              <w:right w:val="single" w:sz="4" w:space="0" w:color="000000"/>
            </w:tcBorders>
            <w:vAlign w:val="center"/>
          </w:tcPr>
          <w:p w:rsidR="00BE7C2D" w:rsidRDefault="00BE7C2D">
            <w:pPr>
              <w:widowControl/>
              <w:spacing w:line="300" w:lineRule="exact"/>
              <w:jc w:val="center"/>
              <w:textAlignment w:val="center"/>
              <w:rPr>
                <w:rFonts w:ascii="方正仿宋简体" w:eastAsia="方正仿宋简体"/>
                <w:b/>
                <w:color w:val="000000"/>
              </w:rPr>
            </w:pPr>
          </w:p>
        </w:tc>
      </w:tr>
      <w:tr w:rsidR="00BE7C2D">
        <w:trPr>
          <w:trHeight w:val="417"/>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1</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任城区</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569.64</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1138.95</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202.52</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369.60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194.47</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2475.18</w:t>
            </w:r>
          </w:p>
        </w:tc>
        <w:tc>
          <w:tcPr>
            <w:tcW w:w="544" w:type="pct"/>
            <w:tcBorders>
              <w:top w:val="single" w:sz="4" w:space="0" w:color="auto"/>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630.76</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3105.94</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2</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兖州区</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328.78</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4.53</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920.30</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 xml:space="preserve">205.34 </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306.86</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12.51</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152.18</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1720.63</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291.88</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2012.51</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3</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曲阜市</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228.32</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37.56</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119.45</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23.99</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175.37</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180.60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201.79</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905.53</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91.35</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996.88</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4</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邹城市</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1061.03</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407.11</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757.44</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291.42</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309.11</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280.80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55.04</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2463.42</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190.51</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2653.93</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5</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微山县</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393.05</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172.50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329.60</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12.61</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44.53</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465.10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85.52</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1317.80</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431.42</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1749.22</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6</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鱼台县</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85.13</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0.15</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45.20</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1.40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41.67</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0.81</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172.81</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53.37</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226.18</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7</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金乡县</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30.71</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68.64</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43.27</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26.93</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13.40</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182.94</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192.28</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375.22</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8</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嘉祥县</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61.70</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68.14</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134.40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288.13</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160.83</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713.20</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215.76</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928.96</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9</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梁山县</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53.33</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13.58</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66.91</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11.54</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78.45</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10</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汶上县</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134.61</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79.38</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25.83</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48.14</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89.60</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377.56</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280.73</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658.29</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11</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济宁高新区</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773.52</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70.97</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328.93</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39.68</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98.07</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27.21</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1227.73</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132.57</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1360.30</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12</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太白湖新区</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404.66</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37.89</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56.52</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37.74</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81.78</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68.59</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611.55</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316.90</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928.45</w:t>
            </w:r>
          </w:p>
        </w:tc>
      </w:tr>
      <w:tr w:rsidR="00BE7C2D">
        <w:trPr>
          <w:trHeight w:val="454"/>
        </w:trPr>
        <w:tc>
          <w:tcPr>
            <w:tcW w:w="2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color w:val="000000"/>
              </w:rPr>
            </w:pPr>
            <w:r>
              <w:rPr>
                <w:rFonts w:ascii="方正仿宋简体" w:eastAsia="方正仿宋简体" w:hint="eastAsia"/>
                <w:b/>
                <w:color w:val="000000"/>
              </w:rPr>
              <w:t>13</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济宁经济技术开发区</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13.58</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2.86</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2.53</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18.97</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rPr>
              <w:t>0.00</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18.97</w:t>
            </w:r>
          </w:p>
        </w:tc>
      </w:tr>
      <w:tr w:rsidR="00BE7C2D">
        <w:trPr>
          <w:trHeight w:val="454"/>
        </w:trPr>
        <w:tc>
          <w:tcPr>
            <w:tcW w:w="84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hAnsi="宋体" w:cs="宋体"/>
                <w:b/>
                <w:color w:val="000000"/>
              </w:rPr>
            </w:pPr>
            <w:r>
              <w:rPr>
                <w:rFonts w:ascii="方正仿宋简体" w:eastAsia="方正仿宋简体" w:hAnsi="宋体" w:cs="宋体" w:hint="eastAsia"/>
                <w:b/>
                <w:color w:val="000000"/>
              </w:rPr>
              <w:t>合计</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4124.48</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730.71</w:t>
            </w:r>
          </w:p>
        </w:tc>
        <w:tc>
          <w:tcPr>
            <w:tcW w:w="3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3939.68</w:t>
            </w:r>
          </w:p>
        </w:tc>
        <w:tc>
          <w:tcPr>
            <w:tcW w:w="3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612.20</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1421.74</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1716.34</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1051.97</w:t>
            </w:r>
          </w:p>
        </w:tc>
        <w:tc>
          <w:tcPr>
            <w:tcW w:w="40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rPr>
                <w:rFonts w:ascii="方正仿宋简体" w:eastAsia="方正仿宋简体"/>
                <w:b/>
              </w:rPr>
            </w:pPr>
            <w:r>
              <w:rPr>
                <w:rFonts w:ascii="方正仿宋简体" w:eastAsia="方正仿宋简体" w:hint="eastAsia"/>
                <w:b/>
                <w:color w:val="000000"/>
              </w:rPr>
              <w:t>12254.21</w:t>
            </w:r>
          </w:p>
        </w:tc>
        <w:tc>
          <w:tcPr>
            <w:tcW w:w="5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jc w:val="center"/>
              <w:textAlignment w:val="center"/>
              <w:rPr>
                <w:rFonts w:ascii="方正仿宋简体" w:eastAsia="方正仿宋简体"/>
                <w:b/>
              </w:rPr>
            </w:pPr>
            <w:r>
              <w:rPr>
                <w:rFonts w:ascii="方正仿宋简体" w:eastAsia="方正仿宋简体" w:hint="eastAsia"/>
                <w:b/>
                <w:color w:val="000000"/>
              </w:rPr>
              <w:t>2839.07</w:t>
            </w:r>
          </w:p>
        </w:tc>
        <w:tc>
          <w:tcPr>
            <w:tcW w:w="360" w:type="pct"/>
            <w:tcBorders>
              <w:top w:val="single" w:sz="4" w:space="0" w:color="000000"/>
              <w:left w:val="single" w:sz="4" w:space="0" w:color="000000"/>
              <w:bottom w:val="single" w:sz="4" w:space="0" w:color="000000"/>
              <w:right w:val="single" w:sz="4" w:space="0" w:color="000000"/>
            </w:tcBorders>
            <w:vAlign w:val="center"/>
          </w:tcPr>
          <w:p w:rsidR="00BE7C2D" w:rsidRDefault="00D46B16">
            <w:pPr>
              <w:widowControl/>
              <w:spacing w:line="300" w:lineRule="exact"/>
              <w:jc w:val="center"/>
              <w:rPr>
                <w:rFonts w:ascii="方正仿宋简体" w:eastAsia="方正仿宋简体"/>
                <w:b/>
              </w:rPr>
            </w:pPr>
            <w:r>
              <w:rPr>
                <w:rFonts w:ascii="方正仿宋简体" w:eastAsia="方正仿宋简体" w:hint="eastAsia"/>
                <w:b/>
                <w:color w:val="000000"/>
              </w:rPr>
              <w:t>15093.28</w:t>
            </w:r>
          </w:p>
        </w:tc>
      </w:tr>
    </w:tbl>
    <w:p w:rsidR="00BE7C2D" w:rsidRDefault="00BE7C2D">
      <w:pPr>
        <w:spacing w:line="600" w:lineRule="exact"/>
        <w:ind w:firstLineChars="200" w:firstLine="626"/>
        <w:rPr>
          <w:rFonts w:ascii="方正仿宋简体" w:eastAsia="方正仿宋简体" w:hAnsi="文星仿宋" w:cs="方正仿宋简体"/>
          <w:b/>
          <w:color w:val="000000"/>
          <w:sz w:val="32"/>
          <w:szCs w:val="32"/>
        </w:rPr>
        <w:sectPr w:rsidR="00BE7C2D">
          <w:headerReference w:type="even" r:id="rId22"/>
          <w:footerReference w:type="even" r:id="rId23"/>
          <w:pgSz w:w="16838" w:h="11906" w:orient="landscape"/>
          <w:pgMar w:top="1134" w:right="1134" w:bottom="1134" w:left="1588" w:header="0" w:footer="1134" w:gutter="0"/>
          <w:pgNumType w:fmt="numberInDash"/>
          <w:cols w:space="425"/>
          <w:docGrid w:type="linesAndChars" w:linePitch="628" w:charSpace="-1683"/>
        </w:sectPr>
      </w:pPr>
    </w:p>
    <w:p w:rsidR="00BE7C2D" w:rsidRDefault="00BE7C2D">
      <w:pPr>
        <w:spacing w:line="600" w:lineRule="exact"/>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小标宋简体" w:eastAsia="方正小标宋简体" w:hAnsi="文星仿宋" w:cs="方正仿宋简体"/>
          <w:b/>
          <w:color w:val="000000"/>
          <w:sz w:val="32"/>
          <w:szCs w:val="32"/>
        </w:rPr>
      </w:pPr>
      <w:r>
        <w:rPr>
          <w:rFonts w:ascii="方正小标宋简体" w:eastAsia="方正小标宋简体" w:hAnsi="文星仿宋" w:cs="方正仿宋简体" w:hint="eastAsia"/>
          <w:b/>
          <w:color w:val="000000"/>
          <w:sz w:val="32"/>
          <w:szCs w:val="32"/>
        </w:rPr>
        <w:t>第五章  治理分区与总体布局</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衔接黄河流域生态保护与高质量发展、大运河文化带建设、南水北调东线等重大战略、重大工程，在国土空间总体规划管控下，落实《山东省国土空间生态修复规划（2021—2035年）》《南四湖流域生态保护修复专项规划（2021—2035年）》，将济宁市采煤塌陷地治理划分为“一环两带六廊多片”分区格局。治理分区情况见专栏5。</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第一节  环济宁市主城区采煤塌陷地治理区</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一环，即环济宁市主城区采煤塌陷地治理区。重点围绕城市发展，拓展城市建设空间，引领城市向塌陷地发展，构建生态宜居组团。</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一、区域概况</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该区域包括任城区、济宁高新区和太白湖新区。主要涉及9对矿井，分别为葛亭煤矿（闭坑）、岱庄煤矿（停产）、许厂煤矿（闭坑）、田庄煤矿（闭坑）、运河煤矿、唐口煤矿、何岗煤矿、济宁二号煤矿和济宁三号煤矿。</w:t>
      </w:r>
    </w:p>
    <w:p w:rsidR="00BE7C2D" w:rsidRDefault="00D46B16">
      <w:pPr>
        <w:spacing w:line="58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二、区位特征</w:t>
      </w:r>
    </w:p>
    <w:p w:rsidR="00BE7C2D" w:rsidRDefault="00D46B16">
      <w:pPr>
        <w:spacing w:line="58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环绕济宁市主城区，属城市群中间开阔地带，经济发达、人口稠密、交通便利、良田广布。</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三、塌陷特点</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北部以条带开采为主，土地轻、中度塌陷；西北部部分区域常年积水；东南部大面积积水。</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四、治理模式</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主城区周边和高铁交通节点附近的轻、中度采煤塌陷地，主要治理预留城市发展用地空间，采用湿地、生态、农业等模式治理。重度采煤塌陷地主要采用人工湿地、生态观光农业等治理模式，实现休闲、观光、教育、旅游、雨洪调蓄、水体净化和城市生态补水功能。</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第二节  南四湖—大运河生态保护修复带</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两带，即南四湖—大运河生态保护修复带。由南四湖周边和大运河沿岸区域组成，将采煤塌陷地治理与南四湖生态保护、大运河生态保护带建设相结合，优先恢复耕地，对于不能恢复耕地的区域进行生态修复，丰富生物多样性。</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一、区域概况</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自西北向东南贯穿济宁市，涉及任城区、太白湖新区、微山县和鱼台县。矿井28对，分别为唐口煤矿、新河煤矿、安居煤矿、王楼煤矿、鹿洼煤矿、新安煤矿、岱庄生建煤矿、双合煤矿、崔庄煤矿、欢城煤矿、高庄煤矿、付村煤矿、三河口煤矿、七五生建煤矿、泗河煤矿（闭坑）、蔡园煤矿（闭坑）、金源煤矿（停产）、昭阳煤矿（闭坑）、永胜煤矿（停建）、龙东煤矿（市外）、滨湖煤矿（市外）、级索煤矿（市外）、柴里煤矿（市外）、蒋庄煤矿（市外）、姚桥煤矿（市外）、徐庄煤矿（市外）、田陈煤矿（市外）和孔庄煤矿（市外）。</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二、区位特征</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采煤塌陷地沿南四湖及大运河沿岸分布，河流水系发达，主要产业为渔业养殖、农业种植和湿地旅游观光。</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三、塌陷特点</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煤矿数量多、规模小、产能较低，放顶煤、分层、条带等开采方式并存，采厚变化大，采深较大。大部分煤矿的采煤塌陷地与南四湖湖区存在重叠，湖区外则多数为积水严重的塌陷地。</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四、治理模式</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南四湖省级自然保护区范围内的采煤塌陷地治理，遵照自然保护区规定执行。对南四湖自然保护区周边的采煤塌陷地，通过挖深垫浅、划方平整法治理，优先恢复耕地，确实无法恢复的，利用丰富的水资源发展高效水培种植、养殖产业和湖产加工等，并依托南四湖旅游的辐射作用，发展特色旅游产业，提高湖区经济水平。积水区可发展光伏产业，提高水域利用率。将离湖区较远的采煤塌陷地最大限度地恢复农用地，打造高效生态农业。</w:t>
      </w:r>
    </w:p>
    <w:p w:rsidR="00BE7C2D" w:rsidRDefault="00D46B16">
      <w:pPr>
        <w:spacing w:line="56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对靠近京杭大运河沿线的采煤塌陷地，充分利用航道河道清淤进行回填造地，最大限度地恢复农用地。对不能恢复农业用途的塌陷区域，营造城市绿地、湿地公园和休闲娱乐用地。</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第三节  沿河生态修复廊道</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六廊，即白马河、泗河、</w:t>
      </w:r>
      <w:r>
        <w:rPr>
          <w:rFonts w:ascii="宋体" w:hAnsi="宋体" w:cs="宋体" w:hint="eastAsia"/>
          <w:b/>
          <w:color w:val="000000"/>
          <w:sz w:val="32"/>
          <w:szCs w:val="32"/>
        </w:rPr>
        <w:t>洸</w:t>
      </w:r>
      <w:r>
        <w:rPr>
          <w:rFonts w:ascii="方正仿宋简体" w:eastAsia="方正仿宋简体" w:hAnsi="方正仿宋简体" w:cs="方正仿宋简体" w:hint="eastAsia"/>
          <w:b/>
          <w:color w:val="000000"/>
          <w:sz w:val="32"/>
          <w:szCs w:val="32"/>
        </w:rPr>
        <w:t>府河、赵王河、万福河和东鱼河沿岸生态廊道，在衔接河道规划基础上，按照项目复合实施的原则，优先恢复耕地，不能恢复耕地的，与入湖河流水质净化项目相结合，利</w:t>
      </w:r>
      <w:r>
        <w:rPr>
          <w:rFonts w:ascii="方正仿宋简体" w:eastAsia="方正仿宋简体" w:hAnsi="文星仿宋" w:cs="方正仿宋简体" w:hint="eastAsia"/>
          <w:b/>
          <w:color w:val="000000"/>
          <w:sz w:val="32"/>
          <w:szCs w:val="32"/>
        </w:rPr>
        <w:t>用现有水系和积水区域建设湿地与生态廊道。</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一、区域概况</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呈多个带状分布，共涉及19对矿井，分别为许厂煤矿（闭坑）、北宿煤矿（闭坑）、落陵煤矿（闭坑）、古城煤矿（停产）、鲍店煤矿、东滩煤矿、南屯煤矿、太平煤矿、横河煤矿（停产）、杨村煤矿、杨庄煤矿、济宁二号煤矿、何岗煤矿、新驿煤矿、济宁三号煤矿、宏阳煤矿、梁宝寺煤矿、金桥煤矿和霄云煤矿。</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二、区位特征</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采煤塌陷地大多分布在河流两岸或河道内，水系发达，潜水位较高，周围大多是传统农业耕作区。</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三、塌陷特点</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地势低洼，地下潜水位高，加上河道侧渗，该区域的采煤塌陷地多为季节或常年性积水区，对原有地貌破坏程度较大。</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四、治理模式</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对泗河、白马河两侧的采煤塌陷地，采取充填平整、挖深垫浅和植被绿化等措施，构建带状景观廊道。</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方正仿宋简体" w:cs="方正仿宋简体" w:hint="eastAsia"/>
          <w:b/>
          <w:color w:val="000000"/>
          <w:sz w:val="32"/>
          <w:szCs w:val="32"/>
        </w:rPr>
        <w:t>对</w:t>
      </w:r>
      <w:r>
        <w:rPr>
          <w:rFonts w:ascii="宋体" w:hAnsi="宋体" w:cs="宋体" w:hint="eastAsia"/>
          <w:b/>
          <w:color w:val="000000"/>
          <w:sz w:val="32"/>
          <w:szCs w:val="32"/>
        </w:rPr>
        <w:t>洸</w:t>
      </w:r>
      <w:r>
        <w:rPr>
          <w:rFonts w:ascii="方正仿宋简体" w:eastAsia="方正仿宋简体" w:hAnsi="方正仿宋简体" w:cs="方正仿宋简体" w:hint="eastAsia"/>
          <w:b/>
          <w:color w:val="000000"/>
          <w:sz w:val="32"/>
          <w:szCs w:val="32"/>
        </w:rPr>
        <w:t>府河两侧的采煤塌陷地，结合河流水系整治升级，通过生态修复措施，打造河道带状复合景观带，形成居民活动休闲的滨水空间和天然氧吧。</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对赵王河、万福河和东鱼河两侧的采煤塌陷地，尽最大限度恢复耕地，对于河道内的采煤塌陷地，则通过生态修复确保河流正常的灌溉、航运和渔业功能。</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第四节  平原农田修复治理区</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多片，即“两带六廊”串联起的采煤塌陷地区域，实施综合整治，涵养水源，恢复耕地，形成田成方、路成网、林成行、沟相通、渠相连的农业生态格局。</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一、区域概况</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主要分布在传统的农业耕作区，共涉及25对煤矿，分别为葛亭煤矿（闭坑）、田庄煤矿（闭坑）、唐村煤矿（闭坑）、落陵煤矿（闭坑）、北宿煤矿（闭坑）、杨营煤矿（闭坑）、杨村煤矿、单家村煤矿、古城煤矿（停产）、东滩煤矿、兴隆庄煤矿、鲍店煤矿、新驿煤矿、鲁西煤矿、义能煤矿、里彦煤矿、南屯煤矿、阳城煤矿、唐阳煤矿、义桥煤矿、宏阳煤矿、梁宝寺煤矿、红旗煤矿、金桥煤矿和花园煤矿。</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二、区位特征</w:t>
      </w:r>
    </w:p>
    <w:p w:rsidR="00BE7C2D" w:rsidRDefault="00D46B16">
      <w:pPr>
        <w:spacing w:line="58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该分区内不同县</w:t>
      </w:r>
      <w:r w:rsidR="00075BCB">
        <w:rPr>
          <w:rFonts w:ascii="方正仿宋简体" w:eastAsia="方正仿宋简体" w:hAnsi="文星仿宋" w:cs="方正仿宋简体" w:hint="eastAsia"/>
          <w:b/>
          <w:color w:val="000000"/>
          <w:sz w:val="32"/>
          <w:szCs w:val="32"/>
        </w:rPr>
        <w:t>（市、</w:t>
      </w:r>
      <w:bookmarkStart w:id="7" w:name="_GoBack"/>
      <w:bookmarkEnd w:id="7"/>
      <w:r w:rsidR="00075BCB">
        <w:rPr>
          <w:rFonts w:ascii="方正仿宋简体" w:eastAsia="方正仿宋简体" w:hAnsi="文星仿宋" w:cs="方正仿宋简体" w:hint="eastAsia"/>
          <w:b/>
          <w:color w:val="000000"/>
          <w:sz w:val="32"/>
          <w:szCs w:val="32"/>
        </w:rPr>
        <w:t>区</w:t>
      </w:r>
      <w:r w:rsidR="00075BCB">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hint="eastAsia"/>
          <w:b/>
          <w:color w:val="000000"/>
          <w:sz w:val="32"/>
          <w:szCs w:val="32"/>
        </w:rPr>
        <w:t>的情况差异较大，但总体上属于传统农业耕作区，主要种植粮食与经济作物。</w:t>
      </w:r>
    </w:p>
    <w:p w:rsidR="00BE7C2D" w:rsidRDefault="00D46B16">
      <w:pPr>
        <w:spacing w:line="58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三、塌陷特点</w:t>
      </w:r>
    </w:p>
    <w:p w:rsidR="00BE7C2D" w:rsidRDefault="00D46B16">
      <w:pPr>
        <w:spacing w:line="58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采煤塌陷地分布零散，多为轻、中度塌陷，出现了农作物减产现象，局部出现季节性积水。</w:t>
      </w:r>
    </w:p>
    <w:p w:rsidR="00BE7C2D" w:rsidRDefault="00D46B16">
      <w:pPr>
        <w:spacing w:line="58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四、治理模式</w:t>
      </w:r>
    </w:p>
    <w:p w:rsidR="00BE7C2D" w:rsidRDefault="00D46B16">
      <w:pPr>
        <w:spacing w:line="58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深度积水区，采取造岸、护坡、绿化等措施，建设湿地、平原水库和光伏电站，涵养水源、调蓄雨洪；轻度积水区，采取挖深垫浅法治理，发展立体高效农业和渔禽综合养殖业；不积水区域，采取划方平整等方法恢复耕地。</w:t>
      </w:r>
    </w:p>
    <w:tbl>
      <w:tblPr>
        <w:tblStyle w:val="ac"/>
        <w:tblW w:w="9113" w:type="dxa"/>
        <w:jc w:val="center"/>
        <w:tblCellMar>
          <w:left w:w="28" w:type="dxa"/>
          <w:right w:w="28" w:type="dxa"/>
        </w:tblCellMar>
        <w:tblLook w:val="04A0" w:firstRow="1" w:lastRow="0" w:firstColumn="1" w:lastColumn="0" w:noHBand="0" w:noVBand="1"/>
      </w:tblPr>
      <w:tblGrid>
        <w:gridCol w:w="2189"/>
        <w:gridCol w:w="6924"/>
      </w:tblGrid>
      <w:tr w:rsidR="00BE7C2D">
        <w:trPr>
          <w:trHeight w:val="454"/>
          <w:jc w:val="center"/>
        </w:trPr>
        <w:tc>
          <w:tcPr>
            <w:tcW w:w="9113" w:type="dxa"/>
            <w:gridSpan w:val="2"/>
            <w:vAlign w:val="center"/>
          </w:tcPr>
          <w:p w:rsidR="00BE7C2D" w:rsidRDefault="00D46B16">
            <w:pPr>
              <w:kinsoku w:val="0"/>
              <w:overflowPunct w:val="0"/>
              <w:autoSpaceDE w:val="0"/>
              <w:autoSpaceDN w:val="0"/>
              <w:adjustRightInd w:val="0"/>
              <w:spacing w:line="300" w:lineRule="exact"/>
              <w:jc w:val="center"/>
              <w:rPr>
                <w:rFonts w:ascii="方正黑体简体" w:eastAsia="方正黑体简体" w:hAnsi="宋体" w:cs="宋体"/>
                <w:b/>
                <w:sz w:val="21"/>
                <w:szCs w:val="21"/>
              </w:rPr>
            </w:pPr>
            <w:r>
              <w:rPr>
                <w:rFonts w:ascii="方正黑体简体" w:eastAsia="方正黑体简体" w:hAnsi="宋体" w:cs="宋体" w:hint="eastAsia"/>
                <w:b/>
                <w:sz w:val="21"/>
                <w:szCs w:val="21"/>
              </w:rPr>
              <w:t>专栏 5 济宁市采煤塌陷地治理规划分区表</w:t>
            </w:r>
          </w:p>
        </w:tc>
      </w:tr>
      <w:tr w:rsidR="00BE7C2D">
        <w:trPr>
          <w:trHeight w:val="454"/>
          <w:jc w:val="center"/>
        </w:trPr>
        <w:tc>
          <w:tcPr>
            <w:tcW w:w="2189" w:type="dxa"/>
            <w:vAlign w:val="center"/>
          </w:tcPr>
          <w:p w:rsidR="00BE7C2D" w:rsidRDefault="00D46B16">
            <w:pPr>
              <w:kinsoku w:val="0"/>
              <w:overflowPunct w:val="0"/>
              <w:autoSpaceDE w:val="0"/>
              <w:autoSpaceDN w:val="0"/>
              <w:adjustRightInd w:val="0"/>
              <w:spacing w:line="300" w:lineRule="exact"/>
              <w:jc w:val="center"/>
              <w:rPr>
                <w:rFonts w:ascii="方正黑体简体" w:eastAsia="方正黑体简体" w:hAnsi="宋体" w:cs="宋体"/>
                <w:b/>
                <w:sz w:val="21"/>
                <w:szCs w:val="21"/>
              </w:rPr>
            </w:pPr>
            <w:r>
              <w:rPr>
                <w:rFonts w:ascii="方正黑体简体" w:eastAsia="方正黑体简体" w:hAnsi="宋体" w:cs="宋体" w:hint="eastAsia"/>
                <w:b/>
                <w:sz w:val="21"/>
                <w:szCs w:val="21"/>
              </w:rPr>
              <w:t>治理分区</w:t>
            </w:r>
          </w:p>
        </w:tc>
        <w:tc>
          <w:tcPr>
            <w:tcW w:w="6924" w:type="dxa"/>
            <w:vAlign w:val="center"/>
          </w:tcPr>
          <w:p w:rsidR="00BE7C2D" w:rsidRDefault="00D46B16">
            <w:pPr>
              <w:kinsoku w:val="0"/>
              <w:overflowPunct w:val="0"/>
              <w:autoSpaceDE w:val="0"/>
              <w:autoSpaceDN w:val="0"/>
              <w:adjustRightInd w:val="0"/>
              <w:spacing w:line="300" w:lineRule="exact"/>
              <w:jc w:val="center"/>
              <w:rPr>
                <w:rFonts w:ascii="方正黑体简体" w:eastAsia="方正黑体简体" w:hAnsi="宋体" w:cs="宋体"/>
                <w:b/>
                <w:sz w:val="21"/>
                <w:szCs w:val="21"/>
              </w:rPr>
            </w:pPr>
            <w:r>
              <w:rPr>
                <w:rFonts w:ascii="方正黑体简体" w:eastAsia="方正黑体简体" w:hAnsi="宋体" w:cs="宋体" w:hint="eastAsia"/>
                <w:b/>
                <w:sz w:val="21"/>
                <w:szCs w:val="21"/>
              </w:rPr>
              <w:t>范 围</w:t>
            </w:r>
          </w:p>
        </w:tc>
      </w:tr>
      <w:tr w:rsidR="00BE7C2D">
        <w:trPr>
          <w:trHeight w:val="1816"/>
          <w:jc w:val="center"/>
        </w:trPr>
        <w:tc>
          <w:tcPr>
            <w:tcW w:w="2189" w:type="dxa"/>
            <w:vAlign w:val="center"/>
          </w:tcPr>
          <w:p w:rsidR="00BE7C2D" w:rsidRDefault="00D46B16">
            <w:pPr>
              <w:kinsoku w:val="0"/>
              <w:overflowPunct w:val="0"/>
              <w:autoSpaceDE w:val="0"/>
              <w:autoSpaceDN w:val="0"/>
              <w:adjustRightInd w:val="0"/>
              <w:spacing w:line="300" w:lineRule="exact"/>
              <w:jc w:val="center"/>
              <w:rPr>
                <w:rFonts w:ascii="方正仿宋简体" w:eastAsia="方正仿宋简体" w:hAnsi="宋体" w:cs="宋体"/>
                <w:b/>
                <w:bCs/>
                <w:sz w:val="21"/>
                <w:szCs w:val="21"/>
              </w:rPr>
            </w:pPr>
            <w:r>
              <w:rPr>
                <w:rFonts w:ascii="方正仿宋简体" w:eastAsia="方正仿宋简体" w:hAnsi="宋体" w:cs="宋体" w:hint="eastAsia"/>
                <w:b/>
                <w:bCs/>
                <w:sz w:val="21"/>
                <w:szCs w:val="21"/>
              </w:rPr>
              <w:t>一环</w:t>
            </w:r>
          </w:p>
          <w:p w:rsidR="00BE7C2D" w:rsidRDefault="00D46B16">
            <w:pPr>
              <w:pStyle w:val="a5"/>
              <w:spacing w:line="300" w:lineRule="exact"/>
              <w:ind w:firstLineChars="0" w:firstLine="0"/>
              <w:jc w:val="center"/>
              <w:rPr>
                <w:rFonts w:ascii="方正仿宋简体" w:eastAsia="方正仿宋简体" w:hAnsi="宋体" w:cs="宋体"/>
                <w:b/>
                <w:sz w:val="21"/>
              </w:rPr>
            </w:pPr>
            <w:r>
              <w:rPr>
                <w:rFonts w:ascii="方正仿宋简体" w:eastAsia="方正仿宋简体" w:hAnsi="宋体" w:cs="宋体" w:hint="eastAsia"/>
                <w:b/>
                <w:sz w:val="21"/>
              </w:rPr>
              <w:t>（</w:t>
            </w:r>
            <w:r>
              <w:rPr>
                <w:rFonts w:ascii="方正仿宋简体" w:eastAsia="方正仿宋简体" w:hAnsi="宋体" w:cs="宋体" w:hint="eastAsia"/>
                <w:b/>
                <w:kern w:val="0"/>
                <w:sz w:val="21"/>
              </w:rPr>
              <w:t>环济宁市主城区采煤塌陷地治理区</w:t>
            </w:r>
            <w:r>
              <w:rPr>
                <w:rFonts w:ascii="方正仿宋简体" w:eastAsia="方正仿宋简体" w:hAnsi="宋体" w:cs="宋体" w:hint="eastAsia"/>
                <w:b/>
                <w:sz w:val="21"/>
              </w:rPr>
              <w:t>）</w:t>
            </w:r>
          </w:p>
        </w:tc>
        <w:tc>
          <w:tcPr>
            <w:tcW w:w="6924" w:type="dxa"/>
            <w:vAlign w:val="center"/>
          </w:tcPr>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任城区：唐口煤矿、岱庄煤矿、许厂煤矿、济宁二号煤矿、葛亭煤矿、运河煤矿。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济宁高新区：何岗煤矿、济宁二号煤矿、许厂煤矿、田庄煤矿。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太白湖新区：济宁二号煤矿、济宁三号煤矿。</w:t>
            </w:r>
          </w:p>
        </w:tc>
      </w:tr>
      <w:tr w:rsidR="00BE7C2D">
        <w:trPr>
          <w:trHeight w:val="3529"/>
          <w:jc w:val="center"/>
        </w:trPr>
        <w:tc>
          <w:tcPr>
            <w:tcW w:w="2189" w:type="dxa"/>
            <w:vAlign w:val="center"/>
          </w:tcPr>
          <w:p w:rsidR="00BE7C2D" w:rsidRDefault="00D46B16">
            <w:pPr>
              <w:kinsoku w:val="0"/>
              <w:overflowPunct w:val="0"/>
              <w:autoSpaceDE w:val="0"/>
              <w:autoSpaceDN w:val="0"/>
              <w:adjustRightInd w:val="0"/>
              <w:spacing w:line="300" w:lineRule="exact"/>
              <w:jc w:val="center"/>
              <w:rPr>
                <w:rFonts w:ascii="方正仿宋简体" w:eastAsia="方正仿宋简体" w:hAnsi="宋体" w:cs="宋体"/>
                <w:b/>
                <w:bCs/>
                <w:sz w:val="21"/>
                <w:szCs w:val="21"/>
              </w:rPr>
            </w:pPr>
            <w:r>
              <w:rPr>
                <w:rFonts w:ascii="方正仿宋简体" w:eastAsia="方正仿宋简体" w:hAnsi="宋体" w:cs="宋体" w:hint="eastAsia"/>
                <w:b/>
                <w:bCs/>
                <w:sz w:val="21"/>
                <w:szCs w:val="21"/>
              </w:rPr>
              <w:t>两带</w:t>
            </w:r>
          </w:p>
          <w:p w:rsidR="00BE7C2D" w:rsidRDefault="00D46B16">
            <w:pPr>
              <w:pStyle w:val="a5"/>
              <w:spacing w:line="300" w:lineRule="exact"/>
              <w:ind w:firstLineChars="0" w:firstLine="0"/>
              <w:jc w:val="center"/>
              <w:rPr>
                <w:rFonts w:ascii="方正仿宋简体" w:eastAsia="方正仿宋简体" w:hAnsi="宋体" w:cs="宋体"/>
                <w:b/>
                <w:sz w:val="21"/>
              </w:rPr>
            </w:pPr>
            <w:r>
              <w:rPr>
                <w:rFonts w:ascii="方正仿宋简体" w:eastAsia="方正仿宋简体" w:hAnsi="宋体" w:cs="宋体" w:hint="eastAsia"/>
                <w:b/>
                <w:sz w:val="21"/>
              </w:rPr>
              <w:t>（</w:t>
            </w:r>
            <w:r>
              <w:rPr>
                <w:rFonts w:ascii="方正仿宋简体" w:eastAsia="方正仿宋简体" w:hAnsi="宋体" w:cs="宋体" w:hint="eastAsia"/>
                <w:b/>
                <w:kern w:val="0"/>
                <w:sz w:val="21"/>
              </w:rPr>
              <w:t>南四湖—大运河生态保护修复带</w:t>
            </w:r>
            <w:r>
              <w:rPr>
                <w:rFonts w:ascii="方正仿宋简体" w:eastAsia="方正仿宋简体" w:hAnsi="宋体" w:cs="宋体" w:hint="eastAsia"/>
                <w:b/>
                <w:sz w:val="21"/>
              </w:rPr>
              <w:t>）</w:t>
            </w:r>
          </w:p>
        </w:tc>
        <w:tc>
          <w:tcPr>
            <w:tcW w:w="6924" w:type="dxa"/>
            <w:vAlign w:val="center"/>
          </w:tcPr>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任城区：唐口煤矿、安居煤矿、王楼煤矿、运河煤矿、新河煤矿。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太白湖新区：济宁二号煤矿、济宁三号煤矿。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鱼台县：鹿洼煤矿、王楼煤矿、双合煤矿。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微山县：济宁三号煤矿、泗河煤矿、王楼煤矿、新安煤矿、蔡园煤矿、崔庄煤矿、岱庄生建煤矿、付村煤矿、高庄煤矿、欢城煤矿、金源煤矿、七五生建煤矿、三河口煤矿、永胜煤矿、昭阳煤矿、龙东煤矿（市外）、滨湖煤矿（市外）、级索煤矿（市外）、王晁煤矿（市外）、柴里煤矿（市外）、蒋庄煤矿（市外）、孔庄煤矿（市外）、田陈煤矿（市外）、徐庄煤矿（市外）、姚桥煤矿（市外）。</w:t>
            </w:r>
          </w:p>
        </w:tc>
      </w:tr>
      <w:tr w:rsidR="00BE7C2D">
        <w:trPr>
          <w:trHeight w:val="3251"/>
          <w:jc w:val="center"/>
        </w:trPr>
        <w:tc>
          <w:tcPr>
            <w:tcW w:w="2189" w:type="dxa"/>
            <w:vAlign w:val="center"/>
          </w:tcPr>
          <w:p w:rsidR="00BE7C2D" w:rsidRDefault="00D46B16">
            <w:pPr>
              <w:kinsoku w:val="0"/>
              <w:overflowPunct w:val="0"/>
              <w:autoSpaceDE w:val="0"/>
              <w:autoSpaceDN w:val="0"/>
              <w:adjustRightInd w:val="0"/>
              <w:spacing w:line="300" w:lineRule="exact"/>
              <w:jc w:val="center"/>
              <w:rPr>
                <w:rFonts w:ascii="方正仿宋简体" w:eastAsia="方正仿宋简体" w:hAnsi="宋体" w:cs="宋体"/>
                <w:b/>
                <w:bCs/>
                <w:sz w:val="21"/>
                <w:szCs w:val="21"/>
              </w:rPr>
            </w:pPr>
            <w:r>
              <w:rPr>
                <w:rFonts w:ascii="方正仿宋简体" w:eastAsia="方正仿宋简体" w:hAnsi="宋体" w:cs="宋体" w:hint="eastAsia"/>
                <w:b/>
                <w:bCs/>
                <w:sz w:val="21"/>
                <w:szCs w:val="21"/>
              </w:rPr>
              <w:t>六廊</w:t>
            </w:r>
          </w:p>
          <w:p w:rsidR="00BE7C2D" w:rsidRDefault="00D46B16">
            <w:pPr>
              <w:pStyle w:val="a5"/>
              <w:spacing w:line="300" w:lineRule="exact"/>
              <w:ind w:firstLineChars="0" w:firstLine="0"/>
              <w:jc w:val="center"/>
              <w:rPr>
                <w:rFonts w:ascii="方正仿宋简体" w:eastAsia="方正仿宋简体" w:hAnsi="宋体" w:cs="宋体"/>
                <w:b/>
                <w:sz w:val="21"/>
              </w:rPr>
            </w:pPr>
            <w:r>
              <w:rPr>
                <w:rFonts w:ascii="方正仿宋简体" w:eastAsia="方正仿宋简体" w:hAnsi="宋体" w:cs="宋体" w:hint="eastAsia"/>
                <w:b/>
                <w:sz w:val="21"/>
              </w:rPr>
              <w:t>（沿河生态修复廊道）</w:t>
            </w:r>
          </w:p>
        </w:tc>
        <w:tc>
          <w:tcPr>
            <w:tcW w:w="6924" w:type="dxa"/>
            <w:vAlign w:val="center"/>
          </w:tcPr>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邹城市：鲍店煤矿、北宿煤矿、东滩煤矿、落陵煤矿、南屯煤矿、太平煤矿、横河煤矿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兖州区：杨村煤矿、鲍店煤矿、杨庄煤矿、古城煤矿、许厂煤矿、何岗煤矿、新驿煤矿。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曲阜市：古城煤矿。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济宁高新区：许厂煤矿、济宁二号煤矿。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任城区：何岗煤矿、济宁二号煤矿。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太白湖新区：济宁二号煤矿、济宁三号煤矿。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嘉祥县：宏阳煤矿、梁宝寺煤矿。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金乡县：金桥煤矿、霄云煤矿。</w:t>
            </w:r>
          </w:p>
        </w:tc>
      </w:tr>
      <w:tr w:rsidR="00BE7C2D">
        <w:trPr>
          <w:trHeight w:val="3670"/>
          <w:jc w:val="center"/>
        </w:trPr>
        <w:tc>
          <w:tcPr>
            <w:tcW w:w="2189" w:type="dxa"/>
            <w:vAlign w:val="center"/>
          </w:tcPr>
          <w:p w:rsidR="00BE7C2D" w:rsidRDefault="00D46B16">
            <w:pPr>
              <w:kinsoku w:val="0"/>
              <w:overflowPunct w:val="0"/>
              <w:autoSpaceDE w:val="0"/>
              <w:autoSpaceDN w:val="0"/>
              <w:adjustRightInd w:val="0"/>
              <w:spacing w:line="300" w:lineRule="exact"/>
              <w:jc w:val="center"/>
              <w:rPr>
                <w:rFonts w:ascii="方正仿宋简体" w:eastAsia="方正仿宋简体" w:hAnsi="宋体" w:cs="宋体"/>
                <w:b/>
                <w:bCs/>
                <w:sz w:val="21"/>
                <w:szCs w:val="21"/>
              </w:rPr>
            </w:pPr>
            <w:r>
              <w:rPr>
                <w:rFonts w:ascii="方正仿宋简体" w:eastAsia="方正仿宋简体" w:hAnsi="宋体" w:cs="宋体" w:hint="eastAsia"/>
                <w:b/>
                <w:bCs/>
                <w:sz w:val="21"/>
                <w:szCs w:val="21"/>
              </w:rPr>
              <w:t>多片</w:t>
            </w:r>
          </w:p>
          <w:p w:rsidR="00BE7C2D" w:rsidRDefault="00D46B16">
            <w:pPr>
              <w:pStyle w:val="TableParagraph"/>
              <w:spacing w:line="300" w:lineRule="exact"/>
              <w:jc w:val="center"/>
              <w:rPr>
                <w:rFonts w:ascii="方正仿宋简体" w:eastAsia="方正仿宋简体" w:hAnsi="宋体" w:cs="宋体"/>
                <w:b/>
                <w:szCs w:val="21"/>
              </w:rPr>
            </w:pPr>
            <w:r>
              <w:rPr>
                <w:rFonts w:ascii="方正仿宋简体" w:eastAsia="方正仿宋简体" w:hAnsi="宋体" w:cs="宋体" w:hint="eastAsia"/>
                <w:b/>
                <w:szCs w:val="21"/>
              </w:rPr>
              <w:t>（平原农田修复治理区）</w:t>
            </w:r>
          </w:p>
        </w:tc>
        <w:tc>
          <w:tcPr>
            <w:tcW w:w="6924" w:type="dxa"/>
            <w:vAlign w:val="center"/>
          </w:tcPr>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济宁高新区：田庄煤矿、杨村煤矿。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曲阜市：单家村煤矿、古城煤矿、东滩煤矿、兴隆庄煤矿。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兖州区：兴隆庄煤矿、东滩煤矿、鲍店煤矿、鲁西煤矿、义能煤矿、新驿煤矿。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邹城市：里彦煤矿、鲍店煤矿、唐村煤矿、落陵煤矿、北宿煤矿、南屯煤矿、东滩煤矿。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梁山县：杨营煤矿、阳城煤矿。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汶上县：阳城煤矿、唐阳煤矿、义桥煤矿、义能煤矿、鲁西煤矿。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任城区：鲁西煤矿、葛亭煤矿。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嘉祥县：宏阳煤矿、梁宝寺煤矿、红旗煤矿。</w:t>
            </w:r>
          </w:p>
          <w:p w:rsidR="00BE7C2D" w:rsidRDefault="00D46B16">
            <w:pPr>
              <w:pStyle w:val="TableParagraph"/>
              <w:spacing w:line="300" w:lineRule="exact"/>
              <w:ind w:firstLine="480"/>
              <w:rPr>
                <w:rFonts w:ascii="方正仿宋简体" w:eastAsia="方正仿宋简体" w:hAnsi="宋体" w:cs="宋体"/>
                <w:b/>
                <w:szCs w:val="21"/>
              </w:rPr>
            </w:pPr>
            <w:r>
              <w:rPr>
                <w:rFonts w:ascii="方正仿宋简体" w:eastAsia="方正仿宋简体" w:hAnsi="宋体" w:cs="宋体" w:hint="eastAsia"/>
                <w:b/>
                <w:szCs w:val="21"/>
              </w:rPr>
              <w:t>金乡县：金桥煤矿、花园煤矿。</w:t>
            </w:r>
          </w:p>
        </w:tc>
      </w:tr>
    </w:tbl>
    <w:p w:rsidR="00BE7C2D" w:rsidRDefault="00BE7C2D">
      <w:pPr>
        <w:spacing w:line="600" w:lineRule="exact"/>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小标宋简体" w:eastAsia="方正小标宋简体" w:hAnsi="文星仿宋" w:cs="方正仿宋简体"/>
          <w:b/>
          <w:color w:val="000000"/>
          <w:sz w:val="32"/>
          <w:szCs w:val="32"/>
        </w:rPr>
      </w:pPr>
      <w:r>
        <w:rPr>
          <w:rFonts w:ascii="方正小标宋简体" w:eastAsia="方正小标宋简体" w:hAnsi="文星仿宋" w:cs="方正仿宋简体" w:hint="eastAsia"/>
          <w:b/>
          <w:color w:val="000000"/>
          <w:sz w:val="32"/>
          <w:szCs w:val="32"/>
        </w:rPr>
        <w:t>第六章  重点工程与时序安排</w:t>
      </w:r>
    </w:p>
    <w:p w:rsidR="00BE7C2D" w:rsidRDefault="00BE7C2D">
      <w:pPr>
        <w:spacing w:line="600" w:lineRule="exact"/>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第一节  重点工程</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54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依据</w:t>
      </w:r>
      <w:r>
        <w:rPr>
          <w:rFonts w:ascii="方正仿宋简体" w:eastAsia="方正仿宋简体" w:hAnsi="文星仿宋" w:cs="方正仿宋简体" w:hint="eastAsia"/>
          <w:b/>
          <w:color w:val="000000"/>
          <w:spacing w:val="-6"/>
          <w:sz w:val="32"/>
          <w:szCs w:val="32"/>
        </w:rPr>
        <w:t>采煤塌陷地特点，结合经济、社会结构及区位优势，综合考虑发展定位和发展需求，确定规划期采煤塌陷地治理重点工程</w:t>
      </w:r>
      <w:r>
        <w:rPr>
          <w:rFonts w:ascii="方正仿宋简体" w:eastAsia="方正仿宋简体" w:hAnsi="文星仿宋" w:cs="方正仿宋简体" w:hint="eastAsia"/>
          <w:b/>
          <w:color w:val="000000"/>
          <w:sz w:val="32"/>
          <w:szCs w:val="32"/>
        </w:rPr>
        <w:t>。</w:t>
      </w:r>
    </w:p>
    <w:p w:rsidR="00BE7C2D" w:rsidRDefault="00BE7C2D">
      <w:pPr>
        <w:spacing w:line="540" w:lineRule="exact"/>
        <w:rPr>
          <w:rFonts w:ascii="方正仿宋简体" w:eastAsia="方正仿宋简体" w:hAnsi="文星仿宋" w:cs="方正仿宋简体"/>
          <w:b/>
          <w:color w:val="000000"/>
          <w:sz w:val="32"/>
          <w:szCs w:val="32"/>
        </w:rPr>
      </w:pPr>
    </w:p>
    <w:p w:rsidR="00BE7C2D" w:rsidRDefault="00D46B16">
      <w:pPr>
        <w:spacing w:line="54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第二节  时序安排</w:t>
      </w:r>
    </w:p>
    <w:p w:rsidR="00BE7C2D" w:rsidRDefault="00BE7C2D">
      <w:pPr>
        <w:spacing w:line="540" w:lineRule="exact"/>
        <w:ind w:firstLineChars="200" w:firstLine="626"/>
        <w:rPr>
          <w:rFonts w:ascii="方正仿宋简体" w:eastAsia="方正仿宋简体" w:hAnsi="文星仿宋" w:cs="方正仿宋简体"/>
          <w:b/>
          <w:color w:val="000000"/>
          <w:sz w:val="32"/>
          <w:szCs w:val="32"/>
        </w:rPr>
      </w:pPr>
    </w:p>
    <w:p w:rsidR="00BE7C2D" w:rsidRDefault="00D46B16">
      <w:pPr>
        <w:spacing w:line="54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规划期共安排采煤塌陷地治理重点工程41个、总面积6206.17公顷。其中，2021年6个重点工程、454.23公顷；2022年5个重点工程、1109.67公顷；2023至2025年30个重点工程、4642.27公顷。展望期内，煤炭企业无详细开采计划，无法确定具体塌陷区域，本规划不列展望期重点工程。规划期重点工程和时序安排见专栏6。</w:t>
      </w:r>
    </w:p>
    <w:p w:rsidR="00BE7C2D" w:rsidRDefault="00BE7C2D">
      <w:pPr>
        <w:spacing w:line="54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b/>
          <w:color w:val="000000"/>
          <w:sz w:val="32"/>
          <w:szCs w:val="32"/>
        </w:rPr>
        <w:t> </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sectPr w:rsidR="00BE7C2D">
          <w:headerReference w:type="even" r:id="rId24"/>
          <w:footerReference w:type="even" r:id="rId25"/>
          <w:pgSz w:w="11906" w:h="16838"/>
          <w:pgMar w:top="1814" w:right="1588" w:bottom="1191" w:left="1588" w:header="0" w:footer="1418" w:gutter="0"/>
          <w:pgNumType w:fmt="numberInDash"/>
          <w:cols w:space="425"/>
          <w:docGrid w:type="linesAndChars" w:linePitch="628" w:charSpace="-1683"/>
        </w:sectPr>
      </w:pPr>
    </w:p>
    <w:tbl>
      <w:tblPr>
        <w:tblW w:w="5000" w:type="pct"/>
        <w:tblLook w:val="04A0" w:firstRow="1" w:lastRow="0" w:firstColumn="1" w:lastColumn="0" w:noHBand="0" w:noVBand="1"/>
      </w:tblPr>
      <w:tblGrid>
        <w:gridCol w:w="567"/>
        <w:gridCol w:w="1038"/>
        <w:gridCol w:w="1330"/>
        <w:gridCol w:w="1551"/>
        <w:gridCol w:w="6220"/>
        <w:gridCol w:w="940"/>
        <w:gridCol w:w="1551"/>
        <w:gridCol w:w="1135"/>
      </w:tblGrid>
      <w:tr w:rsidR="00BE7C2D">
        <w:trPr>
          <w:trHeight w:val="55"/>
          <w:tblHead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专栏 6  济宁市规划期采煤塌陷地治理重点工程</w:t>
            </w:r>
          </w:p>
        </w:tc>
      </w:tr>
      <w:tr w:rsidR="00BE7C2D">
        <w:trPr>
          <w:trHeight w:val="55"/>
          <w:tblHeader/>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序号</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年份</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县（市</w:t>
            </w:r>
            <w:r>
              <w:rPr>
                <w:rFonts w:ascii="方正黑体简体" w:eastAsia="方正黑体简体"/>
                <w:b/>
                <w:color w:val="000000"/>
                <w:sz w:val="21"/>
                <w:szCs w:val="21"/>
              </w:rPr>
              <w:t>、区</w:t>
            </w:r>
            <w:r>
              <w:rPr>
                <w:rFonts w:ascii="方正黑体简体" w:eastAsia="方正黑体简体" w:hint="eastAsia"/>
                <w:b/>
                <w:color w:val="000000"/>
                <w:sz w:val="21"/>
                <w:szCs w:val="21"/>
              </w:rPr>
              <w:t>）</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矿区名称</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重点工程名称</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面积</w:t>
            </w:r>
          </w:p>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/公顷</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治理模式</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投资估算</w:t>
            </w:r>
          </w:p>
          <w:p w:rsidR="00BE7C2D" w:rsidRDefault="00D46B16">
            <w:pPr>
              <w:widowControl/>
              <w:spacing w:line="300" w:lineRule="exact"/>
              <w:ind w:leftChars="-30" w:left="-58" w:rightChars="-30" w:right="-58"/>
              <w:jc w:val="center"/>
              <w:textAlignment w:val="center"/>
              <w:rPr>
                <w:rFonts w:ascii="方正黑体简体" w:eastAsia="方正黑体简体"/>
                <w:b/>
                <w:color w:val="000000"/>
                <w:sz w:val="21"/>
                <w:szCs w:val="21"/>
              </w:rPr>
            </w:pPr>
            <w:r>
              <w:rPr>
                <w:rFonts w:ascii="方正黑体简体" w:eastAsia="方正黑体简体" w:hint="eastAsia"/>
                <w:b/>
                <w:color w:val="000000"/>
                <w:sz w:val="21"/>
                <w:szCs w:val="21"/>
              </w:rPr>
              <w:t>/万元</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2021年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梁山县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杨营煤矿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梁山县原杨营煤矿采煤塌陷地治理工程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66.91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2376</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2021年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岱庄煤矿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淄博矿业集团岱庄煤矿130采区潘王营村采煤塌陷地治理工程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102.67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基础设施提升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1498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2021年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蒋庄煤矿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蒋庄煤矿双王楼村东采煤塌陷地治理工程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97.00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3406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4</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2021年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汶上县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阳城煤矿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阳城煤矿华电农光互补采煤塌陷地治理工程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39.60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产业治理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1710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5</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2021年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汶上县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义桥煤矿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汶上县义桥镇孙汪等村采煤塌陷地复垦工程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50.12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1676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6</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2021年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东滩煤矿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邹城市中心店镇李官桥村等4村采煤塌陷地综合治理工程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97.93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3438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7</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2022年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嘉祥县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梁宝寺煤矿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嘉祥县梁宝寺煤矿2022年度采煤塌陷地综合治理工程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68.53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2405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8</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2022年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葛亭煤矿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任城区葛亭煤矿采煤塌陷地治理工程（二期）</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264.00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9266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9</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2022年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兖州区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鲍店煤矿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兖州区兴隆庄街道道沟等村采煤塌陷地综合治理工程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533.33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18667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10</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2022年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太白湖新区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济宁三号煤矿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济宁南阳湖农场三、四分场采煤塌陷地治理工程（一期）</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177.27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生态农业</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6701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11</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2022年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汶上县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唐阳煤矿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汶上县唐阳煤矿2022年度采煤塌陷地综合治理工程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66.53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2335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12</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济宁高新区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济宁二号煤矿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济宁高新区济宁二号煤矿十里营村采煤塌陷地综合治理工程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68.07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2572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13</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嘉祥县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梁宝寺煤矿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嘉祥县梁宝寺煤矿2023年度采煤塌陷地综合治理工程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150.40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5279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14</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金乡县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金桥煤矿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金乡县金桥煤矿常庄村采煤塌陷地综合治理工程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62.20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基础设施提升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907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15</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曲阜市</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古城煤矿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曲阜市时庄街道古城煤矿2023年度采煤塌陷地综合治理工程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384.80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13083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16</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岱庄煤矿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任城区岱庄煤矿2023年度采煤塌陷地综合治理工程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134.73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基础设施提升</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1964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17</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太白湖新区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济宁三号煤矿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济宁南阳湖农场三、四分场采煤塌陷地治理工程（二期）</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189.20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生态农业</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7407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18</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蒋庄煤矿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微山县蒋庄煤矿2023年度采煤塌陷地综合治理工程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142.20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5375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19</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汶上县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阳城煤矿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汶上县阳城煤矿2023年度采煤塌陷地综合治理工程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128.00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产业治理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5530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兖州区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新驿煤矿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兖州区新驿煤矿2023年度采煤塌陷地综合治理工程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191.87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6734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21</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鱼台县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鹿洼煤矿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鱼台县张黄镇东张等村采煤塌陷地综合治理工程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74.33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2810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22</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2023年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鲍店煤矿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邹城市鲍店煤矿2023年度采煤塌陷地综合治理工程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206.07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7789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23</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嘉祥县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梁宝寺煤矿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嘉祥县梁宝寺煤矿2024年度采煤塌陷地综合治理工程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358.27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12575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24</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曲阜市</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兴隆庄煤矿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曲阜市兴隆庄煤矿2024年度采煤塌陷地综合治理工程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144.13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5449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25</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唐口煤矿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任城区唐口煤矿2024年度采煤塌陷地综合治理工程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242.87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8525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26</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王楼煤矿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任城区王楼煤矿2024年度采煤塌陷地综合治理工程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137.93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5215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27</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太白湖新区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济宁三号煤矿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太白湖新区石桥镇秦庄等村采煤塌陷地治理工程（一期)</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113.40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4286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28</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付村煤矿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微山县付村煤矿2024年度采煤塌陷地综合治理工程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107.27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产业治理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4633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29</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孔庄煤矿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微山县孔庄煤矿2024年度采煤塌陷地综合治理工程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126.87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综合治理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4795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30</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三河口煤矿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微山县三河口煤矿2024年度采煤塌陷地综合治理工程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88.33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综合治理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3339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31</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汶上县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唐阳煤矿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汶上县唐阳煤矿2024年度采煤塌陷地综合治理工程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242.73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8519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32</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东滩煤矿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邹城市东滩煤矿2024年度采煤塌陷地综合治理工程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128.27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4849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33</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里彦煤矿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邹城市里彦煤矿2024年度采煤塌陷地综合治理工程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129.47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4545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34</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2024年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南屯煤矿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邹城市南屯煤矿2024年度采煤塌陷地综合治理工程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188.40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7121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35</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2025年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嘉祥县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梁宝寺煤矿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嘉祥县梁宝寺煤矿2025年度采煤塌陷地综合治理工程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129.27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4887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36</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2025年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金乡县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霄云煤矿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金乡县霄云镇霄云煤矿2025年采煤塌陷地综合治理工程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164.07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6201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37</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2025年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曲阜市</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东滩煤矿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曲阜市东滩煤矿2025年度采煤塌陷地综合治理工程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179.33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6295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38</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2025年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王楼煤矿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任城区王楼煤矿2025年度采煤塌陷地综合治理工程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156.87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5929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39</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2025年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七五生建煤矿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微山县七五生建煤矿2025年度采煤塌陷地综合治理工程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81.13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2848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40</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2025年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兖州区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新驿煤矿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兖州区新驿煤矿2025年度采煤塌陷地综合治理工程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90.27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土地复垦</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3168 </w:t>
            </w:r>
          </w:p>
        </w:tc>
      </w:tr>
      <w:tr w:rsidR="00BE7C2D">
        <w:trPr>
          <w:trHeight w:val="55"/>
        </w:trPr>
        <w:tc>
          <w:tcPr>
            <w:tcW w:w="1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41</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2025年</w:t>
            </w:r>
          </w:p>
        </w:tc>
        <w:tc>
          <w:tcPr>
            <w:tcW w:w="4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兖州区</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兴隆庄煤矿</w:t>
            </w:r>
          </w:p>
        </w:tc>
        <w:tc>
          <w:tcPr>
            <w:tcW w:w="21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兖州区兴隆庄煤矿2025年度采煤塌陷地综合治理工程</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101.53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生态治理</w:t>
            </w: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3838 </w:t>
            </w:r>
          </w:p>
        </w:tc>
      </w:tr>
      <w:tr w:rsidR="00BE7C2D">
        <w:trPr>
          <w:trHeight w:val="55"/>
        </w:trPr>
        <w:tc>
          <w:tcPr>
            <w:tcW w:w="3735"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合 计</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 xml:space="preserve">6206.17 </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BE7C2D">
            <w:pPr>
              <w:widowControl/>
              <w:spacing w:line="300" w:lineRule="exact"/>
              <w:ind w:leftChars="-30" w:left="-58" w:rightChars="-30" w:right="-58"/>
              <w:jc w:val="center"/>
              <w:textAlignment w:val="center"/>
              <w:rPr>
                <w:rFonts w:ascii="方正仿宋简体" w:eastAsia="方正仿宋简体"/>
                <w:b/>
                <w:color w:val="000000"/>
                <w:sz w:val="21"/>
                <w:szCs w:val="21"/>
              </w:rPr>
            </w:pPr>
          </w:p>
        </w:tc>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E7C2D" w:rsidRDefault="00D46B16">
            <w:pPr>
              <w:widowControl/>
              <w:spacing w:line="300" w:lineRule="exact"/>
              <w:ind w:leftChars="-30" w:left="-58" w:rightChars="-30" w:right="-58"/>
              <w:jc w:val="center"/>
              <w:textAlignment w:val="center"/>
              <w:rPr>
                <w:rFonts w:ascii="方正仿宋简体" w:eastAsia="方正仿宋简体"/>
                <w:b/>
                <w:color w:val="000000"/>
                <w:sz w:val="21"/>
                <w:szCs w:val="21"/>
              </w:rPr>
            </w:pPr>
            <w:r>
              <w:rPr>
                <w:rFonts w:ascii="方正仿宋简体" w:eastAsia="方正仿宋简体" w:hint="eastAsia"/>
                <w:b/>
                <w:color w:val="000000"/>
                <w:sz w:val="21"/>
                <w:szCs w:val="21"/>
              </w:rPr>
              <w:t>219945</w:t>
            </w:r>
          </w:p>
        </w:tc>
      </w:tr>
    </w:tbl>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sectPr w:rsidR="00BE7C2D">
          <w:headerReference w:type="even" r:id="rId26"/>
          <w:headerReference w:type="default" r:id="rId27"/>
          <w:footerReference w:type="even" r:id="rId28"/>
          <w:footerReference w:type="default" r:id="rId29"/>
          <w:pgSz w:w="16838" w:h="11906" w:orient="landscape"/>
          <w:pgMar w:top="1134" w:right="1134" w:bottom="1134" w:left="1588" w:header="0" w:footer="1134" w:gutter="0"/>
          <w:pgNumType w:fmt="numberInDash"/>
          <w:cols w:space="425"/>
          <w:docGrid w:type="linesAndChars" w:linePitch="628" w:charSpace="-1683"/>
        </w:sectPr>
      </w:pPr>
    </w:p>
    <w:p w:rsidR="00BE7C2D" w:rsidRDefault="00D46B16">
      <w:pPr>
        <w:spacing w:line="600" w:lineRule="exact"/>
        <w:jc w:val="center"/>
        <w:rPr>
          <w:rFonts w:ascii="方正小标宋简体" w:eastAsia="方正小标宋简体" w:hAnsi="文星仿宋" w:cs="方正仿宋简体"/>
          <w:b/>
          <w:color w:val="000000"/>
          <w:sz w:val="32"/>
          <w:szCs w:val="32"/>
        </w:rPr>
      </w:pPr>
      <w:r>
        <w:rPr>
          <w:rFonts w:ascii="方正小标宋简体" w:eastAsia="方正小标宋简体" w:hAnsi="文星仿宋" w:cs="方正仿宋简体" w:hint="eastAsia"/>
          <w:b/>
          <w:color w:val="000000"/>
          <w:sz w:val="32"/>
          <w:szCs w:val="32"/>
        </w:rPr>
        <w:t>第七章  投资估算与效益分析</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第一节  投资估算</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规划期内，济宁市需治理采煤塌陷地15093.28公顷，投资估算为504870万元，平均投资33.45万元/公顷。主要来源为：一是煤炭企业依法履行采煤塌陷地治理义务投入的资金；二是治理历史遗留采煤塌陷地各级财政投入的资金；三是鼓励和引导社会主体参与治理投入的资金。</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第二节  效益分析</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一、社会效益</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（一）恢复有效耕地。结合土壤改良和生态修复技术、配套设施工程等，提高采煤塌陷区土壤质量和农业生产条件，有效保障耕地数量和质量以及区域粮食安全。</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（二）维护群众权益。通过采煤塌陷耕地复垦，保住农民生存之本，保障其切身权益，解决后顾之忧，促进社会和谐稳定。</w:t>
      </w:r>
    </w:p>
    <w:p w:rsidR="00BE7C2D" w:rsidRDefault="00D46B16">
      <w:pPr>
        <w:spacing w:line="58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三）实现多元发展。通过综合治理，因地制宜引入和发展多元产业，实现塌陷区从传统农业向多元化产业的协调发展，促进区域产业结构优化调整。如打造“采煤塌陷地+光伏”基地，推动新能源产业发展，促进“双碳目标实现”；与全域土地综合整治、城镇低效用地再开发等有机融合，助力生态文明建设、乡村振兴和行业转型升级，助推区域高质量发展。</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二、生态效益</w:t>
      </w:r>
    </w:p>
    <w:p w:rsidR="00BE7C2D" w:rsidRDefault="00D46B16">
      <w:pPr>
        <w:spacing w:line="600" w:lineRule="exact"/>
        <w:ind w:firstLineChars="200" w:firstLine="626"/>
        <w:rPr>
          <w:rFonts w:ascii="方正仿宋简体" w:eastAsia="方正仿宋简体" w:hAnsi="文星仿宋" w:cs="方正仿宋简体"/>
          <w:b/>
          <w:color w:val="000000"/>
          <w:spacing w:val="-8"/>
          <w:sz w:val="32"/>
          <w:szCs w:val="32"/>
        </w:rPr>
      </w:pPr>
      <w:r>
        <w:rPr>
          <w:rFonts w:ascii="方正仿宋简体" w:eastAsia="方正仿宋简体" w:hAnsi="文星仿宋" w:cs="方正仿宋简体" w:hint="eastAsia"/>
          <w:b/>
          <w:color w:val="000000"/>
          <w:sz w:val="32"/>
          <w:szCs w:val="32"/>
        </w:rPr>
        <w:t>（一）</w:t>
      </w:r>
      <w:r>
        <w:rPr>
          <w:rFonts w:ascii="方正仿宋简体" w:eastAsia="方正仿宋简体" w:hAnsi="文星仿宋" w:cs="方正仿宋简体" w:hint="eastAsia"/>
          <w:b/>
          <w:color w:val="000000"/>
          <w:spacing w:val="-8"/>
          <w:sz w:val="32"/>
          <w:szCs w:val="32"/>
        </w:rPr>
        <w:t>通过矿区地质环境治理、地形地貌重塑、植被重建等生态修复治理，盘活矿区自然资源，有效推动黄河流域生态保护与高质量发展重大国家战略在济宁地区的实施。</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（二）通过环境保护工程，提升矿区及周边的生态条件，增加环境容量指数，并净化水质、大气，改善区域小气候，重现碧水蓝天，营造宜居环境，形成良好稳定的生态系统。</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三）通过生态治理和其他治理项目中的生态工程，采煤矿区植被覆盖率将大幅提高，水体、土体质量将有明显提升，优良的自然环境将吸引周边动物群落的回迁，原生微生物群落也将重新构建，区域内物质与能量流动将逐步恢复正常，生物群落达到动态平衡。</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四）通过土地平整、水利工程、道路工程、农田防护林和水源涵养等工程措施的实施，采煤塌陷地内的水土流失问题将得到缓解，对病虫害和风沙、旱涝等自然灾害的抵御能力将稳步增强，提升土地生产力，形成有利于农业生产的生态环境。</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三、经济效益</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通过治理恢复大量耕地，直接提高农民收入。通过渔业治理，可充分利用积水采煤塌陷地，有效提高当地居民收入。对部分区域进行产业治理，可增加当地财政和群众收入。另外，随着采煤塌陷地生态环境的改善，城市周边土地也会明显增值。</w:t>
      </w:r>
      <w:r>
        <w:rPr>
          <w:rFonts w:ascii="方正仿宋简体" w:eastAsia="方正仿宋简体" w:hAnsi="文星仿宋" w:cs="方正仿宋简体"/>
          <w:b/>
          <w:color w:val="000000"/>
          <w:sz w:val="32"/>
          <w:szCs w:val="32"/>
        </w:rPr>
        <w:t> </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小标宋简体" w:eastAsia="方正小标宋简体" w:hAnsi="文星仿宋" w:cs="方正仿宋简体"/>
          <w:b/>
          <w:color w:val="000000"/>
          <w:sz w:val="32"/>
          <w:szCs w:val="32"/>
        </w:rPr>
      </w:pPr>
      <w:r>
        <w:rPr>
          <w:rFonts w:ascii="方正小标宋简体" w:eastAsia="方正小标宋简体" w:hAnsi="文星仿宋" w:cs="方正仿宋简体" w:hint="eastAsia"/>
          <w:b/>
          <w:color w:val="000000"/>
          <w:sz w:val="32"/>
          <w:szCs w:val="32"/>
        </w:rPr>
        <w:t>第八章  环境影响分析</w:t>
      </w:r>
    </w:p>
    <w:p w:rsidR="00BE7C2D" w:rsidRDefault="00BE7C2D">
      <w:pPr>
        <w:spacing w:line="600" w:lineRule="exact"/>
        <w:ind w:firstLineChars="200" w:firstLine="626"/>
        <w:jc w:val="center"/>
        <w:rPr>
          <w:rFonts w:ascii="方正小标宋简体" w:eastAsia="方正小标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第一节  规划实施对环境的有利影响</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一、农业及农业生产影响</w:t>
      </w:r>
    </w:p>
    <w:p w:rsidR="00BE7C2D" w:rsidRDefault="00D46B16">
      <w:pPr>
        <w:spacing w:line="600" w:lineRule="exact"/>
        <w:ind w:firstLineChars="200" w:firstLine="602"/>
        <w:rPr>
          <w:rFonts w:ascii="方正仿宋简体" w:eastAsia="方正仿宋简体" w:hAnsi="文星仿宋" w:cs="方正仿宋简体"/>
          <w:b/>
          <w:color w:val="000000"/>
          <w:spacing w:val="-6"/>
          <w:sz w:val="32"/>
          <w:szCs w:val="32"/>
        </w:rPr>
      </w:pPr>
      <w:r>
        <w:rPr>
          <w:rFonts w:ascii="方正仿宋简体" w:eastAsia="方正仿宋简体" w:hAnsi="文星仿宋" w:cs="方正仿宋简体" w:hint="eastAsia"/>
          <w:b/>
          <w:color w:val="000000"/>
          <w:spacing w:val="-6"/>
          <w:sz w:val="32"/>
          <w:szCs w:val="32"/>
        </w:rPr>
        <w:t>本次规划将通过各类工程和生态措施，使采煤塌陷地表恢复平整，同步改善土壤的物理、化学和微生物条件，提高地力，完善基础设施配套水平，使采煤塌陷的土地恢复其本来的耕种作用。</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二、生态及居住环境影响</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随着采煤塌陷地综合治理项目的实施，将解决采煤造成的水体、土壤、大气等环境污染问题，并通过生态修复和水质净化工程美化环境，改良生态系统，形成宜农、宜建、宜游、宜居和宜发展的人与自然环境和谐发展友好关系。</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第二节  规划实施对环境的不利影响</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一、大气环境影响</w:t>
      </w:r>
    </w:p>
    <w:p w:rsidR="00BE7C2D" w:rsidRDefault="00D46B16">
      <w:pPr>
        <w:spacing w:line="58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施工期主要的大气污染源包括：装卸扬尘、运输道路扬尘等。施工作业现场距周围居民点较近时，作业车辆排放的尾气和道路扬尘，使局部大气质量有所下降。</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二、水环境影响</w:t>
      </w:r>
    </w:p>
    <w:p w:rsidR="00BE7C2D" w:rsidRDefault="00787D2F">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工程开挖碎石土和砂石料冲洗废水的排放</w:t>
      </w:r>
      <w:r w:rsidR="00D46B16">
        <w:rPr>
          <w:rFonts w:ascii="方正仿宋简体" w:eastAsia="方正仿宋简体" w:hAnsi="文星仿宋" w:cs="方正仿宋简体" w:hint="eastAsia"/>
          <w:b/>
          <w:color w:val="000000"/>
          <w:sz w:val="32"/>
          <w:szCs w:val="32"/>
        </w:rPr>
        <w:t>将增加水体泥沙的含量，在枯水季节水体的泥沙含量有所增加。工程施工所产生的含油污废水如处理不当，可能对局部地表水及地下水产生暂时性污染。建设中，如外来填充物选择不当或施工向周边排水，可能对项目及周边区域地表水质或地下水质造成短暂影响。</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三、声环境影响</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在现场施工期间，机械噪声对作业人员有一定程度的不利影响。有些施工机械噪声超过劳动卫生标准，需实施相应的劳动卫生防护措施。</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四、生物环境影响</w:t>
      </w:r>
    </w:p>
    <w:p w:rsidR="00BE7C2D" w:rsidRDefault="00787D2F">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对采煤塌陷地进行综合整治和开发利用</w:t>
      </w:r>
      <w:r w:rsidR="00D46B16">
        <w:rPr>
          <w:rFonts w:ascii="方正仿宋简体" w:eastAsia="方正仿宋简体" w:hAnsi="文星仿宋" w:cs="方正仿宋简体" w:hint="eastAsia"/>
          <w:b/>
          <w:color w:val="000000"/>
          <w:sz w:val="32"/>
          <w:szCs w:val="32"/>
        </w:rPr>
        <w:t>一定程度上将改变部分土地利用性质，破坏其地质地貌和生物群落，对治理区范围内的动植物及微生物的生长、分布、栖息和活动产生不利影响。</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五、生态格局影响</w:t>
      </w:r>
    </w:p>
    <w:p w:rsidR="00BE7C2D" w:rsidRDefault="00787D2F">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规模性、系统性实施采煤塌陷地综合治理</w:t>
      </w:r>
      <w:r w:rsidR="00D46B16">
        <w:rPr>
          <w:rFonts w:ascii="方正仿宋简体" w:eastAsia="方正仿宋简体" w:hAnsi="文星仿宋" w:cs="方正仿宋简体" w:hint="eastAsia"/>
          <w:b/>
          <w:color w:val="000000"/>
          <w:sz w:val="32"/>
          <w:szCs w:val="32"/>
        </w:rPr>
        <w:t>是对地表景观的一次重新构建，将可能导致现有生态景观格局的改变。</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第三节  对环境不利影响的防治措施</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58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一、大气环境影响防范措施</w:t>
      </w:r>
    </w:p>
    <w:p w:rsidR="00BE7C2D" w:rsidRDefault="00D46B16">
      <w:pPr>
        <w:spacing w:line="58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严格落实施工过程环保措施，必要区域增加围挡，按要求进行喷洒，严控运输、装卸和施工对大气环境的影响。</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二、水环境影响防范措施</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工程施工废水和生活污水垃圾，严格按照相关规定进行处理后外运，降低规划实施对水环境的影响；严控充填物料质量，确保不含污染成分，对施工排水合理设计，水质差的不外排，确保河流入湖口控制断面水质应当达到国家地表水环境质量有关水质标准。</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三、声环境影响防范措施</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施工噪声对环境的不利影响是可逆的短期行为，通过合理安排作业时间，采取适当的消音措施，尽可能减轻施工噪声对社会环境和人群健康的影响。</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四、生物环境破坏防范措施</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增施有机肥或种植绿肥，增加土壤有机质含量，减缓因土地平整造成的影响。恢复耕地的，合理控制建设高程、布设排水工程，防范次生盐渍化问题，保证治理质量。同时，沟渠尽量不加衬砌，增加地下水渗漏，保证一定数量的亲水生物的存活。在沟渠与路相交处合理设置涵管、过路桥等建筑，为动物迁徙提供通道。道路、沟渠、河流等线状工程两侧设置植被绿化带，形成生态廊道，减少对生物多样性的影响。</w:t>
      </w:r>
    </w:p>
    <w:p w:rsidR="00BE7C2D" w:rsidRDefault="00D46B16">
      <w:pPr>
        <w:spacing w:line="600" w:lineRule="exact"/>
        <w:ind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五、生态格局破坏防范措施</w:t>
      </w: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 xml:space="preserve">注重生态景观的合理布设，实现社会效益、经济效益和生态效益的有机统一，将现有生态景观提升为更高层次生态景观。同时，对遭受破坏程度较轻的区域，尊重历史，尊重传统，在治理中以恢复原貌为主，尽量减轻因治理对生态景观的改变。 </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小标宋简体" w:eastAsia="方正小标宋简体" w:hAnsi="文星仿宋" w:cs="方正仿宋简体"/>
          <w:b/>
          <w:color w:val="000000"/>
          <w:sz w:val="32"/>
          <w:szCs w:val="32"/>
        </w:rPr>
      </w:pPr>
      <w:r>
        <w:rPr>
          <w:rFonts w:ascii="方正小标宋简体" w:eastAsia="方正小标宋简体" w:hAnsi="文星仿宋" w:cs="方正仿宋简体" w:hint="eastAsia"/>
          <w:b/>
          <w:color w:val="000000"/>
          <w:sz w:val="32"/>
          <w:szCs w:val="32"/>
        </w:rPr>
        <w:t>第九章  保障措施</w:t>
      </w:r>
    </w:p>
    <w:p w:rsidR="00BE7C2D" w:rsidRDefault="00BE7C2D">
      <w:pPr>
        <w:spacing w:line="600" w:lineRule="exact"/>
        <w:ind w:firstLineChars="200" w:firstLine="626"/>
        <w:jc w:val="center"/>
        <w:rPr>
          <w:rFonts w:ascii="方正小标宋简体" w:eastAsia="方正小标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第一节  加强组织领导</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787D2F">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强化监管职能，做到科学决策和合理安排。明确各级</w:t>
      </w:r>
      <w:r w:rsidR="00D46B16">
        <w:rPr>
          <w:rFonts w:ascii="方正仿宋简体" w:eastAsia="方正仿宋简体" w:hAnsi="文星仿宋" w:cs="方正仿宋简体" w:hint="eastAsia"/>
          <w:b/>
          <w:color w:val="000000"/>
          <w:sz w:val="32"/>
          <w:szCs w:val="32"/>
        </w:rPr>
        <w:t>各部门和煤炭企业责任，加强协调，建立自然资源部门搭台、多部门协作、矿山企业落</w:t>
      </w:r>
      <w:r w:rsidR="00D46B16">
        <w:rPr>
          <w:rFonts w:ascii="方正仿宋简体" w:eastAsia="方正仿宋简体" w:hAnsi="文星仿宋" w:cs="方正仿宋简体" w:hint="eastAsia"/>
          <w:b/>
          <w:color w:val="000000"/>
          <w:spacing w:val="-6"/>
          <w:sz w:val="32"/>
          <w:szCs w:val="32"/>
        </w:rPr>
        <w:t>实、公众广泛参与的组织协调工作机制，推动各项任务目标和重点工程的落实。构建对煤炭企业的联动执法机制，全方位依法监管矿山企业履行采煤塌陷地</w:t>
      </w:r>
      <w:r w:rsidR="00D46B16">
        <w:rPr>
          <w:rFonts w:ascii="方正仿宋简体" w:eastAsia="方正仿宋简体" w:hAnsi="文星仿宋" w:cs="方正仿宋简体" w:hint="eastAsia"/>
          <w:b/>
          <w:color w:val="000000"/>
          <w:sz w:val="32"/>
          <w:szCs w:val="32"/>
        </w:rPr>
        <w:t>综合治理主体责任。</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第二节  完善管理机制</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58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建立健全规划实施评估和绩效评价机制，保障规划的指导性和约束力，</w:t>
      </w:r>
      <w:r>
        <w:rPr>
          <w:rFonts w:ascii="方正仿宋简体" w:eastAsia="方正仿宋简体" w:hAnsi="文星仿宋" w:cs="方正仿宋简体" w:hint="eastAsia"/>
          <w:b/>
          <w:color w:val="000000"/>
          <w:spacing w:val="-6"/>
          <w:sz w:val="32"/>
          <w:szCs w:val="32"/>
        </w:rPr>
        <w:t>适时进行滚动修编，确保各项任务落到实处。建立重大治理工程动态调整机制，强化重点工程保障与监督，保障要素需求、资金需求、政策需求，确保重点工程按期高质量完成、取得良好效益、发挥示范效应。建立健全奖</w:t>
      </w:r>
      <w:r>
        <w:rPr>
          <w:rFonts w:ascii="方正仿宋简体" w:eastAsia="方正仿宋简体" w:hAnsi="文星仿宋" w:cs="方正仿宋简体" w:hint="eastAsia"/>
          <w:b/>
          <w:color w:val="000000"/>
          <w:sz w:val="32"/>
          <w:szCs w:val="32"/>
        </w:rPr>
        <w:t>惩机制，制定针对性奖惩措施，对重点工程推进力度大、成效突出的县（市、区）和企业给予通报表扬，对工作不力、进度缓慢的予以通报、约谈或问责。</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第三节  加大治理投入</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煤炭企业按《土地复垦条例实施办法》（2019年修正）第二十条规定采矿生产项目的土地复垦费用预存，统一纳入矿山地质环境治理恢复基金进行管理；按《山东省采煤塌陷地综合治理工作方案》（鲁政办字〔2015〕180号）规定，可计提采煤塌陷地综合治理费，保障治理投入。此外，应探索建立吸引社会资金投入的机制，提升治理的投入水平。</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第四节  强化科技创新</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强化科技支撑，依托高校科研院所，开展未稳沉采煤塌陷地治理研究，实施“边采边治”工程，探索建立未稳沉塌陷地动态治理全过程技术规范，指导未稳沉采煤塌陷地治理；围绕采煤塌陷地综合治理提供生态产品、实现生态机制，探索形成生态修复的有效路径；探索发展新能源产业，建设“采煤塌陷地+光伏”基地，提高采煤塌陷地治理综合效益。</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jc w:val="center"/>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第五节  保障公众参与</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综合运用各类宣传渠道，提高公众知情权、参与度。强化公示、公告制度，充分听取公众意见。鼓励和引导公众参与规划实施的监督，确保规划实施绩效。对涉及农民切身利益的规划调整与修改等内容，应按照法定程序，组织村民参与，广泛听取公众和相关权利人的意见，切实保障相关权利人的合法权益。</w: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sectPr w:rsidR="00BE7C2D">
          <w:headerReference w:type="even" r:id="rId30"/>
          <w:headerReference w:type="default" r:id="rId31"/>
          <w:footerReference w:type="even" r:id="rId32"/>
          <w:footerReference w:type="default" r:id="rId33"/>
          <w:pgSz w:w="11906" w:h="16838"/>
          <w:pgMar w:top="1814" w:right="1588" w:bottom="1191" w:left="1588" w:header="0" w:footer="1418" w:gutter="0"/>
          <w:pgNumType w:fmt="numberInDash"/>
          <w:cols w:space="425"/>
          <w:docGrid w:type="linesAndChars" w:linePitch="628" w:charSpace="-1683"/>
        </w:sectPr>
      </w:pPr>
    </w:p>
    <w:p w:rsidR="00BE7C2D" w:rsidRDefault="00D46B16">
      <w:pPr>
        <w:spacing w:line="440" w:lineRule="exact"/>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附表1</w:t>
      </w:r>
    </w:p>
    <w:p w:rsidR="00BE7C2D" w:rsidRDefault="00D46B16">
      <w:pPr>
        <w:spacing w:line="480" w:lineRule="exact"/>
        <w:jc w:val="center"/>
        <w:rPr>
          <w:rFonts w:ascii="方正小标宋简体" w:eastAsia="方正小标宋简体" w:hAnsi="文星仿宋" w:cs="方正仿宋简体"/>
          <w:b/>
          <w:color w:val="000000"/>
          <w:sz w:val="44"/>
          <w:szCs w:val="44"/>
        </w:rPr>
      </w:pPr>
      <w:r>
        <w:rPr>
          <w:rFonts w:ascii="方正小标宋简体" w:eastAsia="方正小标宋简体" w:hAnsi="文星仿宋" w:cs="方正仿宋简体" w:hint="eastAsia"/>
          <w:b/>
          <w:color w:val="000000"/>
          <w:sz w:val="44"/>
          <w:szCs w:val="44"/>
        </w:rPr>
        <w:t>济宁市采煤塌陷损毁地类预测表（2021—2025年）</w:t>
      </w:r>
    </w:p>
    <w:p w:rsidR="00BE7C2D" w:rsidRDefault="00D46B16">
      <w:pPr>
        <w:spacing w:line="440" w:lineRule="exact"/>
        <w:jc w:val="right"/>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 xml:space="preserve">单位：公顷           </w:t>
      </w:r>
    </w:p>
    <w:tbl>
      <w:tblPr>
        <w:tblStyle w:val="ac"/>
        <w:tblW w:w="5000" w:type="pct"/>
        <w:jc w:val="center"/>
        <w:tblCellMar>
          <w:left w:w="57" w:type="dxa"/>
          <w:right w:w="57" w:type="dxa"/>
        </w:tblCellMar>
        <w:tblLook w:val="04A0" w:firstRow="1" w:lastRow="0" w:firstColumn="1" w:lastColumn="0" w:noHBand="0" w:noVBand="1"/>
      </w:tblPr>
      <w:tblGrid>
        <w:gridCol w:w="907"/>
        <w:gridCol w:w="608"/>
        <w:gridCol w:w="1803"/>
        <w:gridCol w:w="1564"/>
        <w:gridCol w:w="1027"/>
        <w:gridCol w:w="908"/>
        <w:gridCol w:w="914"/>
        <w:gridCol w:w="1565"/>
        <w:gridCol w:w="1565"/>
        <w:gridCol w:w="2282"/>
        <w:gridCol w:w="1087"/>
      </w:tblGrid>
      <w:tr w:rsidR="00BE7C2D">
        <w:trPr>
          <w:trHeight w:val="260"/>
          <w:tblHeader/>
          <w:jc w:val="center"/>
        </w:trPr>
        <w:tc>
          <w:tcPr>
            <w:tcW w:w="319" w:type="pct"/>
            <w:vAlign w:val="center"/>
          </w:tcPr>
          <w:p w:rsidR="00BE7C2D" w:rsidRDefault="00D46B16">
            <w:pPr>
              <w:spacing w:line="200" w:lineRule="exact"/>
              <w:jc w:val="center"/>
              <w:rPr>
                <w:rFonts w:ascii="方正黑体简体" w:eastAsia="方正黑体简体"/>
                <w:b/>
                <w:sz w:val="21"/>
                <w:szCs w:val="21"/>
              </w:rPr>
            </w:pPr>
            <w:r>
              <w:rPr>
                <w:rFonts w:ascii="方正黑体简体" w:eastAsia="方正黑体简体" w:hint="eastAsia"/>
                <w:b/>
                <w:sz w:val="21"/>
                <w:szCs w:val="21"/>
              </w:rPr>
              <w:t>年份</w:t>
            </w:r>
          </w:p>
        </w:tc>
        <w:tc>
          <w:tcPr>
            <w:tcW w:w="214"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序号</w:t>
            </w:r>
          </w:p>
        </w:tc>
        <w:tc>
          <w:tcPr>
            <w:tcW w:w="634" w:type="pct"/>
            <w:vAlign w:val="center"/>
          </w:tcPr>
          <w:p w:rsidR="00BE7C2D" w:rsidRDefault="00787D2F">
            <w:pPr>
              <w:spacing w:line="260" w:lineRule="exact"/>
              <w:jc w:val="center"/>
              <w:rPr>
                <w:rFonts w:ascii="方正黑体简体" w:eastAsia="方正黑体简体"/>
                <w:b/>
                <w:sz w:val="21"/>
                <w:szCs w:val="21"/>
              </w:rPr>
            </w:pPr>
            <w:r>
              <w:rPr>
                <w:rFonts w:ascii="方正黑体简体" w:eastAsia="方正黑体简体" w:hint="eastAsia"/>
                <w:b/>
                <w:sz w:val="21"/>
                <w:szCs w:val="21"/>
              </w:rPr>
              <w:t>县（市</w:t>
            </w:r>
            <w:r>
              <w:rPr>
                <w:rFonts w:ascii="方正黑体简体" w:eastAsia="方正黑体简体"/>
                <w:b/>
                <w:sz w:val="21"/>
                <w:szCs w:val="21"/>
              </w:rPr>
              <w:t>、区</w:t>
            </w:r>
            <w:r>
              <w:rPr>
                <w:rFonts w:ascii="方正黑体简体" w:eastAsia="方正黑体简体" w:hint="eastAsia"/>
                <w:b/>
                <w:sz w:val="21"/>
                <w:szCs w:val="21"/>
              </w:rPr>
              <w:t>）</w:t>
            </w:r>
          </w:p>
        </w:tc>
        <w:tc>
          <w:tcPr>
            <w:tcW w:w="550"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城镇住宅用地</w:t>
            </w:r>
          </w:p>
        </w:tc>
        <w:tc>
          <w:tcPr>
            <w:tcW w:w="361"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耕地</w:t>
            </w:r>
          </w:p>
        </w:tc>
        <w:tc>
          <w:tcPr>
            <w:tcW w:w="319"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园地</w:t>
            </w:r>
          </w:p>
        </w:tc>
        <w:tc>
          <w:tcPr>
            <w:tcW w:w="319"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林地</w:t>
            </w:r>
          </w:p>
        </w:tc>
        <w:tc>
          <w:tcPr>
            <w:tcW w:w="550"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工矿仓储用地</w:t>
            </w:r>
          </w:p>
        </w:tc>
        <w:tc>
          <w:tcPr>
            <w:tcW w:w="550"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交通运输用地</w:t>
            </w:r>
          </w:p>
        </w:tc>
        <w:tc>
          <w:tcPr>
            <w:tcW w:w="802"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水域及水利设施用地</w:t>
            </w:r>
          </w:p>
        </w:tc>
        <w:tc>
          <w:tcPr>
            <w:tcW w:w="382"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其他地类</w:t>
            </w:r>
          </w:p>
        </w:tc>
      </w:tr>
      <w:tr w:rsidR="00BE7C2D">
        <w:trPr>
          <w:trHeight w:val="260"/>
          <w:jc w:val="center"/>
        </w:trPr>
        <w:tc>
          <w:tcPr>
            <w:tcW w:w="319" w:type="pct"/>
            <w:vMerge w:val="restar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2021年</w:t>
            </w: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771.33</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2012.84</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238.76</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2469.82</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5.23</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264.47</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1041.41</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82.59</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396.15</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2051.71</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77.36</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900.53</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11.89</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197.21</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1536.14</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47.41</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170.25</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1739.49</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99.96</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354.83</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10.18</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114.70</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579.18</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64.05</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1129.65</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3828.42</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58.66</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1402.54</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118.20</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362.77</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1860.95</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203.46</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532.91</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2447.64</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54.21</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429.28</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61.48</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144.82</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2043.62</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127.33</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24.39</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218.11</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2.70</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11.43</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0.73</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20.67</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781.40</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16.98</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86.13</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526.37</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19.66</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58.33</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12.17</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18.79</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285.06</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9.17</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223.37</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1291.07</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8.60</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64.41</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5.00</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43.84</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161.80</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27.66</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0.12</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71.65</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0.00</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12.92</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3.37</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1.55</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10.11</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0.38</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39.49</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1571.36</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6.92</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322.57</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10.80</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76.85</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58.43</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5.53</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408.85</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2553.85</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76.34</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708.75</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33.82</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210.14</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988.48</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108.65</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99.70</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728.55</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236.83</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447.18</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84.26</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147.16</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2055.71</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33.77</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济</w:t>
            </w:r>
            <w:r>
              <w:rPr>
                <w:rFonts w:ascii="方正仿宋简体" w:eastAsia="方正仿宋简体" w:hAnsi="方正仿宋简体" w:hint="eastAsia"/>
                <w:b/>
                <w:spacing w:val="-11"/>
                <w:sz w:val="21"/>
                <w:szCs w:val="21"/>
              </w:rPr>
              <w:t>宁经济技术开发区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0.07</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12.73</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2.43</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3.11</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0.00</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0.22</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0.41</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0.00</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848" w:type="pct"/>
            <w:gridSpan w:val="2"/>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合 计</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3882.42</w:t>
            </w:r>
          </w:p>
        </w:tc>
        <w:tc>
          <w:tcPr>
            <w:tcW w:w="361"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19053.79</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882.43</w:t>
            </w:r>
          </w:p>
        </w:tc>
        <w:tc>
          <w:tcPr>
            <w:tcW w:w="319"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7185.71</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357.11</w:t>
            </w:r>
          </w:p>
        </w:tc>
        <w:tc>
          <w:tcPr>
            <w:tcW w:w="550"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1603.18</w:t>
            </w:r>
          </w:p>
        </w:tc>
        <w:tc>
          <w:tcPr>
            <w:tcW w:w="80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11402.69</w:t>
            </w:r>
          </w:p>
        </w:tc>
        <w:tc>
          <w:tcPr>
            <w:tcW w:w="382" w:type="pct"/>
            <w:shd w:val="clear" w:color="auto" w:fill="auto"/>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color w:val="000000"/>
                <w:sz w:val="21"/>
                <w:szCs w:val="21"/>
              </w:rPr>
              <w:t>726.98</w:t>
            </w:r>
          </w:p>
        </w:tc>
      </w:tr>
      <w:tr w:rsidR="00BE7C2D">
        <w:trPr>
          <w:trHeight w:val="260"/>
          <w:jc w:val="center"/>
        </w:trPr>
        <w:tc>
          <w:tcPr>
            <w:tcW w:w="319" w:type="pct"/>
            <w:vMerge w:val="restar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2022年</w:t>
            </w: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796.93</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2055.52</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254.77</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2503.05</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5.23</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268.67</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1058.04</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82.98</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416.62</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2074.17</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78.35</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930.85</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11.89</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200.41</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1538.51</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47.42</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188.76</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1777.70</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104.63</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358.03</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10.18</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116.52</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579.95</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65.51</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1151.32</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3871.28</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58.70</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1411.13</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118.20</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369.47</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1864.59</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204.70</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650.62</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2533.88</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57.74</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464.82</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61.49</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149.35</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2066.57</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134.98</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24.39</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219.36</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2.70</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11.47</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0.73</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20.76</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781.75</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17.02</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87.10</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533.31</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30.55</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60.14</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13.25</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19.66</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287.01</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9.50</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226.22</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1332.26</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9.88</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68.27</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5.00</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45.05</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164.76</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27.66</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0.12</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72.24</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0.00</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13.02</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3.37</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1.58</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11.03</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0.38</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39.62</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1598.96</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6.92</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333.63</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10.80</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78.19</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59.35</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5.59</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408.85</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2556.38</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76.34</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708.75</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33.82</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210.21</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988.48</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108.75</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133.69</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783.31</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237.27</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459.75</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84.26</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150.03</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2120.23</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38.10</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634"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Ansi="方正仿宋简体" w:hint="eastAsia"/>
                <w:b/>
                <w:spacing w:val="-11"/>
                <w:sz w:val="21"/>
                <w:szCs w:val="21"/>
              </w:rPr>
              <w:t>济宁经济技术开发区</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0.07</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12.73</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2.43</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3.11</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0.00</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0.22</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0.41</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0.00</w:t>
            </w:r>
          </w:p>
        </w:tc>
      </w:tr>
      <w:tr w:rsidR="00BE7C2D">
        <w:trPr>
          <w:trHeight w:val="260"/>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848" w:type="pct"/>
            <w:gridSpan w:val="2"/>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sz w:val="21"/>
                <w:szCs w:val="21"/>
              </w:rPr>
              <w:t>合 计</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4124.32</w:t>
            </w:r>
          </w:p>
        </w:tc>
        <w:tc>
          <w:tcPr>
            <w:tcW w:w="361"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19421.12</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920.30</w:t>
            </w:r>
          </w:p>
        </w:tc>
        <w:tc>
          <w:tcPr>
            <w:tcW w:w="319"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7326.01</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358.22</w:t>
            </w:r>
          </w:p>
        </w:tc>
        <w:tc>
          <w:tcPr>
            <w:tcW w:w="550"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1630.14</w:t>
            </w:r>
          </w:p>
        </w:tc>
        <w:tc>
          <w:tcPr>
            <w:tcW w:w="80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11520.67</w:t>
            </w:r>
          </w:p>
        </w:tc>
        <w:tc>
          <w:tcPr>
            <w:tcW w:w="382" w:type="pct"/>
            <w:shd w:val="clear" w:color="auto" w:fill="auto"/>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736.72</w:t>
            </w:r>
          </w:p>
        </w:tc>
      </w:tr>
      <w:tr w:rsidR="00BE7C2D">
        <w:trPr>
          <w:trHeight w:hRule="exact" w:val="283"/>
          <w:jc w:val="center"/>
        </w:trPr>
        <w:tc>
          <w:tcPr>
            <w:tcW w:w="319" w:type="pct"/>
            <w:vMerge w:val="restar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2023年</w:t>
            </w: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801.95</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2119.14</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276.47</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2517.98</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8.86</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270.65</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1080.05</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84.68</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438.85</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2106.60</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78.49</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935.47</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11.89</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202.35</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1539.94</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47.94</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188.92</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1777.76</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109.84</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358.03</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10.18</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116.57</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579.95</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65.54</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1152.54</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3896.21</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59.09</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1414.60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118.20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371.26</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1866.87</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204.81</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699.55</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2590.18</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64.53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472.72</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61.49</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156.31</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2072.87</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137.71</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24.39</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240.25</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2.70</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11.47</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0.73</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23.36</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788.07</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17.02</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90.22</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601.50</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34.57</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61.31</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13.25</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21.01</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290.41</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9.80</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226.86</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1356.51</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9.88</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68.27</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5.00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45.38</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165.25</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27.85</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0.13</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73.13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0.00</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13.24</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4.67</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1.74</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11.80</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0.67</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42.67</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1698.55</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6.92</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363.00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11.50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83.70</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61.25</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6.17</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409.65</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2588.46</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76.35</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716.85</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33.82</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210.86</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1005.97</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110.54</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133.77</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807.31</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238.12</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472.33</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84.26</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152.21</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2169.58</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38.10</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Ansi="方正仿宋简体" w:hint="eastAsia"/>
                <w:b/>
                <w:spacing w:val="-11"/>
                <w:sz w:val="21"/>
                <w:szCs w:val="21"/>
              </w:rPr>
              <w:t>济宁经济技术开</w:t>
            </w:r>
            <w:r>
              <w:rPr>
                <w:rFonts w:ascii="方正仿宋简体" w:eastAsia="方正仿宋简体" w:hint="eastAsia"/>
                <w:b/>
                <w:sz w:val="21"/>
                <w:szCs w:val="21"/>
              </w:rPr>
              <w:t>发</w:t>
            </w:r>
            <w:r>
              <w:rPr>
                <w:rFonts w:ascii="方正仿宋简体" w:eastAsia="方正仿宋简体" w:hAnsi="方正仿宋简体" w:hint="eastAsia"/>
                <w:b/>
                <w:spacing w:val="-11"/>
                <w:sz w:val="21"/>
                <w:szCs w:val="21"/>
              </w:rPr>
              <w:t>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0.07</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12.73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2.43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3.11</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0.00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0.22</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0.41</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0.00</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848" w:type="pct"/>
            <w:gridSpan w:val="2"/>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sz w:val="21"/>
                <w:szCs w:val="21"/>
              </w:rPr>
              <w:t>合 计</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4209.56</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19868.33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959.38</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7408.37</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363.86</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1655.63</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11632.41</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750.81</w:t>
            </w:r>
          </w:p>
        </w:tc>
      </w:tr>
      <w:tr w:rsidR="00BE7C2D">
        <w:trPr>
          <w:trHeight w:hRule="exact" w:val="283"/>
          <w:jc w:val="center"/>
        </w:trPr>
        <w:tc>
          <w:tcPr>
            <w:tcW w:w="319" w:type="pct"/>
            <w:vMerge w:val="restar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2024年</w:t>
            </w: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820.16</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2131.18</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277.78</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2538.59</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9.74</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273.70</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1082.63</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84.78</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464.50</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2145.61</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78.80</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977.00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11.89</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204.39</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1544.24</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48.77</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193.28</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1784.67</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109.84</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360.91</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10.18</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117.05</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580.14</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65.54</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1168.56</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3980.99</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60.31</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1434.47</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118.20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376.78</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1872.06</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206.81</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775.59</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2663.81</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66.22</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488.62</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62.23</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160.33</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2100.19</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142.69</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24.89</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319.22</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2.70</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13.84</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0.73</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29.74</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802.84</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20.99</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105.82</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665.90</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61.25</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64.87</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13.25</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22.91</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300.05</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10.28</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231.55</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1401.15</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9.88</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72.15</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5.00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47.09</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167.68</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27.95</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0.13</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73.13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0.00</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13.24</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4.67</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1.74</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11.80</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0.67</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53.49</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1730.31</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6.92</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392.58</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11.50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87.29</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63.99</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6.17</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409.69</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2594.73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76.53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718.59</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33.82</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211.71</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1012.33</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111.59</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140.17</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836.81</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238.13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503.20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84.26</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167.68</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2272.57</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38.77</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Ansi="方正仿宋简体" w:hint="eastAsia"/>
                <w:b/>
                <w:spacing w:val="-11"/>
                <w:sz w:val="21"/>
                <w:szCs w:val="21"/>
              </w:rPr>
              <w:t>济宁经济技术开发区</w:t>
            </w:r>
          </w:p>
        </w:tc>
        <w:tc>
          <w:tcPr>
            <w:tcW w:w="550" w:type="pct"/>
            <w:shd w:val="clear" w:color="auto" w:fill="auto"/>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0.07</w:t>
            </w:r>
          </w:p>
        </w:tc>
        <w:tc>
          <w:tcPr>
            <w:tcW w:w="361"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12.73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2.43</w:t>
            </w:r>
          </w:p>
        </w:tc>
        <w:tc>
          <w:tcPr>
            <w:tcW w:w="319"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3.11</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0.00</w:t>
            </w:r>
          </w:p>
        </w:tc>
        <w:tc>
          <w:tcPr>
            <w:tcW w:w="550"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0.22</w:t>
            </w:r>
          </w:p>
        </w:tc>
        <w:tc>
          <w:tcPr>
            <w:tcW w:w="80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0.41</w:t>
            </w:r>
          </w:p>
        </w:tc>
        <w:tc>
          <w:tcPr>
            <w:tcW w:w="382" w:type="pct"/>
            <w:shd w:val="clear" w:color="auto" w:fill="auto"/>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0.00</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848" w:type="pct"/>
            <w:gridSpan w:val="2"/>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sz w:val="21"/>
                <w:szCs w:val="21"/>
              </w:rPr>
              <w:t>合 计</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4387.90</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20340.23</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990.78</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7581.17</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365.47</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1700.63</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11810.92</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765.01</w:t>
            </w:r>
          </w:p>
        </w:tc>
      </w:tr>
      <w:tr w:rsidR="00BE7C2D">
        <w:trPr>
          <w:trHeight w:hRule="exact" w:val="283"/>
          <w:jc w:val="center"/>
        </w:trPr>
        <w:tc>
          <w:tcPr>
            <w:tcW w:w="319" w:type="pct"/>
            <w:vMerge w:val="restar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2025年</w:t>
            </w: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827.84</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2145.40</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279.05</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2555.75</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9.75</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276.64</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1083.44</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85.69</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474.86</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2201.79</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82.59</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1021.11</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11.89</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207.73</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1546.85</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50.25</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200.51</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1831.67</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114.88</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367.59</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10.18</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124.15</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581.71</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65.59</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1177.79</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4061.64</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60.31</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1446.18</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118.20</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382.90</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1878.17</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207.44</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813.01</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2746.92</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71.52</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497.65</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63.74</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166.34</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2106.47</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146.59</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25.19</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339.57</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2.70</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15.01</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0.73</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31.52</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809.98</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21.25</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127.85</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702.48</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81.21</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68.30</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13.88</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24.34</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304.28</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10.33</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245.77</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1499.65</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9.88</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77.31</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5.00</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48.58</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172.86</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28.05</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0.13</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73.13</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0.00</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13.24</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4.67</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1.74</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11.80</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0.67</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95.58</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1770.95</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6.92</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404.03</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11.50</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91.29</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64.09</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6.65</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409.69</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2596.29</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76.53</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718.60</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33.82</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211.71</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1012.33</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111.59</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176.76</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939.70</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239.25</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558.08</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84.26</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172.20</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2394.19</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45.56</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21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634"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Ansi="方正仿宋简体" w:hint="eastAsia"/>
                <w:b/>
                <w:spacing w:val="-11"/>
                <w:sz w:val="21"/>
                <w:szCs w:val="21"/>
              </w:rPr>
              <w:t>济宁经济技术开发区</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0.07</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12.73</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2.43</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3.11</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0.00</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0.22</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0.41</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0.00</w:t>
            </w:r>
          </w:p>
        </w:tc>
      </w:tr>
      <w:tr w:rsidR="00BE7C2D">
        <w:trPr>
          <w:trHeight w:hRule="exact" w:val="283"/>
          <w:jc w:val="center"/>
        </w:trPr>
        <w:tc>
          <w:tcPr>
            <w:tcW w:w="319" w:type="pct"/>
            <w:vMerge/>
            <w:vAlign w:val="center"/>
          </w:tcPr>
          <w:p w:rsidR="00BE7C2D" w:rsidRDefault="00BE7C2D">
            <w:pPr>
              <w:spacing w:line="200" w:lineRule="exact"/>
              <w:jc w:val="center"/>
              <w:rPr>
                <w:rFonts w:ascii="方正仿宋简体" w:eastAsia="方正仿宋简体"/>
                <w:b/>
                <w:sz w:val="21"/>
                <w:szCs w:val="21"/>
              </w:rPr>
            </w:pPr>
          </w:p>
        </w:tc>
        <w:tc>
          <w:tcPr>
            <w:tcW w:w="848" w:type="pct"/>
            <w:gridSpan w:val="2"/>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sz w:val="21"/>
                <w:szCs w:val="21"/>
              </w:rPr>
              <w:t>合 计</w:t>
            </w:r>
          </w:p>
        </w:tc>
        <w:tc>
          <w:tcPr>
            <w:tcW w:w="550" w:type="pct"/>
            <w:vAlign w:val="center"/>
          </w:tcPr>
          <w:p w:rsidR="00BE7C2D" w:rsidRDefault="00D46B16">
            <w:pPr>
              <w:spacing w:line="200" w:lineRule="exact"/>
              <w:jc w:val="center"/>
              <w:rPr>
                <w:rFonts w:ascii="方正仿宋简体" w:eastAsia="方正仿宋简体"/>
                <w:b/>
                <w:color w:val="000000"/>
                <w:sz w:val="21"/>
                <w:szCs w:val="21"/>
                <w:highlight w:val="yellow"/>
              </w:rPr>
            </w:pPr>
            <w:r>
              <w:rPr>
                <w:rFonts w:ascii="方正仿宋简体" w:eastAsia="方正仿宋简体" w:hint="eastAsia"/>
                <w:b/>
                <w:color w:val="000000"/>
                <w:sz w:val="21"/>
                <w:szCs w:val="21"/>
              </w:rPr>
              <w:t>4575.06</w:t>
            </w:r>
          </w:p>
        </w:tc>
        <w:tc>
          <w:tcPr>
            <w:tcW w:w="361"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20921.92</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1027.27</w:t>
            </w:r>
          </w:p>
        </w:tc>
        <w:tc>
          <w:tcPr>
            <w:tcW w:w="319"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7745.96</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367.62</w:t>
            </w:r>
          </w:p>
        </w:tc>
        <w:tc>
          <w:tcPr>
            <w:tcW w:w="550"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1739.36</w:t>
            </w:r>
          </w:p>
        </w:tc>
        <w:tc>
          <w:tcPr>
            <w:tcW w:w="80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11966.60</w:t>
            </w:r>
          </w:p>
        </w:tc>
        <w:tc>
          <w:tcPr>
            <w:tcW w:w="382" w:type="pct"/>
            <w:vAlign w:val="center"/>
          </w:tcPr>
          <w:p w:rsidR="00BE7C2D" w:rsidRDefault="00D46B16">
            <w:pPr>
              <w:spacing w:line="200" w:lineRule="exact"/>
              <w:jc w:val="center"/>
              <w:rPr>
                <w:rFonts w:ascii="方正仿宋简体" w:eastAsia="方正仿宋简体"/>
                <w:b/>
                <w:sz w:val="21"/>
                <w:szCs w:val="21"/>
                <w:highlight w:val="yellow"/>
              </w:rPr>
            </w:pPr>
            <w:r>
              <w:rPr>
                <w:rFonts w:ascii="方正仿宋简体" w:eastAsia="方正仿宋简体" w:hint="eastAsia"/>
                <w:b/>
                <w:color w:val="000000"/>
                <w:sz w:val="21"/>
                <w:szCs w:val="21"/>
              </w:rPr>
              <w:t>779.66</w:t>
            </w:r>
          </w:p>
        </w:tc>
      </w:tr>
    </w:tbl>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500" w:lineRule="exact"/>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附表2</w:t>
      </w:r>
    </w:p>
    <w:p w:rsidR="00BE7C2D" w:rsidRDefault="00D46B16">
      <w:pPr>
        <w:spacing w:line="500" w:lineRule="exact"/>
        <w:jc w:val="center"/>
        <w:rPr>
          <w:rFonts w:ascii="方正小标宋简体" w:eastAsia="方正小标宋简体" w:hAnsi="文星仿宋" w:cs="方正仿宋简体"/>
          <w:b/>
          <w:color w:val="000000"/>
          <w:sz w:val="44"/>
          <w:szCs w:val="44"/>
        </w:rPr>
      </w:pPr>
      <w:r>
        <w:rPr>
          <w:rFonts w:ascii="方正小标宋简体" w:eastAsia="方正小标宋简体" w:hAnsi="文星仿宋" w:cs="方正仿宋简体" w:hint="eastAsia"/>
          <w:b/>
          <w:color w:val="000000"/>
          <w:sz w:val="44"/>
          <w:szCs w:val="44"/>
        </w:rPr>
        <w:t>济宁市采煤塌陷损毁程度预测表（2021—2025年）</w:t>
      </w:r>
    </w:p>
    <w:p w:rsidR="00BE7C2D" w:rsidRDefault="00D46B16">
      <w:pPr>
        <w:spacing w:line="500" w:lineRule="exact"/>
        <w:jc w:val="right"/>
        <w:rPr>
          <w:rFonts w:ascii="方正楷体简体" w:eastAsia="方正楷体简体" w:hAnsi="文星仿宋" w:cs="方正仿宋简体"/>
          <w:b/>
          <w:color w:val="000000"/>
          <w:sz w:val="32"/>
          <w:szCs w:val="32"/>
        </w:rPr>
      </w:pPr>
      <w:r>
        <w:rPr>
          <w:rFonts w:ascii="方正楷体简体" w:eastAsia="方正楷体简体" w:hAnsi="文星仿宋" w:cs="方正仿宋简体" w:hint="eastAsia"/>
          <w:b/>
          <w:color w:val="000000"/>
          <w:sz w:val="32"/>
          <w:szCs w:val="32"/>
        </w:rPr>
        <w:t xml:space="preserve">单位：公顷          </w:t>
      </w:r>
    </w:p>
    <w:tbl>
      <w:tblPr>
        <w:tblStyle w:val="ac"/>
        <w:tblW w:w="4998" w:type="pct"/>
        <w:jc w:val="center"/>
        <w:tblLook w:val="04A0" w:firstRow="1" w:lastRow="0" w:firstColumn="1" w:lastColumn="0" w:noHBand="0" w:noVBand="1"/>
      </w:tblPr>
      <w:tblGrid>
        <w:gridCol w:w="1486"/>
        <w:gridCol w:w="1052"/>
        <w:gridCol w:w="2794"/>
        <w:gridCol w:w="2444"/>
        <w:gridCol w:w="2444"/>
        <w:gridCol w:w="2444"/>
        <w:gridCol w:w="1662"/>
      </w:tblGrid>
      <w:tr w:rsidR="00BE7C2D">
        <w:trPr>
          <w:trHeight w:val="239"/>
          <w:tblHeader/>
          <w:jc w:val="center"/>
        </w:trPr>
        <w:tc>
          <w:tcPr>
            <w:tcW w:w="519"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年份</w:t>
            </w:r>
          </w:p>
        </w:tc>
        <w:tc>
          <w:tcPr>
            <w:tcW w:w="367"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序号</w:t>
            </w:r>
          </w:p>
        </w:tc>
        <w:tc>
          <w:tcPr>
            <w:tcW w:w="975" w:type="pct"/>
            <w:vAlign w:val="center"/>
          </w:tcPr>
          <w:p w:rsidR="00BE7C2D" w:rsidRDefault="00787D2F">
            <w:pPr>
              <w:spacing w:line="260" w:lineRule="exact"/>
              <w:jc w:val="center"/>
              <w:rPr>
                <w:rFonts w:ascii="方正黑体简体" w:eastAsia="方正黑体简体"/>
                <w:b/>
                <w:sz w:val="21"/>
                <w:szCs w:val="21"/>
              </w:rPr>
            </w:pPr>
            <w:r>
              <w:rPr>
                <w:rFonts w:ascii="方正黑体简体" w:eastAsia="方正黑体简体" w:hint="eastAsia"/>
                <w:b/>
                <w:sz w:val="21"/>
                <w:szCs w:val="21"/>
              </w:rPr>
              <w:t>县（市</w:t>
            </w:r>
            <w:r>
              <w:rPr>
                <w:rFonts w:ascii="方正黑体简体" w:eastAsia="方正黑体简体"/>
                <w:b/>
                <w:sz w:val="21"/>
                <w:szCs w:val="21"/>
              </w:rPr>
              <w:t>、区</w:t>
            </w:r>
            <w:r>
              <w:rPr>
                <w:rFonts w:ascii="方正黑体简体" w:eastAsia="方正黑体简体" w:hint="eastAsia"/>
                <w:b/>
                <w:sz w:val="21"/>
                <w:szCs w:val="21"/>
              </w:rPr>
              <w:t>）</w:t>
            </w:r>
          </w:p>
        </w:tc>
        <w:tc>
          <w:tcPr>
            <w:tcW w:w="853"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轻度塌陷</w:t>
            </w:r>
          </w:p>
        </w:tc>
        <w:tc>
          <w:tcPr>
            <w:tcW w:w="853"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中度塌陷</w:t>
            </w:r>
          </w:p>
        </w:tc>
        <w:tc>
          <w:tcPr>
            <w:tcW w:w="853"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重度塌陷</w:t>
            </w:r>
          </w:p>
        </w:tc>
        <w:tc>
          <w:tcPr>
            <w:tcW w:w="580" w:type="pct"/>
            <w:vAlign w:val="center"/>
          </w:tcPr>
          <w:p w:rsidR="00BE7C2D" w:rsidRDefault="00D46B16">
            <w:pPr>
              <w:spacing w:line="260" w:lineRule="exact"/>
              <w:jc w:val="center"/>
              <w:rPr>
                <w:rFonts w:ascii="方正黑体简体" w:eastAsia="方正黑体简体"/>
                <w:b/>
                <w:sz w:val="21"/>
                <w:szCs w:val="21"/>
              </w:rPr>
            </w:pPr>
            <w:r>
              <w:rPr>
                <w:rFonts w:ascii="方正黑体简体" w:eastAsia="方正黑体简体" w:hint="eastAsia"/>
                <w:b/>
                <w:sz w:val="21"/>
                <w:szCs w:val="21"/>
              </w:rPr>
              <w:t>小计</w:t>
            </w:r>
          </w:p>
        </w:tc>
      </w:tr>
      <w:tr w:rsidR="00BE7C2D">
        <w:trPr>
          <w:trHeight w:val="239"/>
          <w:jc w:val="center"/>
        </w:trPr>
        <w:tc>
          <w:tcPr>
            <w:tcW w:w="519" w:type="pct"/>
            <w:vMerge w:val="restar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2021年</w:t>
            </w: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2558.68</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1257.75</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429.19</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4245.62</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720.64</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430.36</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1287.32</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2438.31</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548.60</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126.03</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444.88</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1119.52</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1158.05</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412.09</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1285.24</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2855.38</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817.72</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993.82</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325.96</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2137.50</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138.42</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47.59</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26.15</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212.16</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324.51</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229.15</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41.57</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595.23</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496.73</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698.16</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100.80</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1295.69</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78.24</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19.02</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2.84</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100.10</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506.73</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489.86</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56.43</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1053.03</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963.61</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298.68</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327.24</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1589.53</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652.36</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462.57</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104.52</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1219.45</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济宁经济技术开发区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5.79</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13.18</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0.00</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18.97</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1342" w:type="pct"/>
            <w:gridSpan w:val="2"/>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合 计</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8970.07</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5478.27</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4432.14</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18880.49</w:t>
            </w:r>
          </w:p>
        </w:tc>
      </w:tr>
      <w:tr w:rsidR="00BE7C2D">
        <w:trPr>
          <w:trHeight w:val="239"/>
          <w:jc w:val="center"/>
        </w:trPr>
        <w:tc>
          <w:tcPr>
            <w:tcW w:w="519" w:type="pct"/>
            <w:vMerge w:val="restar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2022年</w:t>
            </w: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2629.04</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1313.62</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441.70</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4384.36</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742.36</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451.68</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1324.10</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2518.14</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553.92</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152.66</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481.57</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1188.16</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1173.59</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448.30</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1318.23</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2940.12</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895.79</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1143.43</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376.45</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2415.67</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139.77</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48.01</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26.15</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213.93</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331.78</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241.63</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46.67</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620.08</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519.61</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728.63</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100.80</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1349.04</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76.68</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14.94</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10.12</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101.75</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508.17</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521.25</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64.72</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1094.14</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952.12</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303.10</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337.02</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1592.24</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816.80</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470.54</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105.57</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1392.91</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367"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975" w:type="pct"/>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济宁经济技术开发区</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5.79</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13.18</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0.00</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18.97</w:t>
            </w:r>
          </w:p>
        </w:tc>
      </w:tr>
      <w:tr w:rsidR="00BE7C2D">
        <w:trPr>
          <w:trHeight w:val="239"/>
          <w:jc w:val="center"/>
        </w:trPr>
        <w:tc>
          <w:tcPr>
            <w:tcW w:w="519" w:type="pct"/>
            <w:vMerge/>
            <w:vAlign w:val="center"/>
          </w:tcPr>
          <w:p w:rsidR="00BE7C2D" w:rsidRDefault="00BE7C2D">
            <w:pPr>
              <w:spacing w:line="260" w:lineRule="exact"/>
              <w:jc w:val="center"/>
              <w:rPr>
                <w:rFonts w:ascii="方正仿宋简体" w:eastAsia="方正仿宋简体"/>
                <w:b/>
                <w:sz w:val="21"/>
                <w:szCs w:val="21"/>
              </w:rPr>
            </w:pPr>
          </w:p>
        </w:tc>
        <w:tc>
          <w:tcPr>
            <w:tcW w:w="1342" w:type="pct"/>
            <w:gridSpan w:val="2"/>
            <w:vAlign w:val="center"/>
          </w:tcPr>
          <w:p w:rsidR="00BE7C2D" w:rsidRDefault="00D46B16">
            <w:pPr>
              <w:spacing w:line="260" w:lineRule="exact"/>
              <w:jc w:val="center"/>
              <w:rPr>
                <w:rFonts w:ascii="方正仿宋简体" w:eastAsia="方正仿宋简体"/>
                <w:b/>
                <w:sz w:val="21"/>
                <w:szCs w:val="21"/>
              </w:rPr>
            </w:pPr>
            <w:r>
              <w:rPr>
                <w:rFonts w:ascii="方正仿宋简体" w:eastAsia="方正仿宋简体" w:hint="eastAsia"/>
                <w:b/>
                <w:sz w:val="21"/>
                <w:szCs w:val="21"/>
              </w:rPr>
              <w:t>合 计</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9345.41</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5850.97</w:t>
            </w:r>
          </w:p>
        </w:tc>
        <w:tc>
          <w:tcPr>
            <w:tcW w:w="853"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4633.11</w:t>
            </w:r>
          </w:p>
        </w:tc>
        <w:tc>
          <w:tcPr>
            <w:tcW w:w="580" w:type="pct"/>
            <w:vAlign w:val="center"/>
          </w:tcPr>
          <w:p w:rsidR="00BE7C2D" w:rsidRDefault="00D46B16">
            <w:pPr>
              <w:spacing w:line="26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19829.49</w:t>
            </w:r>
          </w:p>
        </w:tc>
      </w:tr>
      <w:tr w:rsidR="00BE7C2D">
        <w:trPr>
          <w:trHeight w:hRule="exact" w:val="283"/>
          <w:jc w:val="center"/>
        </w:trPr>
        <w:tc>
          <w:tcPr>
            <w:tcW w:w="519" w:type="pct"/>
            <w:vMerge w:val="restar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2023年</w:t>
            </w: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2686.42</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1367.45</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465.08</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4518.95</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768.68</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503.96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1308.80</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2581.44</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554.71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157.36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481.60</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1193.67</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1166.61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516.99</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1290.72</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2974.32</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947.88</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1212.03</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399.10</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2559.02</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169.57</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48.01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26.15</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243.73</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348.29</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289.56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63.76</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701.61</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536.83</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735.76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102.33</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1374.93</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77.77</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15.04</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12.57</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105.38</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546.51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554.89</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133.44</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1234.85</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978.80</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337.93</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336.41</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1653.14</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815.45</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460.78</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205.75</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1481.98</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济宁经济技术开发区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5.79</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13.18</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0.00</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18.97</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1342" w:type="pct"/>
            <w:gridSpan w:val="2"/>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合 计</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9603.33</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6212.94</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4825.72</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20641.99</w:t>
            </w:r>
          </w:p>
        </w:tc>
      </w:tr>
      <w:tr w:rsidR="00BE7C2D">
        <w:trPr>
          <w:trHeight w:hRule="exact" w:val="283"/>
          <w:jc w:val="center"/>
        </w:trPr>
        <w:tc>
          <w:tcPr>
            <w:tcW w:w="519" w:type="pct"/>
            <w:vMerge w:val="restar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2024年</w:t>
            </w: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2718.11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1391.31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468.31</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4577.73</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813.35</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544.40</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1337.38</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2695.12</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559.46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162.96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486.07</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1208.49</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1209.84</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568.85</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1330.22</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3108.91</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1013.20</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1314.50</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444.34</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2772.04</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213.66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103.41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33.65</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350.72</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415.93</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329.12</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78.83</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823.88</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558.94</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771.11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102.33</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1432.39</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77.77</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15.04</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12.57</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105.38</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607.87</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572.03</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133.44</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1313.34</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968.16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343.56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357.90</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1669.62</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915.04</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530.71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222.14</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1667.89</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济宁经济技术开发区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5.79</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13.18</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0.00</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18.97</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1342" w:type="pct"/>
            <w:gridSpan w:val="2"/>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合 计</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10077.12</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6660.16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5007.19</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21744.47</w:t>
            </w:r>
          </w:p>
        </w:tc>
      </w:tr>
      <w:tr w:rsidR="00BE7C2D">
        <w:trPr>
          <w:trHeight w:hRule="exact" w:val="283"/>
          <w:jc w:val="center"/>
        </w:trPr>
        <w:tc>
          <w:tcPr>
            <w:tcW w:w="519" w:type="pct"/>
            <w:vMerge w:val="restar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2025年</w:t>
            </w: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任城区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2723.36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1431.05</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468.31</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4622.72</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2</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兖州区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893.13</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565.91</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1357.96</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2817.00</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3</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曲阜市</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582.39</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188.49</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512.29</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1283.17</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4</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邹城市</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1241.88</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630.42</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1351.07</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3223.37</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5</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微山县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1060.83</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1359.04</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487.14</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2907.01</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6</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鱼台县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243.77</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104.30</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33.65</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381.71</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7</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金乡县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455.66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361.65</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94.90</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912.21</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8</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嘉祥县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601.32</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836.96</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118.76</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1557.04</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9</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梁山县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77.77</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15.04</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12.57</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105.38</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10</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汶上县</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687.50</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579.08</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145.53</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1412.11</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11</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济宁高新区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968.45</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344.70</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358.04</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1671.20</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12</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太白湖新区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1053.63</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699.42</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243.26</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1996.30</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367"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13</w:t>
            </w:r>
          </w:p>
        </w:tc>
        <w:tc>
          <w:tcPr>
            <w:tcW w:w="975" w:type="pct"/>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济宁经济技术开发区</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5.79</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13.18</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0.00</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18.97</w:t>
            </w:r>
          </w:p>
        </w:tc>
      </w:tr>
      <w:tr w:rsidR="00BE7C2D">
        <w:trPr>
          <w:trHeight w:hRule="exact" w:val="283"/>
          <w:jc w:val="center"/>
        </w:trPr>
        <w:tc>
          <w:tcPr>
            <w:tcW w:w="519" w:type="pct"/>
            <w:vMerge/>
            <w:vAlign w:val="center"/>
          </w:tcPr>
          <w:p w:rsidR="00BE7C2D" w:rsidRDefault="00BE7C2D">
            <w:pPr>
              <w:spacing w:line="200" w:lineRule="exact"/>
              <w:jc w:val="center"/>
              <w:rPr>
                <w:rFonts w:ascii="方正仿宋简体" w:eastAsia="方正仿宋简体"/>
                <w:b/>
                <w:sz w:val="21"/>
                <w:szCs w:val="21"/>
              </w:rPr>
            </w:pPr>
          </w:p>
        </w:tc>
        <w:tc>
          <w:tcPr>
            <w:tcW w:w="1342" w:type="pct"/>
            <w:gridSpan w:val="2"/>
            <w:vAlign w:val="center"/>
          </w:tcPr>
          <w:p w:rsidR="00BE7C2D" w:rsidRDefault="00D46B16">
            <w:pPr>
              <w:spacing w:line="200" w:lineRule="exact"/>
              <w:jc w:val="center"/>
              <w:rPr>
                <w:rFonts w:ascii="方正仿宋简体" w:eastAsia="方正仿宋简体"/>
                <w:b/>
                <w:sz w:val="21"/>
                <w:szCs w:val="21"/>
              </w:rPr>
            </w:pPr>
            <w:r>
              <w:rPr>
                <w:rFonts w:ascii="方正仿宋简体" w:eastAsia="方正仿宋简体" w:hint="eastAsia"/>
                <w:b/>
                <w:sz w:val="21"/>
                <w:szCs w:val="21"/>
              </w:rPr>
              <w:t>合 计</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10595.48</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7129.24</w:t>
            </w:r>
          </w:p>
        </w:tc>
        <w:tc>
          <w:tcPr>
            <w:tcW w:w="853"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5183.47</w:t>
            </w:r>
          </w:p>
        </w:tc>
        <w:tc>
          <w:tcPr>
            <w:tcW w:w="580" w:type="pct"/>
            <w:vAlign w:val="center"/>
          </w:tcPr>
          <w:p w:rsidR="00BE7C2D" w:rsidRDefault="00D46B16">
            <w:pPr>
              <w:spacing w:line="200" w:lineRule="exact"/>
              <w:jc w:val="center"/>
              <w:rPr>
                <w:rFonts w:ascii="方正仿宋简体" w:eastAsia="方正仿宋简体"/>
                <w:b/>
                <w:color w:val="000000"/>
                <w:sz w:val="21"/>
                <w:szCs w:val="21"/>
              </w:rPr>
            </w:pPr>
            <w:r>
              <w:rPr>
                <w:rFonts w:ascii="方正仿宋简体" w:eastAsia="方正仿宋简体" w:hint="eastAsia"/>
                <w:b/>
                <w:color w:val="000000"/>
                <w:sz w:val="21"/>
                <w:szCs w:val="21"/>
              </w:rPr>
              <w:t>22908.19</w:t>
            </w:r>
          </w:p>
        </w:tc>
      </w:tr>
    </w:tbl>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sectPr w:rsidR="00BE7C2D">
          <w:headerReference w:type="even" r:id="rId34"/>
          <w:footerReference w:type="even" r:id="rId35"/>
          <w:footerReference w:type="default" r:id="rId36"/>
          <w:pgSz w:w="16838" w:h="11906" w:orient="landscape"/>
          <w:pgMar w:top="1134" w:right="1134" w:bottom="1134" w:left="1588" w:header="0" w:footer="1134" w:gutter="0"/>
          <w:pgNumType w:fmt="numberInDash"/>
          <w:cols w:space="425"/>
          <w:docGrid w:type="linesAndChars" w:linePitch="628" w:charSpace="-1683"/>
        </w:sectPr>
      </w:pPr>
    </w:p>
    <w:p w:rsidR="00BE7C2D" w:rsidRDefault="00BE7C2D">
      <w:pPr>
        <w:spacing w:line="600" w:lineRule="exact"/>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D46B16">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noProof/>
          <w:color w:val="000000"/>
          <w:sz w:val="32"/>
          <w:szCs w:val="32"/>
        </w:rPr>
        <mc:AlternateContent>
          <mc:Choice Requires="wps">
            <w:drawing>
              <wp:anchor distT="0" distB="0" distL="114300" distR="114300" simplePos="0" relativeHeight="251670528" behindDoc="0" locked="0" layoutInCell="1" allowOverlap="1">
                <wp:simplePos x="0" y="0"/>
                <wp:positionH relativeFrom="column">
                  <wp:posOffset>-627380</wp:posOffset>
                </wp:positionH>
                <wp:positionV relativeFrom="paragraph">
                  <wp:posOffset>337185</wp:posOffset>
                </wp:positionV>
                <wp:extent cx="1790700" cy="3124200"/>
                <wp:effectExtent l="0" t="0" r="19050" b="19050"/>
                <wp:wrapNone/>
                <wp:docPr id="12" name="文本框 12"/>
                <wp:cNvGraphicFramePr/>
                <a:graphic xmlns:a="http://schemas.openxmlformats.org/drawingml/2006/main">
                  <a:graphicData uri="http://schemas.microsoft.com/office/word/2010/wordprocessingShape">
                    <wps:wsp>
                      <wps:cNvSpPr txBox="1"/>
                      <wps:spPr>
                        <a:xfrm>
                          <a:off x="0" y="0"/>
                          <a:ext cx="1790700" cy="312420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E7C2D" w:rsidRDefault="00BE7C2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49.4pt;margin-top:26.55pt;height:246pt;width:141pt;z-index:251670528;mso-width-relative:page;mso-height-relative:page;" fillcolor="#FFFFFF [3212]" filled="t" stroked="t" coordsize="21600,21600" o:gfxdata="UEsFBgAAAAAAAAAAAAAAAAAAAAAAAFBLAwQKAAAAAACHTuJAAAAAAAAAAAAAAAAABAAAAGRycy9Q SwMEFAAAAAgAh07iQK+CbDrZAAAACgEAAA8AAABkcnMvZG93bnJldi54bWxNj8FuwjAQRO+V+Adr kXoDJ9BUJo3DAYlbVSmUthxNvCRR43WInYT+fc2pPe7saOZNtr2Zlo3Yu8aShHgZAUMqrW6oknB8 3y8EMOcVadVaQgk/6GCbzx4ylWo7UYHjwVcshJBLlYTa+y7l3JU1GuWWtkMKv4vtjfLh7CuuezWF cNPyVRQ9c6MaCg216nBXY/l9GIyEt3GwH9VnUn7RaSqcuFyLV3GV8nEeRy/APN78nxnu+AEd8sB0 tgNpx1oJi40I6F5Cso6B3Q1ivQJ2DsJTEgPPM/5/Qv4LUEsDBBQAAAAIAIdO4kCkGANoQwIAAI0E AAAOAAAAZHJzL2Uyb0RvYy54bWytVN2OEjEUvjfxHZrey8yw7K5LGDbIBmNC3E3QeF06LUzS9tS2 MIMPoG/glTfe+1w8h6dlYFn1whi5KOeP8/Od7zC6bbUiW+F8DaakRS+nRBgOVW1WJX3/bvbiJSU+ MFMxBUaUdCc8vR0/fzZq7FD0YQ2qEo5gEuOHjS3pOgQ7zDLP10Iz3wMrDDolOM0Cqm6VVY41mF2r rJ/nV1kDrrIOuPAerXcHJx2n/FIKHu6l9CIQVVLsLaTXpXcZ32w8YsOVY3Zd864N9g9daFYbLHpK dccCIxtX/5ZK19yBBxl6HHQGUtZcpBlwmiL/ZZrFmlmRZkFwvD3B5P9fWv52++BIXeHu+pQYpnFH +69f9t9+7L9/JmhDgBrrhxi3sBgZ2lfQljS4jTi6PNrj6K10On7jUARDEO3dCWHRBsLRWFzf5Nc5 ujj6Lor+AHcY82SPP7fOh9cCNIlCSR2uMCHLtnMfDqHHkFjNg6qrWa1UUtxqOVWObBmue5Y+XfYn YcqQpqRXF5d5yvzE5/8mBbarTCwoEsW6xiJOBzCiFNpl24G3hGqH2Dk40M9bPqtxuDnz4YE55BsC gjcU7vGRCrA36CRK1uA+/cke45EG6KWkQf6W1H/cMCcoUW8MEuSmGAwi4ZMyuLzuo+LOPctzj9no KSBmBV6r5UmM8UEdRelAf8BTm8SqkimPhZjhWB/JcBSnAbXOiSfLxWRy0pHuloW5WVje0SfiZ2Cy CSDrtNiI2gEqJERUkPOJGt19xqM611PU47/I+CdQSwMECgAAAAAAh07iQAAAAAAAAAAAAAAAAAYA AABfcmVscy9QSwMEFAAAAAgAh07iQIoUZjzRAAAAlAEAAAsAAABfcmVscy8ucmVsc6WQwWrDMAyG 74O9g9F9cZrDGKNOL6PQa+kewNiKYxpbRjLZ+vbzDoNl9LajfqHvE//+8JkWtSJLpGxg1/WgMDvy MQcD75fj0wsoqTZ7u1BGAzcUOIyPD/szLra2I5ljEdUoWQzMtZZXrcXNmKx0VDC3zUScbG0jB12s u9qAeuj7Z82/GTBumOrkDfDJD6Aut9LMf9gpOiahqXaOkqZpiu4eVQe2ZY7uyDbhG7lGsxywGvAs GgdqWdd+BH1fv/un3tNHPuO61X6HjOuPV2+6HL8AUEsDBBQAAAAIAIdO4kB+5uUg9wAAAOEBAAAT AAAAW0NvbnRlbnRfVHlwZXNdLnhtbJWRQU7DMBBF90jcwfIWJU67QAgl6YK0S0CoHGBkTxKLZGx5 TGhvj5O2G0SRWNoz/78nu9wcxkFMGNg6quQqL6RA0s5Y6ir5vt9lD1JwBDIwOMJKHpHlpr69KfdH jyxSmriSfYz+USnWPY7AufNIadK6MEJMx9ApD/oDOlTrorhX2lFEilmcO2RdNtjC5xDF9pCuTyYB B5bi6bQ4syoJ3g9WQ0ymaiLzg5KdCXlKLjvcW893SUOqXwnz5DrgnHtJTxOsQfEKIT7DmDSUCayM +6KAU/53yWw5cuba1mrMm8BNir3hdLG61o5r1zj93/Ltkrp0q+WD6m9QSwECFAAUAAAACACHTuJA fublIPcAAADhAQAAEwAAAAAAAAABACAAAADLBAAAW0NvbnRlbnRfVHlwZXNdLnhtbFBLAQIUAAoA AAAAAIdO4kAAAAAAAAAAAAAAAAAGAAAAAAAAAAAAEAAAAK0DAABfcmVscy9QSwECFAAUAAAACACH TuJAihRmPNEAAACUAQAACwAAAAAAAAABACAAAADRAwAAX3JlbHMvLnJlbHNQSwECFAAKAAAAAACH TuJAAAAAAAAAAAAAAAAABAAAAAAAAAAAABAAAAAWAAAAZHJzL1BLAQIUABQAAAAIAIdO4kCvgmw6 2QAAAAoBAAAPAAAAAAAAAAEAIAAAADgAAABkcnMvZG93bnJldi54bWxQSwECFAAUAAAACACHTuJA pBgDaEMCAACNBAAADgAAAAAAAAABACAAAAA+AQAAZHJzL2Uyb0RvYy54bWxQSwUGAAAAAAYABgBZ AQAA8wUAAAAA ">
                <v:fill on="t" focussize="0,0"/>
                <v:stroke weight="0.5pt" color="#FFFFFF [3212]" joinstyle="round"/>
                <v:imagedata o:title=""/>
                <o:lock v:ext="edit" aspectratio="f"/>
                <v:textbox>
                  <w:txbxContent>
                    <w:p/>
                  </w:txbxContent>
                </v:textbox>
              </v:shape>
            </w:pict>
          </mc:Fallback>
        </mc:AlternateContent>
      </w: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spacing w:line="600" w:lineRule="exact"/>
        <w:ind w:firstLineChars="200" w:firstLine="626"/>
        <w:rPr>
          <w:rFonts w:ascii="方正仿宋简体" w:eastAsia="方正仿宋简体" w:hAnsi="文星仿宋" w:cs="方正仿宋简体"/>
          <w:b/>
          <w:color w:val="000000"/>
          <w:sz w:val="32"/>
          <w:szCs w:val="32"/>
        </w:rPr>
      </w:pPr>
    </w:p>
    <w:p w:rsidR="00BE7C2D" w:rsidRDefault="00BE7C2D">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BE7C2D" w:rsidRDefault="00D46B16">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0" o:spid="_x0000_s1026" o:spt="20" style="position:absolute;left:0pt;margin-left:0pt;margin-top:26.1pt;height:0pt;width:436.55pt;z-index:251660288;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8" w:name="主题词"/>
      <w:bookmarkEnd w:id="8"/>
    </w:p>
    <w:p w:rsidR="00BE7C2D" w:rsidRDefault="00D46B16">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w:t>
      </w:r>
      <w:r w:rsidR="00787D2F">
        <w:rPr>
          <w:rFonts w:ascii="方正仿宋简体" w:eastAsia="方正仿宋简体" w:hAnsi="文星仿宋" w:cs="方正仿宋简体" w:hint="eastAsia"/>
          <w:b/>
          <w:sz w:val="28"/>
          <w:szCs w:val="28"/>
          <w:lang w:bidi="ar"/>
        </w:rPr>
        <w:t>办公室</w:t>
      </w:r>
      <w:r>
        <w:rPr>
          <w:rFonts w:ascii="方正仿宋简体" w:eastAsia="方正仿宋简体" w:hAnsi="文星仿宋" w:cs="方正仿宋简体" w:hint="eastAsia"/>
          <w:b/>
          <w:sz w:val="28"/>
          <w:szCs w:val="28"/>
          <w:lang w:bidi="ar"/>
        </w:rPr>
        <w:t>，市人大常委会办公室，市政协办公室，</w:t>
      </w:r>
      <w:r>
        <w:rPr>
          <w:rFonts w:ascii="方正仿宋简体" w:eastAsia="方正仿宋简体" w:hAnsi="方正仿宋简体" w:cs="方正仿宋简体" w:hint="eastAsia"/>
          <w:b/>
          <w:color w:val="000000"/>
          <w:sz w:val="28"/>
          <w:szCs w:val="28"/>
          <w:lang w:bidi="ar"/>
        </w:rPr>
        <w:t>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BE7C2D" w:rsidRDefault="00D46B16">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BE7C2D" w:rsidRDefault="00D46B16">
      <w:pPr>
        <w:spacing w:line="740" w:lineRule="exact"/>
        <w:ind w:firstLineChars="98" w:firstLine="306"/>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2" o:spid="_x0000_s1026" o:spt="20" style="position:absolute;left:0pt;margin-left:0pt;margin-top:40.95pt;height:0pt;width:436.5pt;z-index:251669504;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1" o:spid="_x0000_s1026" o:spt="20" style="position:absolute;left:0pt;margin-left:0pt;margin-top:8.25pt;height:0pt;width:436.55pt;z-index:251661312;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                    2022年6月25日印发</w:t>
      </w:r>
    </w:p>
    <w:sectPr w:rsidR="00BE7C2D">
      <w:pgSz w:w="11906" w:h="16838"/>
      <w:pgMar w:top="1134" w:right="1134" w:bottom="1588" w:left="1588" w:header="0" w:footer="1134"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C7E" w:rsidRDefault="00D46B16">
      <w:r>
        <w:separator/>
      </w:r>
    </w:p>
  </w:endnote>
  <w:endnote w:type="continuationSeparator" w:id="0">
    <w:p w:rsidR="00AF0C7E" w:rsidRDefault="00D4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永中仿宋"/>
    <w:panose1 w:val="02010600030101010101"/>
    <w:charset w:val="86"/>
    <w:family w:val="auto"/>
    <w:pitch w:val="variable"/>
    <w:sig w:usb0="A00002BF" w:usb1="38CF7CFA" w:usb2="00000016" w:usb3="00000000" w:csb0="0004000F" w:csb1="00000000"/>
  </w:font>
  <w:font w:name="方正仿宋简体">
    <w:panose1 w:val="02010601030101010101"/>
    <w:charset w:val="86"/>
    <w:family w:val="auto"/>
    <w:pitch w:val="variable"/>
    <w:sig w:usb0="00000001" w:usb1="080E0000" w:usb2="00000010" w:usb3="00000000" w:csb0="00040000" w:csb1="00000000"/>
  </w:font>
  <w:font w:name="Trebuchet MS">
    <w:altName w:val="Times New Roman"/>
    <w:panose1 w:val="020B0603020202020204"/>
    <w:charset w:val="00"/>
    <w:family w:val="swiss"/>
    <w:pitch w:val="variable"/>
    <w:sig w:usb0="00000287" w:usb1="00000000" w:usb2="00000000" w:usb3="00000000" w:csb0="0000009F" w:csb1="00000000"/>
  </w:font>
  <w:font w:name="ヒラギノ角ゴ Pro W3">
    <w:altName w:val="Times New Roman"/>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永中仿宋"/>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文星标宋">
    <w:altName w:val="Arial Unicode MS"/>
    <w:charset w:val="86"/>
    <w:family w:val="auto"/>
    <w:pitch w:val="default"/>
    <w:sig w:usb0="00000000" w:usb1="0000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仿宋"/>
    <w:charset w:val="86"/>
    <w:family w:val="auto"/>
    <w:pitch w:val="default"/>
    <w:sig w:usb0="00000000" w:usb1="00000000" w:usb2="00000010" w:usb3="00000000" w:csb0="00040001" w:csb1="00000000"/>
  </w:font>
  <w:font w:name="Tahoma">
    <w:altName w:val="Droid Sans"/>
    <w:panose1 w:val="020B0604030504040204"/>
    <w:charset w:val="00"/>
    <w:family w:val="swiss"/>
    <w:pitch w:val="variable"/>
    <w:sig w:usb0="E1002EFF" w:usb1="C000605B" w:usb2="00000029" w:usb3="00000000" w:csb0="000101FF" w:csb1="00000000"/>
  </w:font>
  <w:font w:name="方正楷体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default"/>
    <w:sig w:usb0="00000000" w:usb1="0000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sdtPr>
    <w:sdtEndPr>
      <w:rPr>
        <w:rFonts w:asciiTheme="minorEastAsia" w:hAnsiTheme="minorEastAsia"/>
        <w:b/>
        <w:sz w:val="28"/>
        <w:szCs w:val="28"/>
      </w:rPr>
    </w:sdtEndPr>
    <w:sdtContent>
      <w:p w:rsidR="00BE7C2D" w:rsidRDefault="00D46B16">
        <w:pPr>
          <w:pStyle w:val="a9"/>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075BCB" w:rsidRPr="00075BCB">
          <w:rPr>
            <w:rFonts w:asciiTheme="minorEastAsia" w:hAnsiTheme="minorEastAsia"/>
            <w:b/>
            <w:noProof/>
            <w:sz w:val="28"/>
            <w:szCs w:val="28"/>
            <w:lang w:val="zh-CN"/>
          </w:rPr>
          <w:t>-</w:t>
        </w:r>
        <w:r w:rsidR="00075BCB">
          <w:rPr>
            <w:rFonts w:asciiTheme="minorEastAsia" w:hAnsiTheme="minorEastAsia"/>
            <w:b/>
            <w:noProof/>
            <w:sz w:val="28"/>
            <w:szCs w:val="28"/>
          </w:rPr>
          <w:t xml:space="preserve"> 16 -</w:t>
        </w:r>
        <w:r>
          <w:rPr>
            <w:rFonts w:asciiTheme="minorEastAsia" w:hAnsiTheme="minorEastAsia"/>
            <w:b/>
            <w:sz w:val="28"/>
            <w:szCs w:val="28"/>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D46B16">
    <w:pPr>
      <w:pStyle w:val="a9"/>
    </w:pPr>
    <w:r>
      <w:rPr>
        <w:noProof/>
      </w:rPr>
      <mc:AlternateContent>
        <mc:Choice Requires="wps">
          <w:drawing>
            <wp:anchor distT="0" distB="0" distL="114300" distR="114300" simplePos="0" relativeHeight="251665408" behindDoc="0" locked="0" layoutInCell="0" allowOverlap="1">
              <wp:simplePos x="0" y="0"/>
              <wp:positionH relativeFrom="leftMargin">
                <wp:posOffset>560070</wp:posOffset>
              </wp:positionH>
              <wp:positionV relativeFrom="margin">
                <wp:posOffset>5188585</wp:posOffset>
              </wp:positionV>
              <wp:extent cx="510540" cy="762000"/>
              <wp:effectExtent l="0" t="0" r="0" b="0"/>
              <wp:wrapNone/>
              <wp:docPr id="10"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762000"/>
                      </a:xfrm>
                      <a:prstGeom prst="rect">
                        <a:avLst/>
                      </a:prstGeom>
                      <a:noFill/>
                    </wps:spPr>
                    <wps:txbx>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27 -</w:t>
                          </w:r>
                          <w:r>
                            <w:rPr>
                              <w:rFonts w:asciiTheme="majorEastAsia" w:eastAsiaTheme="majorEastAsia" w:hAnsi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_x0000_s1031" style="position:absolute;margin-left:44.1pt;margin-top:408.55pt;width:40.2pt;height:60pt;z-index:251665408;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gI1U8AEAAKsDAAAOAAAAZHJzL2Uyb0RvYy54bWysU1GO0zAQ/UfiDpb/aZrS7kLUdLXaVRHS AistHGDqOI1F4jFjt8meBok/DsFxENdg7LSlwB/iZ5TxjJ/fezNZXg1dK/aavEFbynwylUJbhZWx 21J+eL9+9kIKH8BW0KLVpXzUXl6tnj5Z9q7QM2ywrTQJBrG+6F0pmxBckWVeNboDP0GnLRdrpA4C p7TNKoKe0bs2m02nF1mPVDlCpb3n09uxKFcJv661Cu/q2usg2lIyt5AipbiJMVstodgSuMaoAw34 BxYdGMuPnqBuIYDYkfkLqjOK0GMdJgq7DOvaKJ00sJp8+oeahwacTlrYHO9ONvn/B6ve7u9JmIpn x/ZY6HhGPz5//f7ti3gezemdL7jnwd1TlOfdHaqPXli8acBu9TUR9o2GiinlsT/77UJMPF8Vm/4N VgwNu4DJp6GmLgKyA2JI43g8jUMPQSg+XOTTxZxZKS5dXvC007gyKI6XHfnwSmMn4kcpiaedwGF/ 50MkA8WxJb5lcW3a9kgy8hr1hWEzJAvmR8UbrB6ZNeG4L7zf/BGjFD3vSin9px2QlqJ9bVn5y3we eYaUzBeXM07ovLI5r4BVDfIKqkBSjMlNGFdy58hsG34rTzq8u2a/1iZpiV6OvA4u80YkiYftjSt3 nqeuX//Y6icAAAD//wMAUEsDBBQABgAIAAAAIQCBv2vQ4AAAAAoBAAAPAAAAZHJzL2Rvd25yZXYu eG1sTI/BTsMwDIbvSLxDZCRuLO2QSumaTgMxDSFx2MZlt6wxTUXjVE3WdW+Pd4KTZfvT78/lcnKd GHEIrScF6SwBgVR701Kj4Gu/fshBhKjJ6M4TKrhggGV1e1PqwvgzbXHcxUZwCIVCK7Ax9oWUobbo dJj5Hol3335wOnI7NNIM+szhrpPzJMmk0y3xBat7fLVY/+xOTsHLJvjP0b9tN6vDu3XjJd1/hLVS 93fTagEi4hT/YLjqszpU7HT0JzJBdAryfM4k1/QpBXEFsjwDcVTw/MgTWZXy/wvVLwAAAP//AwBQ SwECLQAUAAYACAAAACEAtoM4kv4AAADhAQAAEwAAAAAAAAAAAAAAAAAAAAAAW0NvbnRlbnRfVHlw ZXNdLnhtbFBLAQItABQABgAIAAAAIQA4/SH/1gAAAJQBAAALAAAAAAAAAAAAAAAAAC8BAABfcmVs cy8ucmVsc1BLAQItABQABgAIAAAAIQDmgI1U8AEAAKsDAAAOAAAAAAAAAAAAAAAAAC4CAABkcnMv ZTJvRG9jLnhtbFBLAQItABQABgAIAAAAIQCBv2vQ4AAAAAoBAAAPAAAAAAAAAAAAAAAAAEoEAABk cnMvZG93bnJldi54bWxQSwUGAAAAAAQABADzAAAAVwUAAAAA " o:allowincell="f" filled="f" stroked="f">
              <v:textbox style="layout-flow:vertical;mso-fit-shape-to-text:t">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27 -</w:t>
                    </w:r>
                    <w:r>
                      <w:rPr>
                        <w:rFonts w:asciiTheme="majorEastAsia" w:eastAsiaTheme="majorEastAsia" w:hAnsiTheme="majorEastAsia" w:cstheme="majorBidi"/>
                        <w:b/>
                        <w:sz w:val="28"/>
                        <w:szCs w:val="28"/>
                      </w:rPr>
                      <w:fldChar w:fldCharType="end"/>
                    </w:r>
                  </w:p>
                </w:txbxContent>
              </v:textbox>
              <w10:wrap anchorx="margin" anchory="margin"/>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408353"/>
    </w:sdtPr>
    <w:sdtEndPr/>
    <w:sdtContent>
      <w:p w:rsidR="00BE7C2D" w:rsidRDefault="00D46B16">
        <w:pPr>
          <w:pStyle w:val="a9"/>
        </w:pPr>
        <w:r>
          <w:rPr>
            <w:rFonts w:asciiTheme="majorEastAsia" w:eastAsiaTheme="majorEastAsia" w:hAnsiTheme="majorEastAsia"/>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b/>
            <w:sz w:val="28"/>
            <w:szCs w:val="28"/>
          </w:rPr>
          <w:fldChar w:fldCharType="separate"/>
        </w:r>
        <w:r w:rsidR="00075BCB" w:rsidRPr="00075BCB">
          <w:rPr>
            <w:rFonts w:asciiTheme="majorEastAsia" w:eastAsiaTheme="majorEastAsia" w:hAnsiTheme="majorEastAsia"/>
            <w:b/>
            <w:noProof/>
            <w:sz w:val="28"/>
            <w:szCs w:val="28"/>
            <w:lang w:val="zh-CN"/>
          </w:rPr>
          <w:t>-</w:t>
        </w:r>
        <w:r w:rsidR="00075BCB">
          <w:rPr>
            <w:rFonts w:asciiTheme="majorEastAsia" w:eastAsiaTheme="majorEastAsia" w:hAnsiTheme="majorEastAsia"/>
            <w:b/>
            <w:noProof/>
            <w:sz w:val="28"/>
            <w:szCs w:val="28"/>
          </w:rPr>
          <w:t xml:space="preserve"> 34 -</w:t>
        </w:r>
        <w:r>
          <w:rPr>
            <w:rFonts w:asciiTheme="majorEastAsia" w:eastAsiaTheme="majorEastAsia" w:hAnsiTheme="majorEastAsia"/>
            <w:b/>
            <w:sz w:val="28"/>
            <w:szCs w:val="28"/>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23689"/>
    </w:sdtPr>
    <w:sdtEndPr>
      <w:rPr>
        <w:rFonts w:asciiTheme="majorEastAsia" w:eastAsiaTheme="majorEastAsia" w:hAnsiTheme="majorEastAsia"/>
        <w:b/>
        <w:sz w:val="28"/>
        <w:szCs w:val="28"/>
      </w:rPr>
    </w:sdtEndPr>
    <w:sdtContent>
      <w:p w:rsidR="00BE7C2D" w:rsidRDefault="00D46B16">
        <w:pPr>
          <w:pStyle w:val="a9"/>
          <w:jc w:val="right"/>
          <w:rPr>
            <w:rFonts w:asciiTheme="majorEastAsia" w:eastAsiaTheme="majorEastAsia" w:hAnsiTheme="majorEastAsia"/>
            <w:b/>
            <w:sz w:val="28"/>
            <w:szCs w:val="28"/>
          </w:rPr>
        </w:pPr>
        <w:r>
          <w:rPr>
            <w:rFonts w:asciiTheme="majorEastAsia" w:eastAsiaTheme="majorEastAsia" w:hAnsiTheme="majorEastAsia"/>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b/>
            <w:sz w:val="28"/>
            <w:szCs w:val="28"/>
          </w:rPr>
          <w:fldChar w:fldCharType="separate"/>
        </w:r>
        <w:r w:rsidR="00075BCB" w:rsidRPr="00075BCB">
          <w:rPr>
            <w:rFonts w:asciiTheme="majorEastAsia" w:eastAsiaTheme="majorEastAsia" w:hAnsiTheme="majorEastAsia"/>
            <w:b/>
            <w:noProof/>
            <w:sz w:val="28"/>
            <w:szCs w:val="28"/>
            <w:lang w:val="zh-CN"/>
          </w:rPr>
          <w:t>-</w:t>
        </w:r>
        <w:r w:rsidR="00075BCB">
          <w:rPr>
            <w:rFonts w:asciiTheme="majorEastAsia" w:eastAsiaTheme="majorEastAsia" w:hAnsiTheme="majorEastAsia"/>
            <w:b/>
            <w:noProof/>
            <w:sz w:val="28"/>
            <w:szCs w:val="28"/>
          </w:rPr>
          <w:t xml:space="preserve"> 33 -</w:t>
        </w:r>
        <w:r>
          <w:rPr>
            <w:rFonts w:asciiTheme="majorEastAsia" w:eastAsiaTheme="majorEastAsia" w:hAnsiTheme="majorEastAsia"/>
            <w:b/>
            <w:sz w:val="28"/>
            <w:szCs w:val="28"/>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9"/>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D46B16">
    <w:pPr>
      <w:pStyle w:val="a9"/>
    </w:pPr>
    <w:r>
      <w:rPr>
        <w:noProof/>
      </w:rPr>
      <mc:AlternateContent>
        <mc:Choice Requires="wps">
          <w:drawing>
            <wp:anchor distT="0" distB="0" distL="114300" distR="114300" simplePos="0" relativeHeight="251667456" behindDoc="0" locked="0" layoutInCell="0" allowOverlap="1">
              <wp:simplePos x="0" y="0"/>
              <wp:positionH relativeFrom="leftMargin">
                <wp:posOffset>569595</wp:posOffset>
              </wp:positionH>
              <wp:positionV relativeFrom="margin">
                <wp:posOffset>5198110</wp:posOffset>
              </wp:positionV>
              <wp:extent cx="510540" cy="733425"/>
              <wp:effectExtent l="0" t="0" r="0" b="0"/>
              <wp:wrapNone/>
              <wp:docPr id="1"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733425"/>
                      </a:xfrm>
                      <a:prstGeom prst="rect">
                        <a:avLst/>
                      </a:prstGeom>
                      <a:noFill/>
                    </wps:spPr>
                    <wps:txbx>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43 -</w:t>
                          </w:r>
                          <w:r>
                            <w:rPr>
                              <w:rFonts w:asciiTheme="majorEastAsia" w:eastAsiaTheme="majorEastAsia" w:hAnsi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_x0000_s1033" style="position:absolute;margin-left:44.85pt;margin-top:409.3pt;width:40.2pt;height:57.75pt;z-index:251667456;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p7/48QEAAKoDAAAOAAAAZHJzL2Uyb0RvYy54bWysU12O0zAQfkfiDpbfaZL+7C5R09VqV0VI C6y0ywFcx0ksEo8Zu016GiTeOMQeB3ENxk5bCrwhXqyMZ/zN930zWV4PXct2Cp0GU/BsknKmjIRS m7rgH5/Wr644c16YUrRgVMH3yvHr1csXy97magoNtKVCRiDG5b0teOO9zZPEyUZ1wk3AKkPJCrAT nkKskxJFT+hdm0zT9CLpAUuLIJVzdHs3Jvkq4leVkv5DVTnlWVtw4ubjifHchDNZLUVeo7CNlgca 4h9YdEIbanqCuhNesC3qv6A6LREcVH4ioUugqrRUUQOpydI/1Dw2wqqohcxx9mST+3+w8v3uAZku aXacGdHRiH58+fb9+SubBW9663IqebQPGNQ5ew/yk2MGbhthanWDCH2jREmMslCf/PYgBI6esk3/ DkqCFlsP0aahwi4AkgFsiNPYn6ahBs8kXS6ydDGnmUlKXc5m8+kidhD58bFF598o6Fj4KDjSsCO4 2N07H8iI/FgSehlY67Y9kgy8Rn1+2AzRgYuj4g2Ue2KNMK4LrTd9hJOznlal4O7zVqDirH1rSPnr bB54+hjMF5dTCvA8sznPCCMboA2UHjkbg1s/buTWoq4b6pVFHc7ekF9rHbUEL0deB5dpIaLEw/KG jTuPY9WvX2z1EwAA//8DAFBLAwQUAAYACAAAACEALLGbTuEAAAAKAQAADwAAAGRycy9kb3ducmV2 LnhtbEyPy27CMBBF95X4B2sqdVcctxWEEAfRqoiqEgseG3YmnsYR8TiKTQh/X7NqV6PRHN05N18M tmE9dr52JEGME2BIpdM1VRIO+9VzCswHRVo1jlDCDT0sitFDrjLtrrTFfhcqFkPIZ0qCCaHNOPel Qav82LVI8fbjOqtCXLuK605dY7ht+EuSTLhVNcUPRrX4YbA87y5Wwvvau03vPrfr5fHL2P4m9t9+ JeXT47CcAws4hD8Y7vpRHYrodHIX0p41EtLZNJJxinQC7A5MEwHsJGH2+iaAFzn/X6H4BQAA//8D AFBLAQItABQABgAIAAAAIQC2gziS/gAAAOEBAAATAAAAAAAAAAAAAAAAAAAAAABbQ29udGVudF9U eXBlc10ueG1sUEsBAi0AFAAGAAgAAAAhADj9If/WAAAAlAEAAAsAAAAAAAAAAAAAAAAALwEAAF9y ZWxzLy5yZWxzUEsBAi0AFAAGAAgAAAAhADSnv/jxAQAAqgMAAA4AAAAAAAAAAAAAAAAALgIAAGRy cy9lMm9Eb2MueG1sUEsBAi0AFAAGAAgAAAAhACyxm07hAAAACgEAAA8AAAAAAAAAAAAAAAAASwQA AGRycy9kb3ducmV2LnhtbFBLBQYAAAAABAAEAPMAAABZBQAAAAA= " o:allowincell="f" filled="f" stroked="f">
              <v:textbox style="layout-flow:vertical;mso-fit-shape-to-text:t">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43 -</w:t>
                    </w:r>
                    <w:r>
                      <w:rPr>
                        <w:rFonts w:asciiTheme="majorEastAsia" w:eastAsiaTheme="majorEastAsia" w:hAnsiTheme="majorEastAsia" w:cstheme="majorBidi"/>
                        <w:b/>
                        <w:sz w:val="28"/>
                        <w:szCs w:val="28"/>
                      </w:rPr>
                      <w:fldChar w:fldCharType="end"/>
                    </w:r>
                  </w:p>
                </w:txbxContent>
              </v:textbox>
              <w10:wrap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sdtPr>
    <w:sdtEndPr>
      <w:rPr>
        <w:rFonts w:asciiTheme="minorEastAsia" w:hAnsiTheme="minorEastAsia"/>
        <w:b/>
        <w:sz w:val="28"/>
        <w:szCs w:val="28"/>
      </w:rPr>
    </w:sdtEndPr>
    <w:sdtContent>
      <w:p w:rsidR="00BE7C2D" w:rsidRDefault="00D46B16">
        <w:pPr>
          <w:pStyle w:val="a9"/>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075BCB" w:rsidRPr="00075BCB">
          <w:rPr>
            <w:rFonts w:asciiTheme="minorEastAsia" w:hAnsiTheme="minorEastAsia"/>
            <w:b/>
            <w:noProof/>
            <w:sz w:val="28"/>
            <w:szCs w:val="28"/>
            <w:lang w:val="zh-CN"/>
          </w:rPr>
          <w:t>-</w:t>
        </w:r>
        <w:r w:rsidR="00075BCB">
          <w:rPr>
            <w:rFonts w:asciiTheme="minorEastAsia" w:hAnsiTheme="minorEastAsia"/>
            <w:b/>
            <w:noProof/>
            <w:sz w:val="28"/>
            <w:szCs w:val="28"/>
          </w:rPr>
          <w:t xml:space="preserve"> 5 -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D46B16">
    <w:pPr>
      <w:pStyle w:val="a9"/>
    </w:pPr>
    <w:r>
      <w:rPr>
        <w:noProof/>
      </w:rPr>
      <mc:AlternateContent>
        <mc:Choice Requires="wps">
          <w:drawing>
            <wp:anchor distT="0" distB="0" distL="114300" distR="114300" simplePos="0" relativeHeight="251662336" behindDoc="0" locked="0" layoutInCell="0" allowOverlap="1">
              <wp:simplePos x="0" y="0"/>
              <wp:positionH relativeFrom="leftMargin">
                <wp:posOffset>636270</wp:posOffset>
              </wp:positionH>
              <wp:positionV relativeFrom="margin">
                <wp:posOffset>5293360</wp:posOffset>
              </wp:positionV>
              <wp:extent cx="510540" cy="638175"/>
              <wp:effectExtent l="0" t="0" r="0" b="0"/>
              <wp:wrapNone/>
              <wp:docPr id="572"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638175"/>
                      </a:xfrm>
                      <a:prstGeom prst="rect">
                        <a:avLst/>
                      </a:prstGeom>
                      <a:noFill/>
                    </wps:spPr>
                    <wps:txbx>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7 -</w:t>
                          </w:r>
                          <w:r>
                            <w:rPr>
                              <w:rFonts w:asciiTheme="majorEastAsia" w:eastAsiaTheme="majorEastAsia" w:hAnsi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7" style="position:absolute;margin-left:50.1pt;margin-top:416.8pt;width:40.2pt;height:50.25pt;z-index:251662336;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CAho7wEAAKUDAAAOAAAAZHJzL2Uyb0RvYy54bWysU1GO0zAQ/UfiDpb/aZJuu7tETVerXRUh LbDSwgEcx0ksEo8Zu016GiT+OATHQVyDsdOWAn+IHyvjGb95781kdTP2HdspdBpMwbNZypkyEipt moJ/eL95cc2Z88JUogOjCr5Xjt+snz9bDTZXc2ihqxQyAjEuH2zBW+9tniROtqoXbgZWGUrWgL3w FGKTVCgGQu+7ZJ6ml8kAWFkEqZyj2/spydcRv66V9O/q2inPuoITNx9PjGcZzmS9EnmDwrZaHmiI f2DRC22o6QnqXnjBtqj/guq1RHBQ+5mEPoG61lJFDaQmS/9Q89QKq6IWMsfZk03u/8HKt7tHZLoq +PJqzpkRPQ3px+ev3799YRfBncG6nIqe7CMGfc4+gPzomIG7VphG3SLC0CpREacs1Ce/PQiBo6es HN5ARdBi6yEaNdbYB0CygI1xHvvTPNTomaTLZZYuFzQ1SanLi+vsahk7iPz42KLzrxT0LHwUHGnc EVzsHpwPZER+LAm9DGx01x1JBl6TPj+W40FqCdWe6CJMm0KbTR/h5GygLSm4+7QVqDjrXhuS/DJb BII+BguykAI8z5TnGWFkC7R80iNnU3Dnp2XcWtRNS72yKMDZWzJqo6OIYOLE62Av7ULUdtjbsGzn caz69XetfwIAAP//AwBQSwMEFAAGAAgAAAAhAJabeGLgAAAACwEAAA8AAABkcnMvZG93bnJldi54 bWxMj8FOwzAMhu9IvENkJG4s6YqmUppOAzENIXHYxoVb1pqmonGqJuu6t8c7sZt/+dPvz8Vycp0Y cQitJw3JTIFAqnzdUqPha79+yECEaKg2nSfUcMYAy/L2pjB57U+0xXEXG8ElFHKjwcbY51KGyqIz YeZ7JN79+MGZyHFoZD2YE5e7Ts6VWkhnWuIL1vT4arH63R2dhpdN8J+jf9tuVt/v1o3nZP8R1lrf 302rZxARp/gPw0Wf1aFkp4M/Uh1Ex1mpOaMasjRdgLgQmeLhoOEpfUxAloW8/qH8AwAA//8DAFBL AQItABQABgAIAAAAIQC2gziS/gAAAOEBAAATAAAAAAAAAAAAAAAAAAAAAABbQ29udGVudF9UeXBl c10ueG1sUEsBAi0AFAAGAAgAAAAhADj9If/WAAAAlAEAAAsAAAAAAAAAAAAAAAAALwEAAF9yZWxz Ly5yZWxzUEsBAi0AFAAGAAgAAAAhACsICGjvAQAApQMAAA4AAAAAAAAAAAAAAAAALgIAAGRycy9l Mm9Eb2MueG1sUEsBAi0AFAAGAAgAAAAhAJabeGLgAAAACwEAAA8AAAAAAAAAAAAAAAAASQQAAGRy cy9kb3ducmV2LnhtbFBLBQYAAAAABAAEAPMAAABWBQAAAAA= " o:allowincell="f" filled="f" stroked="f">
              <v:textbox style="layout-flow:vertical;mso-fit-shape-to-text:t">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7 -</w:t>
                    </w:r>
                    <w:r>
                      <w:rPr>
                        <w:rFonts w:asciiTheme="majorEastAsia" w:eastAsiaTheme="majorEastAsia" w:hAnsiTheme="majorEastAsia" w:cstheme="majorBidi"/>
                        <w:b/>
                        <w:sz w:val="28"/>
                        <w:szCs w:val="28"/>
                      </w:rPr>
                      <w:fldChar w:fldCharType="end"/>
                    </w:r>
                  </w:p>
                </w:txbxContent>
              </v:textbox>
              <w10:wrap anchorx="margin" anchory="margin"/>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427429"/>
    </w:sdtPr>
    <w:sdtEndPr/>
    <w:sdtContent>
      <w:p w:rsidR="00BE7C2D" w:rsidRDefault="00D46B16">
        <w:pPr>
          <w:pStyle w:val="a9"/>
          <w:jc w:val="right"/>
        </w:pPr>
        <w:r>
          <w:rPr>
            <w:rFonts w:asciiTheme="majorEastAsia" w:eastAsiaTheme="majorEastAsia" w:hAnsiTheme="majorEastAsia"/>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b/>
            <w:sz w:val="28"/>
            <w:szCs w:val="28"/>
          </w:rPr>
          <w:fldChar w:fldCharType="separate"/>
        </w:r>
        <w:r w:rsidR="00075BCB" w:rsidRPr="00075BCB">
          <w:rPr>
            <w:rFonts w:asciiTheme="majorEastAsia" w:eastAsiaTheme="majorEastAsia" w:hAnsiTheme="majorEastAsia"/>
            <w:b/>
            <w:noProof/>
            <w:sz w:val="28"/>
            <w:szCs w:val="28"/>
            <w:lang w:val="zh-CN"/>
          </w:rPr>
          <w:t>-</w:t>
        </w:r>
        <w:r w:rsidR="00075BCB">
          <w:rPr>
            <w:rFonts w:asciiTheme="majorEastAsia" w:eastAsiaTheme="majorEastAsia" w:hAnsiTheme="majorEastAsia"/>
            <w:b/>
            <w:noProof/>
            <w:sz w:val="28"/>
            <w:szCs w:val="28"/>
          </w:rPr>
          <w:t xml:space="preserve"> 9 -</w:t>
        </w:r>
        <w:r>
          <w:rPr>
            <w:rFonts w:asciiTheme="majorEastAsia" w:eastAsiaTheme="majorEastAsia" w:hAnsiTheme="majorEastAsia"/>
            <w:b/>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D46B16">
    <w:pPr>
      <w:pStyle w:val="a9"/>
    </w:pPr>
    <w:r>
      <w:rPr>
        <w:noProof/>
      </w:rPr>
      <mc:AlternateContent>
        <mc:Choice Requires="wps">
          <w:drawing>
            <wp:anchor distT="0" distB="0" distL="114300" distR="114300" simplePos="0" relativeHeight="251663360" behindDoc="0" locked="0" layoutInCell="0" allowOverlap="1">
              <wp:simplePos x="0" y="0"/>
              <wp:positionH relativeFrom="leftMargin">
                <wp:posOffset>607695</wp:posOffset>
              </wp:positionH>
              <wp:positionV relativeFrom="margin">
                <wp:posOffset>5236210</wp:posOffset>
              </wp:positionV>
              <wp:extent cx="510540" cy="695325"/>
              <wp:effectExtent l="0" t="0" r="0" b="0"/>
              <wp:wrapNone/>
              <wp:docPr id="2"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695325"/>
                      </a:xfrm>
                      <a:prstGeom prst="rect">
                        <a:avLst/>
                      </a:prstGeom>
                      <a:noFill/>
                    </wps:spPr>
                    <wps:txbx>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13 -</w:t>
                          </w:r>
                          <w:r>
                            <w:rPr>
                              <w:rFonts w:asciiTheme="majorEastAsia" w:eastAsiaTheme="majorEastAsia" w:hAnsi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_x0000_s1028" style="position:absolute;margin-left:47.85pt;margin-top:412.3pt;width:40.2pt;height:54.75pt;z-index:251663360;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cptG8AEAAKoDAAAOAAAAZHJzL2Uyb0RvYy54bWysU12O0zAQfkfiDpbfaZpuu7BR09VqV0VI C6y0cICp4zQWiceM3SY9DRJvHILjIK7B2P3ZAm+IFyvjGX/zfd9M5tdD14qtJm/QljIfjaXQVmFl 7LqUHz8sX7ySwgewFbRodSl32svrxfNn894VeoINtpUmwSDWF70rZROCK7LMq0Z34EfotOVkjdRB 4JDWWUXQM3rXZpPx+DLrkSpHqLT3fHu3T8pFwq9rrcL7uvY6iLaUzC2kk9K5ime2mEOxJnCNUQca 8A8sOjCWm56g7iCA2JD5C6ozitBjHUYKuwzr2iidNLCafPyHmscGnE5a2BzvTjb5/wer3m0fSJiq lBMpLHQ8op9fvv34/lVcRG965wsueXQPFNV5d4/qkxcWbxuwa31DhH2joWJGeazPfnsQA89Pxap/ ixVDwyZgsmmoqYuAbIAY0jR2p2noIQjFl7N8PJvyzBSnLq9mF5NZ6gDF8bEjH15r7ET8KCXxsBM4 bO99iGSgOJbEXhaXpm2PJCOvvb4wrIbkQFIQOa+w2jFrwv268HrzRzyl6HlVSuk/b4C0FO0by8qv 8mnkGVIwnb2ccEDnmdV5BqxqkDdQBZJiH9yG/UZuHJl1w73ypMO7G/ZraZKWJ14Hl3khksTD8saN O49T1dMvtvgFAAD//wMAUEsDBBQABgAIAAAAIQAw6r5e4QAAAAoBAAAPAAAAZHJzL2Rvd25yZXYu eG1sTI/BTsMwEETvSPyDtUjcqJNS0hKyqQqiKkLi0JYLNzde4oh4HcVumv497gmOq3maeVssR9uK gXrfOEZIJwkI4srphmuEz/36bgHCB8VatY4J4UweluX1VaFy7U68pWEXahFL2OcKwYTQ5VL6ypBV fuI64ph9u96qEM++lrpXp1huWzlNkkxa1XBcMKqjF0PVz+5oEZ433n0M7nW7WX29GTuc0/27XyPe 3oyrJxCBxvAHw0U/qkMZnQ7uyNqLFuHxYR5JhMV0loG4APMsBXGIyf0sBVkW8v8L5S8AAAD//wMA UEsBAi0AFAAGAAgAAAAhALaDOJL+AAAA4QEAABMAAAAAAAAAAAAAAAAAAAAAAFtDb250ZW50X1R5 cGVzXS54bWxQSwECLQAUAAYACAAAACEAOP0h/9YAAACUAQAACwAAAAAAAAAAAAAAAAAvAQAAX3Jl bHMvLnJlbHNQSwECLQAUAAYACAAAACEAOXKbRvABAACqAwAADgAAAAAAAAAAAAAAAAAuAgAAZHJz L2Uyb0RvYy54bWxQSwECLQAUAAYACAAAACEAMOq+XuEAAAAKAQAADwAAAAAAAAAAAAAAAABKBAAA ZHJzL2Rvd25yZXYueG1sUEsFBgAAAAAEAAQA8wAAAFgFAAAAAA== " o:allowincell="f" filled="f" stroked="f">
              <v:textbox style="layout-flow:vertical;mso-fit-shape-to-text:t">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13 -</w:t>
                    </w:r>
                    <w:r>
                      <w:rPr>
                        <w:rFonts w:asciiTheme="majorEastAsia" w:eastAsiaTheme="majorEastAsia" w:hAnsiTheme="majorEastAsia" w:cstheme="majorBidi"/>
                        <w:b/>
                        <w:sz w:val="28"/>
                        <w:szCs w:val="28"/>
                      </w:rPr>
                      <w:fldChar w:fldCharType="end"/>
                    </w:r>
                  </w:p>
                </w:txbxContent>
              </v:textbox>
              <w10:wrap anchorx="margin" anchory="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785348"/>
    </w:sdtPr>
    <w:sdtEndPr>
      <w:rPr>
        <w:rFonts w:asciiTheme="majorEastAsia" w:eastAsiaTheme="majorEastAsia" w:hAnsiTheme="majorEastAsia"/>
        <w:b/>
        <w:sz w:val="28"/>
        <w:szCs w:val="28"/>
      </w:rPr>
    </w:sdtEndPr>
    <w:sdtContent>
      <w:p w:rsidR="00BE7C2D" w:rsidRDefault="00D46B16">
        <w:pPr>
          <w:pStyle w:val="a9"/>
          <w:jc w:val="right"/>
          <w:rPr>
            <w:rFonts w:asciiTheme="majorEastAsia" w:eastAsiaTheme="majorEastAsia" w:hAnsiTheme="majorEastAsia"/>
            <w:b/>
            <w:sz w:val="28"/>
            <w:szCs w:val="28"/>
          </w:rPr>
        </w:pPr>
        <w:r>
          <w:rPr>
            <w:rFonts w:asciiTheme="majorEastAsia" w:eastAsiaTheme="majorEastAsia" w:hAnsiTheme="majorEastAsia"/>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b/>
            <w:sz w:val="28"/>
            <w:szCs w:val="28"/>
          </w:rPr>
          <w:fldChar w:fldCharType="separate"/>
        </w:r>
        <w:r w:rsidR="00075BCB" w:rsidRPr="00075BCB">
          <w:rPr>
            <w:rFonts w:asciiTheme="majorEastAsia" w:eastAsiaTheme="majorEastAsia" w:hAnsiTheme="majorEastAsia"/>
            <w:b/>
            <w:noProof/>
            <w:sz w:val="28"/>
            <w:szCs w:val="28"/>
            <w:lang w:val="zh-CN"/>
          </w:rPr>
          <w:t>-</w:t>
        </w:r>
        <w:r w:rsidR="00075BCB">
          <w:rPr>
            <w:rFonts w:asciiTheme="majorEastAsia" w:eastAsiaTheme="majorEastAsia" w:hAnsiTheme="majorEastAsia"/>
            <w:b/>
            <w:noProof/>
            <w:sz w:val="28"/>
            <w:szCs w:val="28"/>
          </w:rPr>
          <w:t xml:space="preserve"> 25 -</w:t>
        </w:r>
        <w:r>
          <w:rPr>
            <w:rFonts w:asciiTheme="majorEastAsia" w:eastAsiaTheme="majorEastAsia" w:hAnsiTheme="majorEastAsia"/>
            <w:b/>
            <w:sz w:val="28"/>
            <w:szCs w:val="28"/>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018318"/>
    </w:sdtPr>
    <w:sdtEndPr>
      <w:rPr>
        <w:rFonts w:asciiTheme="majorEastAsia" w:eastAsiaTheme="majorEastAsia" w:hAnsiTheme="majorEastAsia"/>
        <w:b/>
        <w:sz w:val="28"/>
        <w:szCs w:val="28"/>
      </w:rPr>
    </w:sdtEndPr>
    <w:sdtContent>
      <w:p w:rsidR="00BE7C2D" w:rsidRDefault="00D46B16">
        <w:pPr>
          <w:pStyle w:val="a9"/>
          <w:rPr>
            <w:rFonts w:asciiTheme="majorEastAsia" w:eastAsiaTheme="majorEastAsia" w:hAnsiTheme="majorEastAsia"/>
            <w:b/>
            <w:sz w:val="28"/>
            <w:szCs w:val="28"/>
          </w:rPr>
        </w:pPr>
        <w:r>
          <w:rPr>
            <w:rFonts w:asciiTheme="majorEastAsia" w:eastAsiaTheme="majorEastAsia" w:hAnsiTheme="majorEastAsia"/>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b/>
            <w:sz w:val="28"/>
            <w:szCs w:val="28"/>
          </w:rPr>
          <w:fldChar w:fldCharType="separate"/>
        </w:r>
        <w:r w:rsidR="00075BCB" w:rsidRPr="00075BCB">
          <w:rPr>
            <w:rFonts w:asciiTheme="majorEastAsia" w:eastAsiaTheme="majorEastAsia" w:hAnsiTheme="majorEastAsia"/>
            <w:b/>
            <w:noProof/>
            <w:sz w:val="28"/>
            <w:szCs w:val="28"/>
            <w:lang w:val="zh-CN"/>
          </w:rPr>
          <w:t>-</w:t>
        </w:r>
        <w:r w:rsidR="00075BCB">
          <w:rPr>
            <w:rFonts w:asciiTheme="majorEastAsia" w:eastAsiaTheme="majorEastAsia" w:hAnsiTheme="majorEastAsia"/>
            <w:b/>
            <w:noProof/>
            <w:sz w:val="28"/>
            <w:szCs w:val="28"/>
          </w:rPr>
          <w:t xml:space="preserve"> 24 -</w:t>
        </w:r>
        <w:r>
          <w:rPr>
            <w:rFonts w:asciiTheme="majorEastAsia" w:eastAsiaTheme="majorEastAsia" w:hAnsiTheme="majorEastAsia"/>
            <w:b/>
            <w:sz w:val="28"/>
            <w:szCs w:val="28"/>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C7E" w:rsidRDefault="00D46B16">
      <w:r>
        <w:separator/>
      </w:r>
    </w:p>
  </w:footnote>
  <w:footnote w:type="continuationSeparator" w:id="0">
    <w:p w:rsidR="00AF0C7E" w:rsidRDefault="00D46B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a"/>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a"/>
      <w:pBdr>
        <w:bottom w:val="none" w:sz="0" w:space="0"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a"/>
      <w:pBdr>
        <w:bottom w:val="none" w:sz="0" w:space="0"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05314"/>
    </w:sdtPr>
    <w:sdtEndPr/>
    <w:sdtContent>
      <w:p w:rsidR="00BE7C2D" w:rsidRDefault="00D46B16">
        <w:pPr>
          <w:pStyle w:val="aa"/>
          <w:pBdr>
            <w:bottom w:val="none" w:sz="0" w:space="0" w:color="auto"/>
          </w:pBdr>
        </w:pPr>
        <w:r>
          <w:rPr>
            <w:noProof/>
          </w:rPr>
          <mc:AlternateContent>
            <mc:Choice Requires="wps">
              <w:drawing>
                <wp:anchor distT="0" distB="0" distL="114300" distR="114300" simplePos="0" relativeHeight="251668480" behindDoc="0" locked="0" layoutInCell="0" allowOverlap="1">
                  <wp:simplePos x="0" y="0"/>
                  <wp:positionH relativeFrom="leftMargin">
                    <wp:posOffset>579120</wp:posOffset>
                  </wp:positionH>
                  <wp:positionV relativeFrom="margin">
                    <wp:posOffset>147955</wp:posOffset>
                  </wp:positionV>
                  <wp:extent cx="510540" cy="218313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42 -</w:t>
                              </w:r>
                              <w:r>
                                <w:rPr>
                                  <w:rFonts w:asciiTheme="majorEastAsia" w:eastAsiaTheme="majorEastAsia" w:hAnsi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_x0000_s1032" style="position:absolute;left:0;text-align:left;margin-left:45.6pt;margin-top:11.65pt;width:40.2pt;height:171.9pt;z-index:251668480;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VLg98QEAAKsDAAAOAAAAZHJzL2Uyb0RvYy54bWysU12O0zAQfkfiDpbfaZL+wBI1Xa12VYS0 wEoLB3AcJ7FIPGbsNulpkHjjEBwHcQ3GTlsKvCFeRhnP+PP3fTNZX499x/YKnQZT8GyWcqaMhEqb puAf3m+fXXHmvDCV6MCogh+U49ebp0/Wg83VHFroKoWMQIzLB1vw1nubJ4mTreqFm4FVhoo1YC88 pdgkFYqB0Psumafp82QArCyCVM7R6d1U5JuIX9dK+nd17ZRnXcGJm48RYyxDTDZrkTcobKvlkYb4 Bxa90IYePUPdCS/YDvVfUL2WCA5qP5PQJ1DXWqqogdRk6R9qHlthVdRC5jh7tsn9P1j5dv+ATFcF X3BmRE8j+vH56/dvX9gieDNYl1PLo33AoM7Ze5AfHTNw2wrTqBtEGFolKmKUhf7ktwshcXSVlcMb qAha7DxEm8Ya+wBIBrAxTuNwnoYaPZN0uMrS1ZJmJqk0z64W2SKOKxH56bZF518p6Fn4KDjStCO6 2N87H9iI/NQSHjOw1V13YhmITQL9WI7RgtVJcgnVgWgjTPtC+00fIXI20K4U3H3aCVScda8NSX+Z LQNRH5Pl6sWcEryslJcVYWQLtILSI2dTcuunldxZ1E1Lb2VRh7M3ZNhWRy3BzInX0WbaiCjxuL1h 5S7z2PXrH9v8BAAA//8DAFBLAwQUAAYACAAAACEAff98W+AAAAAJAQAADwAAAGRycy9kb3ducmV2 LnhtbEyPMU/DMBSEdyT+g/WQ2KjjREohzUtVEFURUoe2LGxu/BpHxHYUu2n673EnGE93uvuuXE6m YyMNvnUWQcwSYGRrp1rbIHwd1k/PwHyQVsnOWUK4kodldX9XykK5i93RuA8NiyXWFxJBh9AXnPta k5F+5nqy0Tu5wcgQ5dBwNchLLDcdT5Mk50a2Ni5o2dObpvpnfzYIrxvvtqN7321W3x/ajFdx+PRr xMeHabUAFmgKf2G44Ud0qCLT0Z2t8qxDeBFpTCKkWQbs5s9FDuyIkOVzAbwq+f8H1S8AAAD//wMA UEsBAi0AFAAGAAgAAAAhALaDOJL+AAAA4QEAABMAAAAAAAAAAAAAAAAAAAAAAFtDb250ZW50X1R5 cGVzXS54bWxQSwECLQAUAAYACAAAACEAOP0h/9YAAACUAQAACwAAAAAAAAAAAAAAAAAvAQAAX3Jl bHMvLnJlbHNQSwECLQAUAAYACAAAACEALFS4PfEBAACrAwAADgAAAAAAAAAAAAAAAAAuAgAAZHJz L2Uyb0RvYy54bWxQSwECLQAUAAYACAAAACEAff98W+AAAAAJAQAADwAAAAAAAAAAAAAAAABLBAAA ZHJzL2Rvd25yZXYueG1sUEsFBgAAAAAEAAQA8wAAAFgFAAAAAA== " o:allowincell="f" filled="f" stroked="f">
                  <v:textbox style="layout-flow:vertical;mso-fit-shape-to-text:t">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42 -</w:t>
                        </w:r>
                        <w:r>
                          <w:rPr>
                            <w:rFonts w:asciiTheme="majorEastAsia" w:eastAsiaTheme="majorEastAsia" w:hAnsiTheme="majorEastAsia" w:cstheme="majorBidi"/>
                            <w:b/>
                            <w:sz w:val="28"/>
                            <w:szCs w:val="28"/>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a"/>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a"/>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a"/>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a"/>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17254"/>
    </w:sdtPr>
    <w:sdtEndPr/>
    <w:sdtContent>
      <w:p w:rsidR="00BE7C2D" w:rsidRDefault="00D46B16">
        <w:pPr>
          <w:pStyle w:val="aa"/>
          <w:pBdr>
            <w:bottom w:val="none" w:sz="0" w:space="0" w:color="auto"/>
          </w:pBdr>
        </w:pPr>
        <w:r>
          <w:rPr>
            <w:noProof/>
          </w:rPr>
          <mc:AlternateContent>
            <mc:Choice Requires="wps">
              <w:drawing>
                <wp:anchor distT="0" distB="0" distL="114300" distR="114300" simplePos="0" relativeHeight="251664384" behindDoc="0" locked="0" layoutInCell="0" allowOverlap="1">
                  <wp:simplePos x="0" y="0"/>
                  <wp:positionH relativeFrom="leftMargin">
                    <wp:posOffset>560070</wp:posOffset>
                  </wp:positionH>
                  <wp:positionV relativeFrom="margin">
                    <wp:posOffset>119380</wp:posOffset>
                  </wp:positionV>
                  <wp:extent cx="510540" cy="2183130"/>
                  <wp:effectExtent l="0" t="0" r="0" b="0"/>
                  <wp:wrapNone/>
                  <wp:docPr id="4"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18 -</w:t>
                              </w:r>
                              <w:r>
                                <w:rPr>
                                  <w:rFonts w:asciiTheme="majorEastAsia" w:eastAsiaTheme="majorEastAsia" w:hAnsi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_x0000_s1029" style="position:absolute;left:0;text-align:left;margin-left:44.1pt;margin-top:9.4pt;width:40.2pt;height:171.9pt;z-index:251664384;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tBSg8QEAAKsDAAAOAAAAZHJzL2Uyb0RvYy54bWysU12O0zAQfkfiDpbfaX7awhI1Xa12VYS0 wEoLB3AdJ7FIPGbsNulpkHjjEBwHcQ3GTlsKvCFeRhnP+PP3fTNZXY99x/YKnQZT8myWcqaMhEqb puQf3m+eXXHmvDCV6MCokh+U49frp09Wgy1UDi10lUJGIMYVgy15670tksTJVvXCzcAqQ8UasBee UmySCsVA6H2X5Gn6PBkAK4sglXN0ejcV+Tri17WS/l1dO+VZV3Li5mPEGLchJuuVKBoUttXySEP8 A4teaEOPnqHuhBdsh/ovqF5LBAe1n0noE6hrLVXUQGqy9A81j62wKmohc5w92+T+H6x8u39ApquS LzgzoqcR/fj89fu3L2wevBmsK6jl0T5gUOfsPciPjhm4bYVp1A0iDK0SFTHKQn/y24WQOLrKtsMb qAha7DxEm8Ya+wBIBrAxTuNwnoYaPZN0uMzS5YJmJqmUZ1fzbB7HlYjidNui868U9Cx8lBxp2hFd 7O+dD2xEcWoJjxnY6K47sQzEJoF+3I7RgvwkeQvVgWgjTPtC+00fIXI20K6U3H3aCVScda8NSX+Z LQJRH5PF8kVOCV5WtpcVYWQLtILSI2dTcuunldxZ1E1Lb2VRh7M3ZNhGRy3BzInX0WbaiCjxuL1h 5S7z2PXrH1v/BAAA//8DAFBLAwQUAAYACAAAACEAX2+4Ot4AAAAJAQAADwAAAGRycy9kb3ducmV2 LnhtbEyPwU7DMBBE70j8g7VI3KjTIFlRiFMVRFWExKEtF25uvMQR8TqK3TT9e7YnOO7MaPZNtZp9 LyYcYxdIw3KRgUBqgu2o1fB52DwUIGIyZE0fCDVcMMKqvr2pTGnDmXY47VMruIRiaTS4lIZSytg4 9CYuwoDE3ncYvUl8jq20ozlzue9lnmVKetMRf3BmwBeHzc/+5DU8b2P4mMLrbrv+enN+uiwP73Gj 9f3dvH4CkXBOf2G44jM61Mx0DCeyUfQaiiLnJOsFL7j6qlAgjhoeVa5A1pX8v6D+BQAA//8DAFBL AQItABQABgAIAAAAIQC2gziS/gAAAOEBAAATAAAAAAAAAAAAAAAAAAAAAABbQ29udGVudF9UeXBl c10ueG1sUEsBAi0AFAAGAAgAAAAhADj9If/WAAAAlAEAAAsAAAAAAAAAAAAAAAAALwEAAF9yZWxz Ly5yZWxzUEsBAi0AFAAGAAgAAAAhAGu0FKDxAQAAqwMAAA4AAAAAAAAAAAAAAAAALgIAAGRycy9l Mm9Eb2MueG1sUEsBAi0AFAAGAAgAAAAhAF9vuDreAAAACQEAAA8AAAAAAAAAAAAAAAAASwQAAGRy cy9kb3ducmV2LnhtbFBLBQYAAAAABAAEAPMAAABWBQAAAAA= " o:allowincell="f" filled="f" stroked="f">
                  <v:textbox style="layout-flow:vertical;mso-fit-shape-to-text:t">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18 -</w:t>
                        </w:r>
                        <w:r>
                          <w:rPr>
                            <w:rFonts w:asciiTheme="majorEastAsia" w:eastAsiaTheme="majorEastAsia" w:hAnsiTheme="majorEastAsia" w:cstheme="majorBidi"/>
                            <w:b/>
                            <w:sz w:val="28"/>
                            <w:szCs w:val="28"/>
                          </w:rPr>
                          <w:fldChar w:fldCharType="end"/>
                        </w:r>
                      </w:p>
                    </w:txbxContent>
                  </v:textbox>
                  <w10:wrap anchorx="margin" anchory="margin"/>
                </v:rect>
              </w:pict>
            </mc:Fallback>
          </mc:AlternateContent>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a"/>
      <w:pBdr>
        <w:bottom w:val="none" w:sz="0" w:space="0"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086321"/>
    </w:sdtPr>
    <w:sdtEndPr/>
    <w:sdtContent>
      <w:p w:rsidR="00BE7C2D" w:rsidRDefault="00D46B16">
        <w:pPr>
          <w:pStyle w:val="aa"/>
          <w:pBdr>
            <w:bottom w:val="none" w:sz="0" w:space="0" w:color="auto"/>
          </w:pBdr>
        </w:pPr>
        <w:r>
          <w:rPr>
            <w:noProof/>
          </w:rPr>
          <mc:AlternateContent>
            <mc:Choice Requires="wps">
              <w:drawing>
                <wp:anchor distT="0" distB="0" distL="114300" distR="114300" simplePos="0" relativeHeight="251666432" behindDoc="0" locked="0" layoutInCell="0" allowOverlap="1">
                  <wp:simplePos x="0" y="0"/>
                  <wp:positionH relativeFrom="leftMargin">
                    <wp:posOffset>560070</wp:posOffset>
                  </wp:positionH>
                  <wp:positionV relativeFrom="margin">
                    <wp:posOffset>128905</wp:posOffset>
                  </wp:positionV>
                  <wp:extent cx="510540" cy="2183130"/>
                  <wp:effectExtent l="0" t="0" r="0" b="0"/>
                  <wp:wrapNone/>
                  <wp:docPr id="11"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28 -</w:t>
                              </w:r>
                              <w:r>
                                <w:rPr>
                                  <w:rFonts w:asciiTheme="majorEastAsia" w:eastAsiaTheme="majorEastAsia" w:hAnsi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_x0000_s1030" style="position:absolute;left:0;text-align:left;margin-left:44.1pt;margin-top:10.15pt;width:40.2pt;height:171.9pt;z-index:251666432;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fjnJ8QEAAKwDAAAOAAAAZHJzL2Uyb0RvYy54bWysU12O0zAQfkfiDpbfaZL+wBI1Xa12VYS0 wEoLB3AcJ7FIPGbsNulpkHjjEBwHcQ3GTlsKvCFeRhnP+PP3fTNZX499x/YKnQZT8GyWcqaMhEqb puAf3m+fXXHmvDCV6MCogh+U49ebp0/Wg83VHFroKoWMQIzLB1vw1nubJ4mTreqFm4FVhoo1YC88 pdgkFYqB0Psumafp82QArCyCVM7R6d1U5JuIX9dK+nd17ZRnXcGJm48RYyxDTDZrkTcobKvlkYb4 Bxa90IYePUPdCS/YDvVfUL2WCA5qP5PQJ1DXWqqogdRk6R9qHlthVdRC5jh7tsn9P1j5dv+ATFc0 u4wzI3qa0Y/PX79/+8IWwZzBupx6Hu0DBnnO3oP86JiB21aYRt0gwtAqURGlLPQnv10IiaOrrBze QEXQYuch+jTW2AdAcoCNcRyH8zjU6Jmkw1WWrpY0NEmleXa1yBZxXonIT7ctOv9KQc/CR8GRxh3R xf7e+cBG5KeW8JiBre66E8tAbBLox3KMHpwll1AdiDbCtDC04PQRImcDLUvB3aedQMVZ99qQ9JfZ MhD1MVmuXswpwctKeVkRRrZAOyg9cjYlt37ayZ1F3bT0VhZ1OHtDhm111BLMnHgdbaaViBKP6xt2 7jKPXb9+ss1PAAAA//8DAFBLAwQUAAYACAAAACEAsg2YFt8AAAAJAQAADwAAAGRycy9kb3ducmV2 LnhtbEyPQUvDQBSE74L/YXmCN7tJKiHEvJQqlorgoa0Xb9vsMxvMvg3ZbZr+e7cnPQ4zzHxTrWbb i4lG3zlGSBcJCOLG6Y5bhM/D5qEA4YNirXrHhHAhD6v69qZSpXZn3tG0D62IJexLhWBCGEopfWPI Kr9wA3H0vt1oVYhybKUe1TmW215mSZJLqzqOC0YN9GKo+dmfLMLz1ruPyb3utuuvN2OnS3p49xvE +7t5/QQi0Bz+wnDFj+hQR6ajO7H2okcoiiwmEbJkCeLq50UO4oiwzB9TkHUl/z+ofwEAAP//AwBQ SwECLQAUAAYACAAAACEAtoM4kv4AAADhAQAAEwAAAAAAAAAAAAAAAAAAAAAAW0NvbnRlbnRfVHlw ZXNdLnhtbFBLAQItABQABgAIAAAAIQA4/SH/1gAAAJQBAAALAAAAAAAAAAAAAAAAAC8BAABfcmVs cy8ucmVsc1BLAQItABQABgAIAAAAIQCvfjnJ8QEAAKwDAAAOAAAAAAAAAAAAAAAAAC4CAABkcnMv ZTJvRG9jLnhtbFBLAQItABQABgAIAAAAIQCyDZgW3wAAAAkBAAAPAAAAAAAAAAAAAAAAAEsEAABk cnMvZG93bnJldi54bWxQSwUGAAAAAAQABADzAAAAVwUAAAAA " o:allowincell="f" filled="f" stroked="f">
                  <v:textbox style="layout-flow:vertical;mso-fit-shape-to-text:t">
                    <w:txbxContent>
                      <w:p w:rsidR="00BE7C2D" w:rsidRDefault="00D46B16">
                        <w:pPr>
                          <w:pStyle w:val="a9"/>
                          <w:rPr>
                            <w:rFonts w:asciiTheme="majorEastAsia" w:eastAsiaTheme="majorEastAsia" w:hAnsiTheme="majorEastAsia" w:cstheme="majorBidi"/>
                            <w:b/>
                            <w:sz w:val="28"/>
                            <w:szCs w:val="28"/>
                          </w:rPr>
                        </w:pPr>
                        <w:r>
                          <w:rPr>
                            <w:rFonts w:asciiTheme="majorEastAsia" w:eastAsiaTheme="majorEastAsia" w:hAnsiTheme="majorEastAsia" w:cstheme="minorBidi"/>
                            <w:b/>
                            <w:sz w:val="28"/>
                            <w:szCs w:val="28"/>
                          </w:rPr>
                          <w:fldChar w:fldCharType="begin"/>
                        </w:r>
                        <w:r>
                          <w:rPr>
                            <w:rFonts w:asciiTheme="majorEastAsia" w:eastAsiaTheme="majorEastAsia" w:hAnsiTheme="majorEastAsia"/>
                            <w:b/>
                            <w:sz w:val="28"/>
                            <w:szCs w:val="28"/>
                          </w:rPr>
                          <w:instrText>PAGE    \* MERGEFORMAT</w:instrText>
                        </w:r>
                        <w:r>
                          <w:rPr>
                            <w:rFonts w:asciiTheme="majorEastAsia" w:eastAsiaTheme="majorEastAsia" w:hAnsiTheme="majorEastAsia" w:cstheme="minorBidi"/>
                            <w:b/>
                            <w:sz w:val="28"/>
                            <w:szCs w:val="28"/>
                          </w:rPr>
                          <w:fldChar w:fldCharType="separate"/>
                        </w:r>
                        <w:r w:rsidR="00075BCB" w:rsidRPr="00075BCB">
                          <w:rPr>
                            <w:rFonts w:asciiTheme="majorEastAsia" w:eastAsiaTheme="majorEastAsia" w:hAnsiTheme="majorEastAsia" w:cstheme="majorBidi"/>
                            <w:b/>
                            <w:noProof/>
                            <w:sz w:val="28"/>
                            <w:szCs w:val="28"/>
                            <w:lang w:val="zh-CN"/>
                          </w:rPr>
                          <w:t>-</w:t>
                        </w:r>
                        <w:r w:rsidR="00075BCB">
                          <w:rPr>
                            <w:rFonts w:asciiTheme="majorEastAsia" w:eastAsiaTheme="majorEastAsia" w:hAnsiTheme="majorEastAsia"/>
                            <w:b/>
                            <w:noProof/>
                            <w:sz w:val="28"/>
                            <w:szCs w:val="28"/>
                          </w:rPr>
                          <w:t xml:space="preserve"> 28 -</w:t>
                        </w:r>
                        <w:r>
                          <w:rPr>
                            <w:rFonts w:asciiTheme="majorEastAsia" w:eastAsiaTheme="majorEastAsia" w:hAnsiTheme="majorEastAsia" w:cstheme="majorBidi"/>
                            <w:b/>
                            <w:sz w:val="28"/>
                            <w:szCs w:val="28"/>
                          </w:rPr>
                          <w:fldChar w:fldCharType="end"/>
                        </w:r>
                      </w:p>
                    </w:txbxContent>
                  </v:textbox>
                  <w10:wrap anchorx="margin" anchory="margin"/>
                </v:rect>
              </w:pict>
            </mc:Fallback>
          </mc:AlternateContent>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C2D" w:rsidRDefault="00BE7C2D">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chineseCountingThousand"/>
      <w:pStyle w:val="11"/>
      <w:suff w:val="space"/>
      <w:lvlText w:val="第%1章"/>
      <w:lvlJc w:val="left"/>
      <w:rPr>
        <w:rFonts w:cs="Times New Roman" w:hint="eastAsia"/>
      </w:rPr>
    </w:lvl>
    <w:lvl w:ilvl="1">
      <w:start w:val="1"/>
      <w:numFmt w:val="chineseCountingThousand"/>
      <w:pStyle w:val="12"/>
      <w:suff w:val="space"/>
      <w:lvlText w:val="第%2节"/>
      <w:lvlJc w:val="left"/>
      <w:pPr>
        <w:ind w:left="1843"/>
      </w:pPr>
      <w:rPr>
        <w:rFonts w:cs="Times New Roman" w:hint="eastAsia"/>
        <w:lang w:val="en-US"/>
      </w:rPr>
    </w:lvl>
    <w:lvl w:ilvl="2">
      <w:start w:val="1"/>
      <w:numFmt w:val="chineseCountingThousand"/>
      <w:pStyle w:val="13"/>
      <w:suff w:val="nothing"/>
      <w:lvlText w:val="%3、"/>
      <w:lvlJc w:val="left"/>
      <w:rPr>
        <w:rFonts w:cs="Times New Roman" w:hint="eastAsia"/>
      </w:rPr>
    </w:lvl>
    <w:lvl w:ilvl="3">
      <w:start w:val="1"/>
      <w:numFmt w:val="decimal"/>
      <w:suff w:val="nothing"/>
      <w:lvlText w:val="%4、"/>
      <w:lvlJc w:val="left"/>
      <w:rPr>
        <w:rFonts w:cs="Times New Roman" w:hint="eastAsia"/>
      </w:rPr>
    </w:lvl>
    <w:lvl w:ilvl="4">
      <w:start w:val="1"/>
      <w:numFmt w:val="decimal"/>
      <w:lvlText w:val="%1.%2.%3.%4.%5"/>
      <w:lvlJc w:val="left"/>
      <w:rPr>
        <w:rFonts w:cs="Times New Roman" w:hint="eastAsia"/>
      </w:rPr>
    </w:lvl>
    <w:lvl w:ilvl="5">
      <w:start w:val="1"/>
      <w:numFmt w:val="decimal"/>
      <w:lvlText w:val="%1.%2.%3.%4.%5.%6"/>
      <w:lvlJc w:val="left"/>
      <w:rPr>
        <w:rFonts w:cs="Times New Roman" w:hint="eastAsia"/>
      </w:rPr>
    </w:lvl>
    <w:lvl w:ilvl="6">
      <w:start w:val="1"/>
      <w:numFmt w:val="decimal"/>
      <w:lvlText w:val="%1.%2.%3.%4.%5.%6.%7"/>
      <w:lvlJc w:val="left"/>
      <w:rPr>
        <w:rFonts w:cs="Times New Roman" w:hint="eastAsia"/>
      </w:rPr>
    </w:lvl>
    <w:lvl w:ilvl="7">
      <w:start w:val="1"/>
      <w:numFmt w:val="decimal"/>
      <w:lvlText w:val="%1.%2.%3.%4.%5.%6.%7.%8"/>
      <w:lvlJc w:val="left"/>
      <w:rPr>
        <w:rFonts w:cs="Times New Roman" w:hint="eastAsia"/>
      </w:rPr>
    </w:lvl>
    <w:lvl w:ilvl="8">
      <w:start w:val="1"/>
      <w:numFmt w:val="decimal"/>
      <w:lvlText w:val="%1.%2.%3.%4.%5.%6.%7.%8.%9"/>
      <w:lvlJc w:val="left"/>
      <w:rPr>
        <w:rFonts w:cs="Times New Roman" w:hint="eastAsia"/>
      </w:rPr>
    </w:lvl>
  </w:abstractNum>
  <w:abstractNum w:abstractNumId="1" w15:restartNumberingAfterBreak="0">
    <w:nsid w:val="7FFBDB26"/>
    <w:multiLevelType w:val="multilevel"/>
    <w:tmpl w:val="7FFBDB26"/>
    <w:lvl w:ilvl="0">
      <w:start w:val="1"/>
      <w:numFmt w:val="chineseCountingThousand"/>
      <w:pStyle w:val="1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documentProtection w:enforcement="1" w:edit="readOnly" w:salt="LW+YOD2IMu59qT/OaoPqeQ==" w:hash="qZkVq1DXxywO3xdZjdEx3813nnL5prpgau0IctODho3dIMD9zGgwhVDVZg7DUpyG3/WaMUCVHi+EetFRiDCo5w=="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MjA3OTM3MzBlNmY5NGU5YTk3M2I5NTRlYzE5ZTEifQ=="/>
  </w:docVars>
  <w:rsids>
    <w:rsidRoot w:val="00623306"/>
    <w:rsid w:val="BDFA4B64"/>
    <w:rsid w:val="DDBF89CD"/>
    <w:rsid w:val="00075BCB"/>
    <w:rsid w:val="00271AF7"/>
    <w:rsid w:val="002D4B8D"/>
    <w:rsid w:val="003A2A05"/>
    <w:rsid w:val="005070B7"/>
    <w:rsid w:val="00623306"/>
    <w:rsid w:val="00633F78"/>
    <w:rsid w:val="00787D2F"/>
    <w:rsid w:val="007B3EEF"/>
    <w:rsid w:val="007D021B"/>
    <w:rsid w:val="008A2671"/>
    <w:rsid w:val="008E5B8E"/>
    <w:rsid w:val="008F00FB"/>
    <w:rsid w:val="00945D3B"/>
    <w:rsid w:val="009C5E24"/>
    <w:rsid w:val="00A426FD"/>
    <w:rsid w:val="00A57A12"/>
    <w:rsid w:val="00AD082E"/>
    <w:rsid w:val="00AD4F0C"/>
    <w:rsid w:val="00AF0C7E"/>
    <w:rsid w:val="00BE7C2D"/>
    <w:rsid w:val="00BF4213"/>
    <w:rsid w:val="00C25BD5"/>
    <w:rsid w:val="00CB38F4"/>
    <w:rsid w:val="00CD750B"/>
    <w:rsid w:val="00D46B16"/>
    <w:rsid w:val="00E64C4D"/>
    <w:rsid w:val="00EF4394"/>
    <w:rsid w:val="1BAD8BDC"/>
    <w:rsid w:val="1CF3368E"/>
    <w:rsid w:val="2393304B"/>
    <w:rsid w:val="26A7431C"/>
    <w:rsid w:val="31D431D5"/>
    <w:rsid w:val="36DD41F1"/>
    <w:rsid w:val="3FDA8709"/>
    <w:rsid w:val="5E17EA45"/>
    <w:rsid w:val="5FAB002D"/>
    <w:rsid w:val="66AD4954"/>
    <w:rsid w:val="67F68097"/>
    <w:rsid w:val="69EB146D"/>
    <w:rsid w:val="6FA26AE3"/>
    <w:rsid w:val="73CD4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089E96F9-1265-4DE9-A341-07280148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Normal Indent" w:uiPriority="99" w:qFormat="1"/>
    <w:lsdException w:name="annotation text" w:uiPriority="99" w:qFormat="1"/>
    <w:lsdException w:name="header" w:uiPriority="99" w:unhideWhenUsed="1" w:qFormat="1"/>
    <w:lsdException w:name="footer" w:uiPriority="99" w:unhideWhenUsed="1" w:qFormat="1"/>
    <w:lsdException w:name="caption" w:semiHidden="1" w:unhideWhenUsed="1" w:qFormat="1"/>
    <w:lsdException w:name="annotation reference" w:uiPriority="99" w:qFormat="1"/>
    <w:lsdException w:name="page number" w:uiPriority="99" w:qFormat="1"/>
    <w:lsdException w:name="Title" w:qFormat="1"/>
    <w:lsdException w:name="Default Paragraph Font" w:semiHidden="1" w:uiPriority="1" w:unhideWhenUsed="1" w:qFormat="1"/>
    <w:lsdException w:name="Body Text" w:uiPriority="99" w:qFormat="1"/>
    <w:lsdException w:name="Body Text Indent" w:qFormat="1"/>
    <w:lsdException w:name="Subtitle" w:qFormat="1"/>
    <w:lsdException w:name="Date" w:uiPriority="99" w:qFormat="1"/>
    <w:lsdException w:name="Body Text First Indent 2" w:uiPriority="99" w:qFormat="1"/>
    <w:lsdException w:name="Hyperlink" w:uiPriority="99"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4"/>
    </w:rPr>
  </w:style>
  <w:style w:type="paragraph" w:styleId="1">
    <w:name w:val="heading 1"/>
    <w:basedOn w:val="a"/>
    <w:next w:val="a"/>
    <w:link w:val="1Char"/>
    <w:qFormat/>
    <w:pPr>
      <w:spacing w:line="360" w:lineRule="auto"/>
      <w:ind w:left="2178" w:firstLineChars="200" w:firstLine="200"/>
      <w:outlineLvl w:val="0"/>
    </w:pPr>
    <w:rPr>
      <w:rFonts w:ascii="宋体" w:cs="宋体"/>
      <w:b/>
      <w:kern w:val="2"/>
      <w:sz w:val="44"/>
      <w:szCs w:val="44"/>
    </w:rPr>
  </w:style>
  <w:style w:type="paragraph" w:styleId="2">
    <w:name w:val="heading 2"/>
    <w:basedOn w:val="a"/>
    <w:next w:val="a"/>
    <w:link w:val="2Char"/>
    <w:qFormat/>
    <w:pPr>
      <w:spacing w:line="360" w:lineRule="auto"/>
      <w:ind w:firstLineChars="200" w:firstLine="200"/>
      <w:outlineLvl w:val="1"/>
    </w:pPr>
    <w:rPr>
      <w:rFonts w:ascii="宋体" w:cs="宋体"/>
      <w:b/>
      <w:kern w:val="2"/>
      <w:sz w:val="32"/>
      <w:szCs w:val="32"/>
    </w:rPr>
  </w:style>
  <w:style w:type="paragraph" w:styleId="3">
    <w:name w:val="heading 3"/>
    <w:basedOn w:val="a"/>
    <w:next w:val="a"/>
    <w:link w:val="3Char"/>
    <w:uiPriority w:val="1"/>
    <w:qFormat/>
    <w:pPr>
      <w:spacing w:before="252" w:line="360" w:lineRule="auto"/>
      <w:ind w:firstLineChars="200" w:firstLine="200"/>
      <w:outlineLvl w:val="2"/>
    </w:pPr>
    <w:rPr>
      <w:rFonts w:ascii="宋体" w:cs="宋体"/>
      <w:b/>
      <w:kern w:val="2"/>
      <w:sz w:val="28"/>
      <w:szCs w:val="28"/>
    </w:rPr>
  </w:style>
  <w:style w:type="paragraph" w:styleId="4">
    <w:name w:val="heading 4"/>
    <w:basedOn w:val="a"/>
    <w:next w:val="a"/>
    <w:link w:val="4Char"/>
    <w:uiPriority w:val="1"/>
    <w:qFormat/>
    <w:pPr>
      <w:spacing w:before="254" w:line="360" w:lineRule="auto"/>
      <w:ind w:left="598" w:firstLineChars="200" w:firstLine="200"/>
      <w:outlineLvl w:val="3"/>
    </w:pPr>
    <w:rPr>
      <w:rFonts w:ascii="宋体" w:cs="宋体"/>
      <w:b/>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Pr>
      <w:kern w:val="2"/>
      <w:sz w:val="24"/>
    </w:rPr>
  </w:style>
  <w:style w:type="paragraph" w:styleId="a4">
    <w:name w:val="annotation text"/>
    <w:basedOn w:val="a"/>
    <w:link w:val="Char"/>
    <w:uiPriority w:val="99"/>
    <w:qFormat/>
    <w:pPr>
      <w:spacing w:line="360" w:lineRule="auto"/>
      <w:ind w:firstLineChars="200" w:firstLine="200"/>
      <w:jc w:val="left"/>
    </w:pPr>
    <w:rPr>
      <w:kern w:val="2"/>
      <w:sz w:val="24"/>
      <w:szCs w:val="21"/>
    </w:rPr>
  </w:style>
  <w:style w:type="paragraph" w:styleId="a5">
    <w:name w:val="Body Text"/>
    <w:basedOn w:val="a"/>
    <w:link w:val="Char0"/>
    <w:uiPriority w:val="99"/>
    <w:qFormat/>
    <w:pPr>
      <w:spacing w:line="360" w:lineRule="auto"/>
      <w:ind w:firstLineChars="200" w:firstLine="200"/>
    </w:pPr>
    <w:rPr>
      <w:kern w:val="2"/>
      <w:sz w:val="24"/>
      <w:szCs w:val="21"/>
    </w:rPr>
  </w:style>
  <w:style w:type="paragraph" w:styleId="a6">
    <w:name w:val="Body Text Indent"/>
    <w:basedOn w:val="a"/>
    <w:next w:val="20"/>
    <w:link w:val="Char1"/>
    <w:qFormat/>
    <w:pPr>
      <w:spacing w:after="120" w:line="360" w:lineRule="auto"/>
      <w:ind w:leftChars="200" w:left="420" w:firstLineChars="200" w:firstLine="200"/>
    </w:pPr>
    <w:rPr>
      <w:kern w:val="2"/>
      <w:sz w:val="24"/>
      <w:szCs w:val="21"/>
    </w:rPr>
  </w:style>
  <w:style w:type="paragraph" w:styleId="20">
    <w:name w:val="Body Text First Indent 2"/>
    <w:basedOn w:val="a6"/>
    <w:link w:val="2Char0"/>
    <w:uiPriority w:val="99"/>
    <w:qFormat/>
    <w:pPr>
      <w:spacing w:line="240" w:lineRule="auto"/>
      <w:ind w:firstLine="420"/>
    </w:pPr>
    <w:rPr>
      <w:rFonts w:ascii="Calibri" w:hAnsi="Calibri"/>
      <w:sz w:val="21"/>
      <w:szCs w:val="24"/>
    </w:rPr>
  </w:style>
  <w:style w:type="paragraph" w:styleId="30">
    <w:name w:val="toc 3"/>
    <w:basedOn w:val="a"/>
    <w:next w:val="a"/>
    <w:uiPriority w:val="39"/>
    <w:qFormat/>
    <w:pPr>
      <w:spacing w:line="360" w:lineRule="auto"/>
      <w:ind w:leftChars="400" w:left="840" w:firstLineChars="200" w:firstLine="200"/>
    </w:pPr>
    <w:rPr>
      <w:kern w:val="2"/>
      <w:sz w:val="24"/>
      <w:szCs w:val="21"/>
    </w:rPr>
  </w:style>
  <w:style w:type="paragraph" w:styleId="a7">
    <w:name w:val="Date"/>
    <w:basedOn w:val="a"/>
    <w:next w:val="a"/>
    <w:link w:val="Char2"/>
    <w:uiPriority w:val="99"/>
    <w:qFormat/>
    <w:pPr>
      <w:spacing w:line="360" w:lineRule="auto"/>
      <w:ind w:leftChars="2500" w:left="100" w:firstLineChars="200" w:firstLine="200"/>
    </w:pPr>
    <w:rPr>
      <w:kern w:val="2"/>
      <w:sz w:val="24"/>
      <w:szCs w:val="21"/>
    </w:rPr>
  </w:style>
  <w:style w:type="paragraph" w:styleId="a8">
    <w:name w:val="Balloon Text"/>
    <w:basedOn w:val="a"/>
    <w:link w:val="Char3"/>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10"/>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autoSpaceDE w:val="0"/>
      <w:autoSpaceDN w:val="0"/>
      <w:adjustRightInd w:val="0"/>
      <w:jc w:val="left"/>
    </w:pPr>
    <w:rPr>
      <w:rFonts w:ascii="等线" w:hAnsi="等线"/>
      <w:sz w:val="21"/>
      <w:szCs w:val="22"/>
    </w:rPr>
  </w:style>
  <w:style w:type="paragraph" w:styleId="21">
    <w:name w:val="toc 2"/>
    <w:basedOn w:val="a"/>
    <w:next w:val="a"/>
    <w:uiPriority w:val="39"/>
    <w:qFormat/>
    <w:pPr>
      <w:autoSpaceDE w:val="0"/>
      <w:autoSpaceDN w:val="0"/>
      <w:adjustRightInd w:val="0"/>
      <w:ind w:leftChars="200" w:left="420"/>
      <w:jc w:val="left"/>
    </w:pPr>
    <w:rPr>
      <w:rFonts w:ascii="等线" w:hAnsi="等线"/>
      <w:sz w:val="21"/>
      <w:szCs w:val="22"/>
    </w:rPr>
  </w:style>
  <w:style w:type="paragraph" w:styleId="ab">
    <w:name w:val="Normal (Web)"/>
    <w:basedOn w:val="a"/>
    <w:link w:val="Char5"/>
    <w:uiPriority w:val="99"/>
    <w:qFormat/>
    <w:pPr>
      <w:widowControl/>
      <w:spacing w:beforeAutospacing="1" w:afterAutospacing="1"/>
      <w:jc w:val="left"/>
    </w:pPr>
    <w:rPr>
      <w:rFonts w:ascii="宋体" w:hAnsi="宋体" w:hint="eastAsia"/>
      <w:sz w:val="24"/>
    </w:rPr>
  </w:style>
  <w:style w:type="table" w:styleId="ac">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uiPriority w:val="99"/>
    <w:qFormat/>
    <w:rPr>
      <w:rFonts w:cs="Times New Roman"/>
    </w:rPr>
  </w:style>
  <w:style w:type="character" w:styleId="ae">
    <w:name w:val="Emphasis"/>
    <w:basedOn w:val="a0"/>
    <w:uiPriority w:val="20"/>
    <w:qFormat/>
    <w:rPr>
      <w:i/>
    </w:rPr>
  </w:style>
  <w:style w:type="character" w:styleId="af">
    <w:name w:val="Hyperlink"/>
    <w:basedOn w:val="a0"/>
    <w:uiPriority w:val="99"/>
    <w:qFormat/>
    <w:rPr>
      <w:color w:val="0563C1"/>
      <w:u w:val="single"/>
    </w:rPr>
  </w:style>
  <w:style w:type="character" w:styleId="af0">
    <w:name w:val="annotation reference"/>
    <w:basedOn w:val="a0"/>
    <w:uiPriority w:val="99"/>
    <w:qFormat/>
    <w:rPr>
      <w:sz w:val="21"/>
      <w:szCs w:val="21"/>
    </w:rPr>
  </w:style>
  <w:style w:type="character" w:customStyle="1" w:styleId="Char4">
    <w:name w:val="页脚 Char"/>
    <w:basedOn w:val="a0"/>
    <w:link w:val="a9"/>
    <w:uiPriority w:val="99"/>
    <w:qFormat/>
    <w:rPr>
      <w:rFonts w:ascii="方正仿宋简体" w:eastAsia="方正仿宋简体" w:hAnsi="方正仿宋简体" w:cs="方正仿宋简体" w:hint="eastAsia"/>
      <w:kern w:val="2"/>
      <w:sz w:val="18"/>
      <w:szCs w:val="18"/>
    </w:rPr>
  </w:style>
  <w:style w:type="character" w:customStyle="1" w:styleId="Char10">
    <w:name w:val="页眉 Char1"/>
    <w:basedOn w:val="a0"/>
    <w:link w:val="aa"/>
    <w:qFormat/>
    <w:rPr>
      <w:rFonts w:asciiTheme="minorHAnsi" w:eastAsiaTheme="minorEastAsia" w:hAnsiTheme="minorHAnsi" w:cstheme="minorBidi"/>
      <w:kern w:val="2"/>
      <w:sz w:val="18"/>
      <w:szCs w:val="18"/>
    </w:rPr>
  </w:style>
  <w:style w:type="character" w:customStyle="1" w:styleId="Char6">
    <w:name w:val="页眉 Char"/>
    <w:basedOn w:val="a0"/>
    <w:uiPriority w:val="99"/>
    <w:qFormat/>
    <w:rPr>
      <w:sz w:val="18"/>
      <w:szCs w:val="18"/>
    </w:rPr>
  </w:style>
  <w:style w:type="character" w:customStyle="1" w:styleId="Char5">
    <w:name w:val="普通(网站) Char"/>
    <w:basedOn w:val="a0"/>
    <w:link w:val="ab"/>
    <w:uiPriority w:val="99"/>
    <w:qFormat/>
    <w:rPr>
      <w:sz w:val="18"/>
      <w:szCs w:val="18"/>
    </w:rPr>
  </w:style>
  <w:style w:type="character" w:customStyle="1" w:styleId="Char0">
    <w:name w:val="正文文本 Char"/>
    <w:basedOn w:val="a0"/>
    <w:link w:val="a5"/>
    <w:uiPriority w:val="99"/>
    <w:qFormat/>
    <w:rPr>
      <w:kern w:val="2"/>
      <w:sz w:val="24"/>
      <w:szCs w:val="21"/>
    </w:rPr>
  </w:style>
  <w:style w:type="character" w:customStyle="1" w:styleId="Char3">
    <w:name w:val="批注框文本 Char"/>
    <w:basedOn w:val="a0"/>
    <w:link w:val="a8"/>
    <w:qFormat/>
    <w:rPr>
      <w:sz w:val="18"/>
      <w:szCs w:val="18"/>
    </w:rPr>
  </w:style>
  <w:style w:type="character" w:customStyle="1" w:styleId="2Char">
    <w:name w:val="标题 2 Char"/>
    <w:basedOn w:val="a0"/>
    <w:link w:val="2"/>
    <w:qFormat/>
    <w:rPr>
      <w:rFonts w:ascii="宋体" w:cs="宋体"/>
      <w:b/>
      <w:kern w:val="2"/>
      <w:sz w:val="32"/>
      <w:szCs w:val="32"/>
    </w:rPr>
  </w:style>
  <w:style w:type="paragraph" w:customStyle="1" w:styleId="TableParagraph">
    <w:name w:val="Table Paragraph"/>
    <w:basedOn w:val="a"/>
    <w:uiPriority w:val="1"/>
    <w:qFormat/>
    <w:pPr>
      <w:autoSpaceDE w:val="0"/>
      <w:autoSpaceDN w:val="0"/>
      <w:adjustRightInd w:val="0"/>
      <w:jc w:val="left"/>
    </w:pPr>
    <w:rPr>
      <w:rFonts w:ascii="等线" w:hAnsi="等线"/>
      <w:sz w:val="21"/>
      <w:szCs w:val="22"/>
    </w:rPr>
  </w:style>
  <w:style w:type="character" w:customStyle="1" w:styleId="1Char">
    <w:name w:val="标题 1 Char"/>
    <w:basedOn w:val="a0"/>
    <w:link w:val="1"/>
    <w:qFormat/>
    <w:rPr>
      <w:rFonts w:ascii="宋体" w:cs="宋体"/>
      <w:b/>
      <w:kern w:val="2"/>
      <w:sz w:val="44"/>
      <w:szCs w:val="44"/>
    </w:rPr>
  </w:style>
  <w:style w:type="character" w:customStyle="1" w:styleId="3Char">
    <w:name w:val="标题 3 Char"/>
    <w:basedOn w:val="a0"/>
    <w:link w:val="3"/>
    <w:uiPriority w:val="1"/>
    <w:qFormat/>
    <w:rPr>
      <w:rFonts w:ascii="宋体" w:cs="宋体"/>
      <w:b/>
      <w:kern w:val="2"/>
      <w:sz w:val="28"/>
      <w:szCs w:val="28"/>
    </w:rPr>
  </w:style>
  <w:style w:type="character" w:customStyle="1" w:styleId="4Char">
    <w:name w:val="标题 4 Char"/>
    <w:basedOn w:val="a0"/>
    <w:link w:val="4"/>
    <w:uiPriority w:val="1"/>
    <w:qFormat/>
    <w:rPr>
      <w:rFonts w:ascii="宋体" w:cs="宋体"/>
      <w:b/>
      <w:kern w:val="2"/>
      <w:sz w:val="24"/>
      <w:szCs w:val="21"/>
    </w:rPr>
  </w:style>
  <w:style w:type="paragraph" w:customStyle="1" w:styleId="15">
    <w:name w:val="页眉1"/>
    <w:basedOn w:val="a"/>
    <w:qFormat/>
    <w:pPr>
      <w:tabs>
        <w:tab w:val="center" w:pos="4153"/>
        <w:tab w:val="right" w:pos="8306"/>
      </w:tabs>
      <w:spacing w:line="400" w:lineRule="exact"/>
      <w:jc w:val="center"/>
    </w:pPr>
    <w:rPr>
      <w:rFonts w:ascii="Trebuchet MS" w:eastAsia="ヒラギノ角ゴ Pro W3" w:hAnsi="Trebuchet MS"/>
      <w:color w:val="000000"/>
      <w:kern w:val="2"/>
      <w:sz w:val="18"/>
      <w:szCs w:val="22"/>
    </w:rPr>
  </w:style>
  <w:style w:type="character" w:customStyle="1" w:styleId="Char">
    <w:name w:val="批注文字 Char"/>
    <w:basedOn w:val="a0"/>
    <w:link w:val="a4"/>
    <w:uiPriority w:val="99"/>
    <w:qFormat/>
    <w:rPr>
      <w:kern w:val="2"/>
      <w:sz w:val="24"/>
      <w:szCs w:val="21"/>
    </w:rPr>
  </w:style>
  <w:style w:type="character" w:customStyle="1" w:styleId="Char1">
    <w:name w:val="正文文本缩进 Char"/>
    <w:basedOn w:val="a0"/>
    <w:link w:val="a6"/>
    <w:qFormat/>
    <w:rPr>
      <w:kern w:val="2"/>
      <w:sz w:val="24"/>
      <w:szCs w:val="21"/>
    </w:rPr>
  </w:style>
  <w:style w:type="character" w:customStyle="1" w:styleId="2Char0">
    <w:name w:val="正文首行缩进 2 Char"/>
    <w:basedOn w:val="Char1"/>
    <w:link w:val="20"/>
    <w:uiPriority w:val="99"/>
    <w:qFormat/>
    <w:rPr>
      <w:rFonts w:ascii="Calibri" w:hAnsi="Calibri"/>
      <w:kern w:val="2"/>
      <w:sz w:val="21"/>
      <w:szCs w:val="24"/>
    </w:rPr>
  </w:style>
  <w:style w:type="character" w:customStyle="1" w:styleId="Char2">
    <w:name w:val="日期 Char"/>
    <w:basedOn w:val="a0"/>
    <w:link w:val="a7"/>
    <w:uiPriority w:val="99"/>
    <w:qFormat/>
    <w:rPr>
      <w:kern w:val="2"/>
      <w:sz w:val="24"/>
      <w:szCs w:val="21"/>
    </w:rPr>
  </w:style>
  <w:style w:type="paragraph" w:customStyle="1" w:styleId="22">
    <w:name w:val="2.2 表 注"/>
    <w:next w:val="a"/>
    <w:qFormat/>
    <w:pPr>
      <w:spacing w:line="259" w:lineRule="auto"/>
      <w:ind w:left="340" w:hanging="340"/>
    </w:pPr>
    <w:rPr>
      <w:kern w:val="2"/>
      <w:sz w:val="18"/>
      <w:szCs w:val="18"/>
    </w:rPr>
  </w:style>
  <w:style w:type="paragraph" w:customStyle="1" w:styleId="23">
    <w:name w:val="2.3 表格式"/>
    <w:next w:val="a"/>
    <w:qFormat/>
    <w:pPr>
      <w:spacing w:line="360" w:lineRule="auto"/>
      <w:jc w:val="center"/>
      <w:textAlignment w:val="center"/>
    </w:pPr>
    <w:rPr>
      <w:rFonts w:cs="Calibri"/>
      <w:kern w:val="2"/>
      <w:sz w:val="21"/>
      <w:szCs w:val="21"/>
    </w:rPr>
  </w:style>
  <w:style w:type="paragraph" w:customStyle="1" w:styleId="210">
    <w:name w:val="2.1 表名"/>
    <w:next w:val="a"/>
    <w:qFormat/>
    <w:pPr>
      <w:keepNext/>
      <w:spacing w:before="120" w:after="120" w:line="259" w:lineRule="auto"/>
      <w:jc w:val="center"/>
    </w:pPr>
    <w:rPr>
      <w:rFonts w:cs="Calibri"/>
      <w:b/>
      <w:kern w:val="2"/>
      <w:sz w:val="28"/>
      <w:szCs w:val="21"/>
    </w:rPr>
  </w:style>
  <w:style w:type="paragraph" w:customStyle="1" w:styleId="26">
    <w:name w:val="2.6 公式格式"/>
    <w:next w:val="a"/>
    <w:qFormat/>
    <w:pPr>
      <w:tabs>
        <w:tab w:val="center" w:pos="4080"/>
        <w:tab w:val="center" w:pos="8160"/>
      </w:tabs>
      <w:spacing w:beforeLines="50" w:before="50" w:afterLines="50" w:after="50" w:line="259" w:lineRule="auto"/>
      <w:jc w:val="center"/>
    </w:pPr>
    <w:rPr>
      <w:rFonts w:ascii="Calibri" w:hAnsi="Calibri"/>
      <w:kern w:val="2"/>
      <w:sz w:val="24"/>
      <w:szCs w:val="24"/>
    </w:rPr>
  </w:style>
  <w:style w:type="paragraph" w:customStyle="1" w:styleId="25">
    <w:name w:val="2.5 图格式"/>
    <w:next w:val="a"/>
    <w:qFormat/>
    <w:pPr>
      <w:keepNext/>
      <w:spacing w:after="160" w:line="259" w:lineRule="auto"/>
      <w:jc w:val="center"/>
    </w:pPr>
    <w:rPr>
      <w:rFonts w:ascii="Calibri" w:hAnsi="Calibri" w:cs="Calibri"/>
      <w:kern w:val="2"/>
      <w:sz w:val="24"/>
      <w:szCs w:val="21"/>
    </w:rPr>
  </w:style>
  <w:style w:type="paragraph" w:customStyle="1" w:styleId="24">
    <w:name w:val="2.4 图名"/>
    <w:next w:val="a"/>
    <w:qFormat/>
    <w:pPr>
      <w:spacing w:after="160" w:line="259" w:lineRule="auto"/>
      <w:jc w:val="center"/>
      <w:textAlignment w:val="center"/>
    </w:pPr>
    <w:rPr>
      <w:rFonts w:cs="Calibri"/>
      <w:kern w:val="2"/>
      <w:sz w:val="21"/>
      <w:szCs w:val="21"/>
    </w:rPr>
  </w:style>
  <w:style w:type="paragraph" w:customStyle="1" w:styleId="11">
    <w:name w:val="1.1 一级标题"/>
    <w:next w:val="a"/>
    <w:qFormat/>
    <w:pPr>
      <w:widowControl w:val="0"/>
      <w:numPr>
        <w:numId w:val="1"/>
      </w:numPr>
      <w:spacing w:beforeLines="50" w:before="50" w:afterLines="50" w:after="50" w:line="360" w:lineRule="auto"/>
      <w:jc w:val="center"/>
      <w:textAlignment w:val="center"/>
      <w:outlineLvl w:val="0"/>
    </w:pPr>
    <w:rPr>
      <w:rFonts w:eastAsia="黑体"/>
      <w:b/>
      <w:kern w:val="2"/>
      <w:sz w:val="32"/>
      <w:szCs w:val="32"/>
    </w:rPr>
  </w:style>
  <w:style w:type="paragraph" w:customStyle="1" w:styleId="12">
    <w:name w:val="1.2 二级标题"/>
    <w:next w:val="a"/>
    <w:qFormat/>
    <w:pPr>
      <w:widowControl w:val="0"/>
      <w:numPr>
        <w:ilvl w:val="1"/>
        <w:numId w:val="1"/>
      </w:numPr>
      <w:spacing w:beforeLines="50" w:before="50" w:afterLines="50" w:after="50" w:line="360" w:lineRule="auto"/>
      <w:ind w:left="0"/>
      <w:jc w:val="center"/>
      <w:textAlignment w:val="center"/>
      <w:outlineLvl w:val="1"/>
    </w:pPr>
    <w:rPr>
      <w:rFonts w:eastAsia="黑体"/>
      <w:b/>
      <w:bCs/>
      <w:kern w:val="2"/>
      <w:sz w:val="30"/>
      <w:szCs w:val="32"/>
    </w:rPr>
  </w:style>
  <w:style w:type="paragraph" w:customStyle="1" w:styleId="13">
    <w:name w:val="1.3 三级标题"/>
    <w:next w:val="a"/>
    <w:qFormat/>
    <w:pPr>
      <w:widowControl w:val="0"/>
      <w:numPr>
        <w:ilvl w:val="2"/>
        <w:numId w:val="1"/>
      </w:numPr>
      <w:spacing w:beforeLines="50" w:before="50" w:afterLines="50" w:after="50" w:line="259" w:lineRule="auto"/>
      <w:textAlignment w:val="center"/>
      <w:outlineLvl w:val="2"/>
    </w:pPr>
    <w:rPr>
      <w:rFonts w:cs="Calibri"/>
      <w:b/>
      <w:bCs/>
      <w:kern w:val="2"/>
      <w:sz w:val="24"/>
      <w:szCs w:val="32"/>
    </w:rPr>
  </w:style>
  <w:style w:type="paragraph" w:customStyle="1" w:styleId="14">
    <w:name w:val="1.4 四级标题"/>
    <w:next w:val="a"/>
    <w:qFormat/>
    <w:pPr>
      <w:keepNext/>
      <w:numPr>
        <w:numId w:val="2"/>
      </w:numPr>
      <w:spacing w:beforeLines="50" w:before="50" w:afterLines="50" w:after="50" w:line="259" w:lineRule="auto"/>
      <w:textAlignment w:val="center"/>
      <w:outlineLvl w:val="3"/>
    </w:pPr>
    <w:rPr>
      <w:b/>
      <w:bCs/>
      <w:kern w:val="2"/>
      <w:sz w:val="24"/>
      <w:szCs w:val="28"/>
    </w:rPr>
  </w:style>
  <w:style w:type="paragraph" w:customStyle="1" w:styleId="40">
    <w:name w:val="4 报告编写人"/>
    <w:next w:val="a"/>
    <w:qFormat/>
    <w:pPr>
      <w:spacing w:after="160" w:line="259" w:lineRule="auto"/>
    </w:pPr>
    <w:rPr>
      <w:rFonts w:eastAsia="黑体" w:cs="Calibri"/>
      <w:b/>
      <w:kern w:val="2"/>
      <w:sz w:val="32"/>
      <w:szCs w:val="21"/>
    </w:rPr>
  </w:style>
  <w:style w:type="paragraph" w:customStyle="1" w:styleId="41">
    <w:name w:val="4 次页 主标题"/>
    <w:next w:val="a"/>
    <w:qFormat/>
    <w:pPr>
      <w:spacing w:beforeLines="50" w:before="156" w:afterLines="50" w:after="156" w:line="360" w:lineRule="auto"/>
      <w:jc w:val="center"/>
    </w:pPr>
    <w:rPr>
      <w:rFonts w:ascii="黑体" w:eastAsia="黑体" w:hAnsi="黑体" w:cs="Calibri"/>
      <w:b/>
      <w:kern w:val="2"/>
      <w:sz w:val="40"/>
      <w:szCs w:val="21"/>
    </w:rPr>
  </w:style>
  <w:style w:type="paragraph" w:customStyle="1" w:styleId="5">
    <w:name w:val="5 扉页 落款"/>
    <w:next w:val="a"/>
    <w:qFormat/>
    <w:pPr>
      <w:spacing w:beforeLines="50" w:before="50" w:afterLines="50" w:after="50" w:line="360" w:lineRule="auto"/>
      <w:jc w:val="center"/>
      <w:textAlignment w:val="center"/>
    </w:pPr>
    <w:rPr>
      <w:rFonts w:eastAsia="黑体" w:cs="Calibri"/>
      <w:b/>
      <w:kern w:val="2"/>
      <w:sz w:val="36"/>
      <w:szCs w:val="21"/>
    </w:rPr>
  </w:style>
  <w:style w:type="paragraph" w:customStyle="1" w:styleId="50">
    <w:name w:val="5 扉页主标题"/>
    <w:next w:val="a"/>
    <w:qFormat/>
    <w:pPr>
      <w:spacing w:after="160" w:line="360" w:lineRule="auto"/>
      <w:jc w:val="center"/>
    </w:pPr>
    <w:rPr>
      <w:rFonts w:eastAsia="黑体"/>
      <w:b/>
      <w:kern w:val="2"/>
      <w:sz w:val="52"/>
      <w:szCs w:val="21"/>
    </w:rPr>
  </w:style>
  <w:style w:type="paragraph" w:customStyle="1" w:styleId="af1">
    <w:name w:val="图片居中"/>
    <w:basedOn w:val="a"/>
    <w:uiPriority w:val="99"/>
    <w:qFormat/>
    <w:pPr>
      <w:widowControl/>
      <w:spacing w:line="360" w:lineRule="auto"/>
      <w:ind w:firstLineChars="200" w:firstLine="200"/>
      <w:jc w:val="center"/>
    </w:pPr>
    <w:rPr>
      <w:rFonts w:ascii="宋体" w:hAnsi="宋体" w:cs="宋体"/>
      <w:color w:val="FF0000"/>
      <w:kern w:val="2"/>
      <w:sz w:val="24"/>
    </w:rPr>
  </w:style>
  <w:style w:type="character" w:customStyle="1" w:styleId="16">
    <w:name w:val="正文文本 字符1"/>
    <w:uiPriority w:val="99"/>
    <w:qFormat/>
    <w:rPr>
      <w:rFonts w:ascii="等线" w:eastAsia="等线"/>
      <w:kern w:val="0"/>
      <w:sz w:val="22"/>
    </w:rPr>
  </w:style>
  <w:style w:type="character" w:customStyle="1" w:styleId="17">
    <w:name w:val="正文文本 字符17"/>
    <w:uiPriority w:val="99"/>
    <w:qFormat/>
    <w:rPr>
      <w:rFonts w:ascii="等线" w:eastAsia="等线"/>
      <w:kern w:val="0"/>
      <w:sz w:val="22"/>
    </w:rPr>
  </w:style>
  <w:style w:type="character" w:customStyle="1" w:styleId="160">
    <w:name w:val="正文文本 字符16"/>
    <w:uiPriority w:val="99"/>
    <w:qFormat/>
    <w:rPr>
      <w:rFonts w:ascii="等线" w:eastAsia="等线"/>
      <w:kern w:val="0"/>
      <w:sz w:val="22"/>
    </w:rPr>
  </w:style>
  <w:style w:type="character" w:customStyle="1" w:styleId="150">
    <w:name w:val="正文文本 字符15"/>
    <w:uiPriority w:val="99"/>
    <w:qFormat/>
    <w:rPr>
      <w:rFonts w:ascii="等线" w:eastAsia="等线"/>
      <w:kern w:val="0"/>
      <w:sz w:val="22"/>
    </w:rPr>
  </w:style>
  <w:style w:type="character" w:customStyle="1" w:styleId="140">
    <w:name w:val="正文文本 字符14"/>
    <w:uiPriority w:val="99"/>
    <w:qFormat/>
    <w:rPr>
      <w:rFonts w:ascii="等线" w:eastAsia="等线"/>
      <w:kern w:val="0"/>
      <w:sz w:val="22"/>
    </w:rPr>
  </w:style>
  <w:style w:type="character" w:customStyle="1" w:styleId="130">
    <w:name w:val="正文文本 字符13"/>
    <w:uiPriority w:val="99"/>
    <w:qFormat/>
    <w:rPr>
      <w:rFonts w:ascii="等线" w:eastAsia="等线"/>
      <w:kern w:val="0"/>
      <w:sz w:val="22"/>
    </w:rPr>
  </w:style>
  <w:style w:type="character" w:customStyle="1" w:styleId="120">
    <w:name w:val="正文文本 字符12"/>
    <w:uiPriority w:val="99"/>
    <w:qFormat/>
    <w:rPr>
      <w:rFonts w:ascii="等线" w:eastAsia="等线"/>
      <w:kern w:val="0"/>
      <w:sz w:val="22"/>
    </w:rPr>
  </w:style>
  <w:style w:type="character" w:customStyle="1" w:styleId="110">
    <w:name w:val="正文文本 字符11"/>
    <w:uiPriority w:val="99"/>
    <w:qFormat/>
    <w:rPr>
      <w:rFonts w:ascii="等线" w:eastAsia="等线"/>
      <w:kern w:val="0"/>
    </w:rPr>
  </w:style>
  <w:style w:type="paragraph" w:customStyle="1" w:styleId="WPSOffice3">
    <w:name w:val="WPSOffice手动目录 3"/>
    <w:qFormat/>
    <w:pPr>
      <w:ind w:leftChars="400" w:left="400"/>
    </w:pPr>
    <w:rPr>
      <w:szCs w:val="24"/>
    </w:rPr>
  </w:style>
  <w:style w:type="paragraph" w:customStyle="1" w:styleId="WPSOffice2">
    <w:name w:val="WPSOffice手动目录 2"/>
    <w:qFormat/>
    <w:pPr>
      <w:ind w:leftChars="200" w:left="200"/>
    </w:pPr>
    <w:rPr>
      <w:szCs w:val="24"/>
    </w:rPr>
  </w:style>
  <w:style w:type="paragraph" w:styleId="af2">
    <w:name w:val="List Paragraph"/>
    <w:basedOn w:val="a"/>
    <w:uiPriority w:val="1"/>
    <w:qFormat/>
    <w:pPr>
      <w:autoSpaceDE w:val="0"/>
      <w:autoSpaceDN w:val="0"/>
      <w:adjustRightInd w:val="0"/>
      <w:jc w:val="left"/>
    </w:pPr>
    <w:rPr>
      <w:rFonts w:ascii="等线" w:hAnsi="等线"/>
      <w:sz w:val="21"/>
      <w:szCs w:val="22"/>
    </w:rPr>
  </w:style>
  <w:style w:type="paragraph" w:customStyle="1" w:styleId="WPSOffice1">
    <w:name w:val="WPSOffice手动目录 1"/>
    <w:qFormat/>
    <w:rPr>
      <w:szCs w:val="24"/>
    </w:rPr>
  </w:style>
  <w:style w:type="paragraph" w:customStyle="1" w:styleId="18">
    <w:name w:val="修订1"/>
    <w:uiPriority w:val="99"/>
    <w:qFormat/>
    <w:rPr>
      <w:rFonts w:ascii="等线" w:hAnsi="等线"/>
      <w:sz w:val="21"/>
      <w:szCs w:val="22"/>
    </w:rPr>
  </w:style>
  <w:style w:type="paragraph" w:customStyle="1" w:styleId="27">
    <w:name w:val="2 表名"/>
    <w:next w:val="a"/>
    <w:qFormat/>
    <w:pPr>
      <w:keepNext/>
      <w:spacing w:beforeLines="50" w:before="50" w:after="160" w:line="259" w:lineRule="auto"/>
      <w:jc w:val="center"/>
    </w:pPr>
    <w:rPr>
      <w:rFonts w:cs="Calibri"/>
      <w:kern w:val="2"/>
      <w:sz w:val="21"/>
      <w:szCs w:val="21"/>
    </w:rPr>
  </w:style>
  <w:style w:type="paragraph" w:customStyle="1" w:styleId="34">
    <w:name w:val="3.4 四级标题"/>
    <w:next w:val="a"/>
    <w:qFormat/>
    <w:pPr>
      <w:keepNext/>
      <w:spacing w:beforeLines="50" w:before="50" w:afterLines="50" w:after="50" w:line="259" w:lineRule="auto"/>
      <w:textAlignment w:val="center"/>
      <w:outlineLvl w:val="3"/>
    </w:pPr>
    <w:rPr>
      <w:b/>
      <w:bCs/>
      <w:kern w:val="2"/>
      <w:sz w:val="24"/>
      <w:szCs w:val="28"/>
    </w:rPr>
  </w:style>
  <w:style w:type="paragraph" w:customStyle="1" w:styleId="TOC1">
    <w:name w:val="TOC 标题1"/>
    <w:basedOn w:val="1"/>
    <w:next w:val="a"/>
    <w:uiPriority w:val="39"/>
    <w:qFormat/>
    <w:pPr>
      <w:keepNext/>
      <w:keepLines/>
      <w:widowControl/>
      <w:spacing w:before="240" w:line="259" w:lineRule="auto"/>
      <w:ind w:left="0" w:firstLineChars="0" w:firstLine="0"/>
      <w:jc w:val="left"/>
      <w:outlineLvl w:val="9"/>
    </w:pPr>
    <w:rPr>
      <w:rFonts w:ascii="等线 Light" w:eastAsia="等线 Light" w:hAnsi="等线 Light"/>
      <w:b w:val="0"/>
      <w:color w:val="2F5597"/>
      <w:kern w:val="0"/>
      <w:sz w:val="32"/>
      <w:szCs w:val="32"/>
    </w:rPr>
  </w:style>
  <w:style w:type="character" w:customStyle="1" w:styleId="font01">
    <w:name w:val="font01"/>
    <w:basedOn w:val="a0"/>
    <w:qFormat/>
    <w:rPr>
      <w:rFonts w:ascii="宋体" w:eastAsia="宋体" w:hAnsi="宋体" w:hint="eastAsia"/>
      <w:color w:val="000000"/>
      <w:sz w:val="22"/>
      <w:szCs w:val="22"/>
      <w:u w:val="none"/>
    </w:rPr>
  </w:style>
  <w:style w:type="character" w:customStyle="1" w:styleId="font11">
    <w:name w:val="font11"/>
    <w:basedOn w:val="a0"/>
    <w:qFormat/>
    <w:rPr>
      <w:rFonts w:ascii="宋体" w:eastAsia="宋体" w:hAnsi="宋体" w:hint="eastAsia"/>
      <w:color w:val="000000"/>
      <w:sz w:val="24"/>
      <w:szCs w:val="24"/>
      <w:u w:val="none"/>
    </w:rPr>
  </w:style>
  <w:style w:type="character" w:customStyle="1" w:styleId="font21">
    <w:name w:val="font21"/>
    <w:basedOn w:val="a0"/>
    <w:qFormat/>
    <w:rPr>
      <w:rFonts w:ascii="仿宋_GB2312" w:eastAsia="仿宋_GB2312" w:hint="eastAsia"/>
      <w:color w:val="000000"/>
      <w:sz w:val="24"/>
      <w:szCs w:val="24"/>
      <w:u w:val="none"/>
    </w:rPr>
  </w:style>
  <w:style w:type="character" w:customStyle="1" w:styleId="font41">
    <w:name w:val="font41"/>
    <w:basedOn w:val="a0"/>
    <w:qFormat/>
    <w:rPr>
      <w:rFonts w:ascii="Times New Roman" w:hAnsi="Times New Roman" w:cs="Times New Roman" w:hint="default"/>
      <w:color w:val="000000"/>
      <w:sz w:val="22"/>
      <w:szCs w:val="22"/>
      <w:u w:val="none"/>
    </w:rPr>
  </w:style>
  <w:style w:type="character" w:customStyle="1" w:styleId="font51">
    <w:name w:val="font51"/>
    <w:basedOn w:val="a0"/>
    <w:qFormat/>
    <w:rPr>
      <w:rFonts w:ascii="宋体" w:eastAsia="宋体" w:hAnsi="宋体" w:hint="eastAsia"/>
      <w:color w:val="000000"/>
      <w:sz w:val="22"/>
      <w:szCs w:val="22"/>
      <w:u w:val="none"/>
    </w:rPr>
  </w:style>
  <w:style w:type="character" w:customStyle="1" w:styleId="font31">
    <w:name w:val="font31"/>
    <w:basedOn w:val="a0"/>
    <w:qFormat/>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header2.xml" Type="http://schemas.openxmlformats.org/officeDocument/2006/relationships/header"/>
<Relationship Id="rId13" Target="footer3.xml" Type="http://schemas.openxmlformats.org/officeDocument/2006/relationships/footer"/>
<Relationship Id="rId14" Target="header3.xml" Type="http://schemas.openxmlformats.org/officeDocument/2006/relationships/header"/>
<Relationship Id="rId15" Target="footer4.xml" Type="http://schemas.openxmlformats.org/officeDocument/2006/relationships/footer"/>
<Relationship Id="rId16" Target="header4.xml" Type="http://schemas.openxmlformats.org/officeDocument/2006/relationships/header"/>
<Relationship Id="rId17" Target="footer5.xml" Type="http://schemas.openxmlformats.org/officeDocument/2006/relationships/footer"/>
<Relationship Id="rId18" Target="charts/chart2.xml" Type="http://schemas.openxmlformats.org/officeDocument/2006/relationships/chart"/>
<Relationship Id="rId19" Target="charts/chart3.xml" Type="http://schemas.openxmlformats.org/officeDocument/2006/relationships/chart"/>
<Relationship Id="rId2" Target="numbering.xml" Type="http://schemas.openxmlformats.org/officeDocument/2006/relationships/numbering"/>
<Relationship Id="rId20" Target="header5.xml" Type="http://schemas.openxmlformats.org/officeDocument/2006/relationships/header"/>
<Relationship Id="rId21" Target="footer6.xml" Type="http://schemas.openxmlformats.org/officeDocument/2006/relationships/footer"/>
<Relationship Id="rId22" Target="header6.xml" Type="http://schemas.openxmlformats.org/officeDocument/2006/relationships/header"/>
<Relationship Id="rId23" Target="footer7.xml" Type="http://schemas.openxmlformats.org/officeDocument/2006/relationships/footer"/>
<Relationship Id="rId24" Target="header7.xml" Type="http://schemas.openxmlformats.org/officeDocument/2006/relationships/header"/>
<Relationship Id="rId25" Target="footer8.xml" Type="http://schemas.openxmlformats.org/officeDocument/2006/relationships/footer"/>
<Relationship Id="rId26" Target="header8.xml" Type="http://schemas.openxmlformats.org/officeDocument/2006/relationships/header"/>
<Relationship Id="rId27" Target="header9.xml" Type="http://schemas.openxmlformats.org/officeDocument/2006/relationships/header"/>
<Relationship Id="rId28" Target="footer9.xml" Type="http://schemas.openxmlformats.org/officeDocument/2006/relationships/footer"/>
<Relationship Id="rId29" Target="footer10.xml" Type="http://schemas.openxmlformats.org/officeDocument/2006/relationships/footer"/>
<Relationship Id="rId3" Target="styles.xml" Type="http://schemas.openxmlformats.org/officeDocument/2006/relationships/styles"/>
<Relationship Id="rId30" Target="header10.xml" Type="http://schemas.openxmlformats.org/officeDocument/2006/relationships/header"/>
<Relationship Id="rId31" Target="header11.xml" Type="http://schemas.openxmlformats.org/officeDocument/2006/relationships/header"/>
<Relationship Id="rId32" Target="footer11.xml" Type="http://schemas.openxmlformats.org/officeDocument/2006/relationships/footer"/>
<Relationship Id="rId33" Target="footer12.xml" Type="http://schemas.openxmlformats.org/officeDocument/2006/relationships/footer"/>
<Relationship Id="rId34" Target="header12.xml" Type="http://schemas.openxmlformats.org/officeDocument/2006/relationships/header"/>
<Relationship Id="rId35" Target="footer13.xml" Type="http://schemas.openxmlformats.org/officeDocument/2006/relationships/footer"/>
<Relationship Id="rId36" Target="footer14.xml" Type="http://schemas.openxmlformats.org/officeDocument/2006/relationships/footer"/>
<Relationship Id="rId37" Target="fontTable.xml" Type="http://schemas.openxmlformats.org/officeDocument/2006/relationships/fontTable"/>
<Relationship Id="rId38" Target="theme/theme1.xml" Type="http://schemas.openxmlformats.org/officeDocument/2006/relationships/theme"/>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charts/chart1.xml" Type="http://schemas.openxmlformats.org/officeDocument/2006/relationships/chart"/>
<Relationship Id="rId9" Target="header1.xml" Type="http://schemas.openxmlformats.org/officeDocument/2006/relationships/header"/>
</Relationships>

</file>

<file path=word/charts/_rels/chart1.xml.rels><?xml version="1.0" encoding="UTF-8" standalone="no"?>
<Relationships xmlns="http://schemas.openxmlformats.org/package/2006/relationships">
<Relationship Id="rId1" Target="file:///D:/&#26700;&#38754;/&#27982;&#23425;&#12304;&#35268;&#21010;&#12305;/1225C&#12304;&#24037;&#20316;&#34920;&#12305;-JN.xlsx" TargetMode="External" Type="http://schemas.openxmlformats.org/officeDocument/2006/relationships/oleObject"/>
</Relationships>

</file>

<file path=word/charts/_rels/chart2.xml.rels><?xml version="1.0" encoding="UTF-8" standalone="no"?>
<Relationships xmlns="http://schemas.openxmlformats.org/package/2006/relationships">
<Relationship Id="rId1" Target="file:///D:/&#26700;&#38754;/&#27982;&#23425;&#12304;&#35268;&#21010;&#12305;/0212&#20840;&#24066;&#25968;&#25454;/0213&#12304;&#25968;&#25454;&#27719;&#24635;&#12305;.xlsx" TargetMode="External" Type="http://schemas.openxmlformats.org/officeDocument/2006/relationships/oleObject"/>
</Relationships>

</file>

<file path=word/charts/_rels/chart3.xml.rels><?xml version="1.0" encoding="UTF-8" standalone="no"?>
<Relationships xmlns="http://schemas.openxmlformats.org/package/2006/relationships">
<Relationship Id="rId1" Target="file:///D:/&#26700;&#38754;/&#27982;&#23425;&#12304;&#35268;&#21010;&#12305;/0212&#20840;&#24066;&#25968;&#25454;/0213&#12304;&#25968;&#25454;&#27719;&#24635;&#12305;.xlsx" TargetMode="External" Type="http://schemas.openxmlformats.org/officeDocument/2006/relationships/oleObject"/>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3729560642684499"/>
          <c:y val="5.0679566920064499E-2"/>
          <c:w val="0.82879963675980095"/>
          <c:h val="0.67505183137525904"/>
        </c:manualLayout>
      </c:layout>
      <c:barChart>
        <c:barDir val="col"/>
        <c:grouping val="clustered"/>
        <c:varyColors val="0"/>
        <c:ser>
          <c:idx val="0"/>
          <c:order val="0"/>
          <c:tx>
            <c:strRef>
              <c:f>'[1225C【工作表】-JN.xlsx]1.2'!$D$21</c:f>
              <c:strCache>
                <c:ptCount val="1"/>
                <c:pt idx="0">
                  <c:v>历史遗留塌陷地</c:v>
                </c:pt>
              </c:strCache>
            </c:strRef>
          </c:tx>
          <c:spPr>
            <a:solidFill>
              <a:schemeClr val="accent2">
                <a:tint val="65000"/>
              </a:schemeClr>
            </a:solidFill>
            <a:ln>
              <a:noFill/>
            </a:ln>
            <a:effectLst/>
          </c:spPr>
          <c:invertIfNegative val="0"/>
          <c:cat>
            <c:strRef>
              <c:f>'[1225C【工作表】-JN.xlsx]1.2'!$C$22:$C$34</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'[1225C【工作表】-JN.xlsx]1.2'!$D$22:$D$34</c:f>
              <c:numCache>
                <c:formatCode>General</c:formatCode>
                <c:ptCount val="13"/>
                <c:pt idx="0">
                  <c:v>0</c:v>
                </c:pt>
                <c:pt idx="1">
                  <c:v>1311.18</c:v>
                </c:pt>
                <c:pt idx="2">
                  <c:v>717.06</c:v>
                </c:pt>
                <c:pt idx="3">
                  <c:v>4021.14</c:v>
                </c:pt>
                <c:pt idx="4">
                  <c:v>1289.81</c:v>
                </c:pt>
                <c:pt idx="5">
                  <c:v>40.71</c:v>
                </c:pt>
                <c:pt idx="6">
                  <c:v>0</c:v>
                </c:pt>
                <c:pt idx="7">
                  <c:v>0</c:v>
                </c:pt>
                <c:pt idx="8">
                  <c:v>0</c:v>
                </c:pt>
                <c:pt idx="9">
                  <c:v>0</c:v>
                </c:pt>
                <c:pt idx="10">
                  <c:v>596.13</c:v>
                </c:pt>
                <c:pt idx="11">
                  <c:v>427.69</c:v>
                </c:pt>
                <c:pt idx="12">
                  <c:v>0</c:v>
                </c:pt>
              </c:numCache>
            </c:numRef>
          </c:val>
        </c:ser>
        <c:ser>
          <c:idx val="1"/>
          <c:order val="1"/>
          <c:tx>
            <c:strRef>
              <c:f>'[1225C【工作表】-JN.xlsx]1.2'!$E$21</c:f>
              <c:strCache>
                <c:ptCount val="1"/>
                <c:pt idx="0">
                  <c:v>稳沉塌陷地</c:v>
                </c:pt>
              </c:strCache>
            </c:strRef>
          </c:tx>
          <c:spPr>
            <a:solidFill>
              <a:schemeClr val="accent2"/>
            </a:solidFill>
            <a:ln>
              <a:noFill/>
            </a:ln>
            <a:effectLst/>
          </c:spPr>
          <c:invertIfNegative val="0"/>
          <c:cat>
            <c:strRef>
              <c:f>'[1225C【工作表】-JN.xlsx]1.2'!$C$22:$C$34</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'[1225C【工作表】-JN.xlsx]1.2'!$E$22:$E$34</c:f>
              <c:numCache>
                <c:formatCode>General</c:formatCode>
                <c:ptCount val="13"/>
                <c:pt idx="0">
                  <c:v>3259.58</c:v>
                </c:pt>
                <c:pt idx="1">
                  <c:v>3363.19</c:v>
                </c:pt>
                <c:pt idx="2">
                  <c:v>2423.83</c:v>
                </c:pt>
                <c:pt idx="3">
                  <c:v>7633.6</c:v>
                </c:pt>
                <c:pt idx="4">
                  <c:v>4474.18</c:v>
                </c:pt>
                <c:pt idx="5">
                  <c:v>983.21</c:v>
                </c:pt>
                <c:pt idx="6">
                  <c:v>480.32</c:v>
                </c:pt>
                <c:pt idx="7">
                  <c:v>649.52</c:v>
                </c:pt>
                <c:pt idx="8">
                  <c:v>32.5</c:v>
                </c:pt>
                <c:pt idx="9">
                  <c:v>1274.6300000000001</c:v>
                </c:pt>
                <c:pt idx="10">
                  <c:v>4250.1000000000004</c:v>
                </c:pt>
                <c:pt idx="11">
                  <c:v>3122.9</c:v>
                </c:pt>
                <c:pt idx="12">
                  <c:v>0</c:v>
                </c:pt>
              </c:numCache>
            </c:numRef>
          </c:val>
        </c:ser>
        <c:ser>
          <c:idx val="2"/>
          <c:order val="2"/>
          <c:tx>
            <c:strRef>
              <c:f>'[1225C【工作表】-JN.xlsx]1.2'!$F$21</c:f>
              <c:strCache>
                <c:ptCount val="1"/>
                <c:pt idx="0">
                  <c:v>采煤塌陷地（不含湖区）</c:v>
                </c:pt>
              </c:strCache>
            </c:strRef>
          </c:tx>
          <c:spPr>
            <a:solidFill>
              <a:schemeClr val="accent2">
                <a:shade val="65000"/>
              </a:schemeClr>
            </a:solidFill>
            <a:ln>
              <a:noFill/>
            </a:ln>
            <a:effectLst/>
          </c:spPr>
          <c:invertIfNegative val="0"/>
          <c:cat>
            <c:strRef>
              <c:f>'[1225C【工作表】-JN.xlsx]1.2'!$C$22:$C$34</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'[1225C【工作表】-JN.xlsx]1.2'!$F$22:$F$34</c:f>
              <c:numCache>
                <c:formatCode>General</c:formatCode>
                <c:ptCount val="13"/>
                <c:pt idx="0">
                  <c:v>6692.13</c:v>
                </c:pt>
                <c:pt idx="1">
                  <c:v>5174.07</c:v>
                </c:pt>
                <c:pt idx="2">
                  <c:v>3096.12</c:v>
                </c:pt>
                <c:pt idx="3">
                  <c:v>8875.36</c:v>
                </c:pt>
                <c:pt idx="4">
                  <c:v>5671.57</c:v>
                </c:pt>
                <c:pt idx="5">
                  <c:v>1067.8499999999999</c:v>
                </c:pt>
                <c:pt idx="6">
                  <c:v>984.69</c:v>
                </c:pt>
                <c:pt idx="7">
                  <c:v>1815.64</c:v>
                </c:pt>
                <c:pt idx="8">
                  <c:v>53.35</c:v>
                </c:pt>
                <c:pt idx="9">
                  <c:v>2037</c:v>
                </c:pt>
                <c:pt idx="10">
                  <c:v>4883.05</c:v>
                </c:pt>
                <c:pt idx="11">
                  <c:v>3805.67</c:v>
                </c:pt>
                <c:pt idx="12">
                  <c:v>18.97</c:v>
                </c:pt>
              </c:numCache>
            </c:numRef>
          </c:val>
        </c:ser>
        <c:dLbls>
          <c:showLegendKey val="0"/>
          <c:showVal val="0"/>
          <c:showCatName val="0"/>
          <c:showSerName val="0"/>
          <c:showPercent val="0"/>
          <c:showBubbleSize val="0"/>
        </c:dLbls>
        <c:gapWidth val="219"/>
        <c:overlap val="-27"/>
        <c:axId val="194618600"/>
        <c:axId val="195526160"/>
      </c:barChart>
      <c:catAx>
        <c:axId val="1946186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eaVert"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crossAx val="195526160"/>
        <c:crosses val="autoZero"/>
        <c:auto val="1"/>
        <c:lblAlgn val="ctr"/>
        <c:lblOffset val="100"/>
        <c:noMultiLvlLbl val="0"/>
      </c:catAx>
      <c:valAx>
        <c:axId val="19552616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r>
                  <a:rPr lang="zh-CN" altLang="en-US" sz="110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rPr>
                  <a:t>单位：公顷</a:t>
                </a:r>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11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crossAx val="19461860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1"/>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2"/>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ayout>
        <c:manualLayout>
          <c:xMode val="edge"/>
          <c:yMode val="edge"/>
          <c:x val="0.11070832646534901"/>
          <c:y val="0.91719931235010699"/>
          <c:w val="0.75952087764468801"/>
          <c:h val="6.0700808625336902E-2"/>
        </c:manualLayout>
      </c:layout>
      <c:overlay val="0"/>
      <c:spPr>
        <a:noFill/>
        <a:ln>
          <a:noFill/>
        </a:ln>
        <a:effectLst/>
      </c:spPr>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sz="110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2399683416834199"/>
          <c:y val="4.2332455727750899E-2"/>
          <c:w val="0.81899799289794695"/>
          <c:h val="0.654439747591675"/>
        </c:manualLayout>
      </c:layout>
      <c:barChart>
        <c:barDir val="col"/>
        <c:grouping val="clustered"/>
        <c:varyColors val="0"/>
        <c:ser>
          <c:idx val="0"/>
          <c:order val="0"/>
          <c:tx>
            <c:strRef>
              <c:f>'2.1+2.2'!$E$82</c:f>
              <c:strCache>
                <c:ptCount val="1"/>
                <c:pt idx="0">
                  <c:v>2021年</c:v>
                </c:pt>
              </c:strCache>
            </c:strRef>
          </c:tx>
          <c:spPr>
            <a:solidFill>
              <a:schemeClr val="accent6">
                <a:tint val="50000"/>
              </a:schemeClr>
            </a:solidFill>
            <a:ln>
              <a:noFill/>
            </a:ln>
            <a:effectLst/>
          </c:spPr>
          <c:invertIfNegative val="0"/>
          <c:cat>
            <c:strRef>
              <c:f>'2.1+2.2'!$D$83:$D$95</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'2.1+2.2'!$E$83:$E$95</c:f>
              <c:numCache>
                <c:formatCode>0.00_ </c:formatCode>
                <c:ptCount val="13"/>
                <c:pt idx="0">
                  <c:v>6886.46</c:v>
                </c:pt>
                <c:pt idx="1">
                  <c:v>5218.3999999999996</c:v>
                </c:pt>
                <c:pt idx="2">
                  <c:v>3132.64</c:v>
                </c:pt>
                <c:pt idx="3">
                  <c:v>8964.64</c:v>
                </c:pt>
                <c:pt idx="4">
                  <c:v>5841.29</c:v>
                </c:pt>
                <c:pt idx="5">
                  <c:v>1076.4000000000001</c:v>
                </c:pt>
                <c:pt idx="6">
                  <c:v>1015.69</c:v>
                </c:pt>
                <c:pt idx="7">
                  <c:v>1825.75</c:v>
                </c:pt>
                <c:pt idx="8">
                  <c:v>100.1</c:v>
                </c:pt>
                <c:pt idx="9">
                  <c:v>2091.9499999999998</c:v>
                </c:pt>
                <c:pt idx="10">
                  <c:v>5088.88</c:v>
                </c:pt>
                <c:pt idx="11">
                  <c:v>3833.16</c:v>
                </c:pt>
                <c:pt idx="12">
                  <c:v>18.97</c:v>
                </c:pt>
              </c:numCache>
            </c:numRef>
          </c:val>
        </c:ser>
        <c:ser>
          <c:idx val="1"/>
          <c:order val="1"/>
          <c:tx>
            <c:strRef>
              <c:f>'2.1+2.2'!$F$82</c:f>
              <c:strCache>
                <c:ptCount val="1"/>
                <c:pt idx="0">
                  <c:v>2022年</c:v>
                </c:pt>
              </c:strCache>
            </c:strRef>
          </c:tx>
          <c:spPr>
            <a:solidFill>
              <a:schemeClr val="accent6">
                <a:tint val="70000"/>
              </a:schemeClr>
            </a:solidFill>
            <a:ln>
              <a:noFill/>
            </a:ln>
            <a:effectLst/>
          </c:spPr>
          <c:invertIfNegative val="0"/>
          <c:cat>
            <c:strRef>
              <c:f>'2.1+2.2'!$D$83:$D$95</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'2.1+2.2'!$F$83:$F$95</c:f>
              <c:numCache>
                <c:formatCode>General</c:formatCode>
                <c:ptCount val="13"/>
                <c:pt idx="0">
                  <c:v>7025.2</c:v>
                </c:pt>
                <c:pt idx="1">
                  <c:v>5298.22</c:v>
                </c:pt>
                <c:pt idx="2">
                  <c:v>3201.28</c:v>
                </c:pt>
                <c:pt idx="3">
                  <c:v>9049.3799999999992</c:v>
                </c:pt>
                <c:pt idx="4">
                  <c:v>6119.46</c:v>
                </c:pt>
                <c:pt idx="5">
                  <c:v>1078.17</c:v>
                </c:pt>
                <c:pt idx="6">
                  <c:v>1040.53</c:v>
                </c:pt>
                <c:pt idx="7">
                  <c:v>1879.11</c:v>
                </c:pt>
                <c:pt idx="8">
                  <c:v>101.75</c:v>
                </c:pt>
                <c:pt idx="9">
                  <c:v>2133.06</c:v>
                </c:pt>
                <c:pt idx="10">
                  <c:v>5091.59</c:v>
                </c:pt>
                <c:pt idx="11">
                  <c:v>4006.62</c:v>
                </c:pt>
                <c:pt idx="12">
                  <c:v>18.97</c:v>
                </c:pt>
              </c:numCache>
            </c:numRef>
          </c:val>
        </c:ser>
        <c:ser>
          <c:idx val="2"/>
          <c:order val="2"/>
          <c:tx>
            <c:strRef>
              <c:f>'2.1+2.2'!$G$82</c:f>
              <c:strCache>
                <c:ptCount val="1"/>
                <c:pt idx="0">
                  <c:v>2023年</c:v>
                </c:pt>
              </c:strCache>
            </c:strRef>
          </c:tx>
          <c:spPr>
            <a:solidFill>
              <a:schemeClr val="accent6">
                <a:tint val="90000"/>
              </a:schemeClr>
            </a:solidFill>
            <a:ln>
              <a:noFill/>
            </a:ln>
            <a:effectLst/>
          </c:spPr>
          <c:invertIfNegative val="0"/>
          <c:cat>
            <c:strRef>
              <c:f>'2.1+2.2'!$D$83:$D$95</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'2.1+2.2'!$G$83:$G$95</c:f>
              <c:numCache>
                <c:formatCode>General</c:formatCode>
                <c:ptCount val="13"/>
                <c:pt idx="0">
                  <c:v>7159.78</c:v>
                </c:pt>
                <c:pt idx="1">
                  <c:v>5361.52</c:v>
                </c:pt>
                <c:pt idx="2">
                  <c:v>3206.77</c:v>
                </c:pt>
                <c:pt idx="3">
                  <c:v>9083.58</c:v>
                </c:pt>
                <c:pt idx="4" formatCode="0.00_ ">
                  <c:v>6255.37</c:v>
                </c:pt>
                <c:pt idx="5">
                  <c:v>1107.98</c:v>
                </c:pt>
                <c:pt idx="6">
                  <c:v>1122.07</c:v>
                </c:pt>
                <c:pt idx="7">
                  <c:v>1905</c:v>
                </c:pt>
                <c:pt idx="8">
                  <c:v>105.38</c:v>
                </c:pt>
                <c:pt idx="9">
                  <c:v>2273.77</c:v>
                </c:pt>
                <c:pt idx="10">
                  <c:v>5152.49</c:v>
                </c:pt>
                <c:pt idx="11">
                  <c:v>4095.68</c:v>
                </c:pt>
                <c:pt idx="12">
                  <c:v>18.97</c:v>
                </c:pt>
              </c:numCache>
            </c:numRef>
          </c:val>
        </c:ser>
        <c:ser>
          <c:idx val="3"/>
          <c:order val="3"/>
          <c:tx>
            <c:strRef>
              <c:f>'2.1+2.2'!$H$82</c:f>
              <c:strCache>
                <c:ptCount val="1"/>
                <c:pt idx="0">
                  <c:v>2024年</c:v>
                </c:pt>
              </c:strCache>
            </c:strRef>
          </c:tx>
          <c:spPr>
            <a:solidFill>
              <a:schemeClr val="accent6">
                <a:shade val="90000"/>
              </a:schemeClr>
            </a:solidFill>
            <a:ln>
              <a:noFill/>
            </a:ln>
            <a:effectLst/>
          </c:spPr>
          <c:invertIfNegative val="0"/>
          <c:cat>
            <c:strRef>
              <c:f>'2.1+2.2'!$D$83:$D$95</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'2.1+2.2'!$H$83:$H$95</c:f>
              <c:numCache>
                <c:formatCode>General</c:formatCode>
                <c:ptCount val="13"/>
                <c:pt idx="0">
                  <c:v>7218.56</c:v>
                </c:pt>
                <c:pt idx="1">
                  <c:v>5475.21</c:v>
                </c:pt>
                <c:pt idx="2">
                  <c:v>3221.6</c:v>
                </c:pt>
                <c:pt idx="3">
                  <c:v>9218.17</c:v>
                </c:pt>
                <c:pt idx="4">
                  <c:v>6459.67</c:v>
                </c:pt>
                <c:pt idx="5">
                  <c:v>1214.96</c:v>
                </c:pt>
                <c:pt idx="6">
                  <c:v>1244.33</c:v>
                </c:pt>
                <c:pt idx="7">
                  <c:v>1962.45</c:v>
                </c:pt>
                <c:pt idx="8">
                  <c:v>105.38</c:v>
                </c:pt>
                <c:pt idx="9">
                  <c:v>2352.2600000000002</c:v>
                </c:pt>
                <c:pt idx="10">
                  <c:v>5168.9799999999996</c:v>
                </c:pt>
                <c:pt idx="11">
                  <c:v>4281.59</c:v>
                </c:pt>
                <c:pt idx="12">
                  <c:v>18.97</c:v>
                </c:pt>
              </c:numCache>
            </c:numRef>
          </c:val>
        </c:ser>
        <c:ser>
          <c:idx val="4"/>
          <c:order val="4"/>
          <c:tx>
            <c:strRef>
              <c:f>'2.1+2.2'!$I$82</c:f>
              <c:strCache>
                <c:ptCount val="1"/>
                <c:pt idx="0">
                  <c:v>2025年</c:v>
                </c:pt>
              </c:strCache>
            </c:strRef>
          </c:tx>
          <c:spPr>
            <a:solidFill>
              <a:schemeClr val="accent6">
                <a:shade val="70000"/>
              </a:schemeClr>
            </a:solidFill>
            <a:ln>
              <a:noFill/>
            </a:ln>
            <a:effectLst/>
          </c:spPr>
          <c:invertIfNegative val="0"/>
          <c:cat>
            <c:strRef>
              <c:f>'2.1+2.2'!$D$83:$D$95</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'2.1+2.2'!$I$83:$I$95</c:f>
              <c:numCache>
                <c:formatCode>General</c:formatCode>
                <c:ptCount val="13"/>
                <c:pt idx="0">
                  <c:v>7263.56</c:v>
                </c:pt>
                <c:pt idx="1">
                  <c:v>5597.09</c:v>
                </c:pt>
                <c:pt idx="2">
                  <c:v>3296.27</c:v>
                </c:pt>
                <c:pt idx="3">
                  <c:v>9332.6299999999992</c:v>
                </c:pt>
                <c:pt idx="4">
                  <c:v>6612.25</c:v>
                </c:pt>
                <c:pt idx="5">
                  <c:v>1245.96</c:v>
                </c:pt>
                <c:pt idx="6">
                  <c:v>1332.67</c:v>
                </c:pt>
                <c:pt idx="7">
                  <c:v>2087.1</c:v>
                </c:pt>
                <c:pt idx="8">
                  <c:v>105.38</c:v>
                </c:pt>
                <c:pt idx="9">
                  <c:v>2451.0300000000002</c:v>
                </c:pt>
                <c:pt idx="10">
                  <c:v>5170.5600000000004</c:v>
                </c:pt>
                <c:pt idx="11">
                  <c:v>4610</c:v>
                </c:pt>
                <c:pt idx="12">
                  <c:v>18.97</c:v>
                </c:pt>
              </c:numCache>
            </c:numRef>
          </c:val>
        </c:ser>
        <c:ser>
          <c:idx val="5"/>
          <c:order val="5"/>
          <c:tx>
            <c:strRef>
              <c:f>'2.1+2.2'!$J$82</c:f>
              <c:strCache>
                <c:ptCount val="1"/>
                <c:pt idx="0">
                  <c:v>2030年</c:v>
                </c:pt>
              </c:strCache>
            </c:strRef>
          </c:tx>
          <c:spPr>
            <a:solidFill>
              <a:schemeClr val="accent6">
                <a:shade val="50000"/>
              </a:schemeClr>
            </a:solidFill>
            <a:ln>
              <a:noFill/>
            </a:ln>
            <a:effectLst/>
          </c:spPr>
          <c:invertIfNegative val="0"/>
          <c:cat>
            <c:strRef>
              <c:f>'2.1+2.2'!$D$83:$D$95</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'2.1+2.2'!$J$83:$J$95</c:f>
              <c:numCache>
                <c:formatCode>General</c:formatCode>
                <c:ptCount val="13"/>
                <c:pt idx="0">
                  <c:v>7503.03</c:v>
                </c:pt>
                <c:pt idx="1">
                  <c:v>5955.99</c:v>
                </c:pt>
                <c:pt idx="2">
                  <c:v>3361.78</c:v>
                </c:pt>
                <c:pt idx="3">
                  <c:v>9760.2800000000007</c:v>
                </c:pt>
                <c:pt idx="4" formatCode="0.00_ ">
                  <c:v>7594.91</c:v>
                </c:pt>
                <c:pt idx="5">
                  <c:v>1317.79</c:v>
                </c:pt>
                <c:pt idx="6">
                  <c:v>1669.87</c:v>
                </c:pt>
                <c:pt idx="7">
                  <c:v>2470.6</c:v>
                </c:pt>
                <c:pt idx="8">
                  <c:v>105.38</c:v>
                </c:pt>
                <c:pt idx="9">
                  <c:v>2749.83</c:v>
                </c:pt>
                <c:pt idx="10">
                  <c:v>5349.37</c:v>
                </c:pt>
                <c:pt idx="11">
                  <c:v>5173.82</c:v>
                </c:pt>
                <c:pt idx="12">
                  <c:v>18.97</c:v>
                </c:pt>
              </c:numCache>
            </c:numRef>
          </c:val>
        </c:ser>
        <c:dLbls>
          <c:showLegendKey val="0"/>
          <c:showVal val="0"/>
          <c:showCatName val="0"/>
          <c:showSerName val="0"/>
          <c:showPercent val="0"/>
          <c:showBubbleSize val="0"/>
        </c:dLbls>
        <c:gapWidth val="219"/>
        <c:overlap val="-27"/>
        <c:axId val="194773392"/>
        <c:axId val="194773784"/>
      </c:barChart>
      <c:catAx>
        <c:axId val="19477339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eaVert"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crossAx val="194773784"/>
        <c:crosses val="autoZero"/>
        <c:auto val="1"/>
        <c:lblAlgn val="ctr"/>
        <c:lblOffset val="100"/>
        <c:noMultiLvlLbl val="0"/>
      </c:catAx>
      <c:valAx>
        <c:axId val="194773784"/>
        <c:scaling>
          <c:orientation val="minMax"/>
          <c:max val="1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r>
                  <a:rPr lang="zh-CN" altLang="en-US" sz="1100">
                    <a:latin typeface="黑体" panose="02010609060101010101" charset="-122"/>
                    <a:ea typeface="黑体" panose="02010609060101010101" charset="-122"/>
                    <a:cs typeface="黑体" panose="02010609060101010101" charset="-122"/>
                    <a:sym typeface="黑体" panose="02010609060101010101" charset="-122"/>
                  </a:rPr>
                  <a:t>单位：公顷</a:t>
                </a:r>
              </a:p>
            </c:rich>
          </c:tx>
          <c:layout>
            <c:manualLayout>
              <c:xMode val="edge"/>
              <c:yMode val="edge"/>
              <c:x val="3.8514669498978201E-3"/>
              <c:y val="0.31421241825461099"/>
            </c:manualLayout>
          </c:layout>
          <c:overlay val="0"/>
          <c:spPr>
            <a:noFill/>
            <a:ln>
              <a:noFill/>
            </a:ln>
            <a:effectLst/>
          </c:spPr>
        </c:title>
        <c:numFmt formatCode="General" sourceLinked="0"/>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crossAx val="194773392"/>
        <c:crosses val="autoZero"/>
        <c:crossBetween val="between"/>
        <c:majorUnit val="1000"/>
      </c:valAx>
      <c:spPr>
        <a:noFill/>
        <a:ln>
          <a:noFill/>
        </a:ln>
        <a:effectLst/>
      </c:spPr>
    </c:plotArea>
    <c:legend>
      <c:legendPos val="b"/>
      <c:legendEntry>
        <c:idx val="0"/>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1"/>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2"/>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3"/>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4"/>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5"/>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ayout>
        <c:manualLayout>
          <c:xMode val="edge"/>
          <c:yMode val="edge"/>
          <c:x val="0.11207043630643899"/>
          <c:y val="0.92081898450636901"/>
          <c:w val="0.74116376724655098"/>
          <c:h val="6.6548463356973994E-2"/>
        </c:manualLayout>
      </c:layout>
      <c:overlay val="0"/>
      <c:spPr>
        <a:noFill/>
        <a:ln>
          <a:noFill/>
        </a:ln>
        <a:effectLst/>
      </c:spPr>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
    <c:plotVisOnly val="1"/>
    <c:dispBlanksAs val="gap"/>
    <c:showDLblsOverMax val="0"/>
  </c:chart>
  <c:spPr>
    <a:solidFill>
      <a:schemeClr val="bg1"/>
    </a:solidFill>
    <a:ln w="9525" cap="flat" cmpd="sng" algn="ctr">
      <a:solidFill>
        <a:schemeClr val="tx1"/>
      </a:solidFill>
      <a:prstDash val="solid"/>
      <a:round/>
    </a:ln>
    <a:effectLst/>
  </c:spPr>
  <c:txPr>
    <a:bodyPr rot="0" vert="eaVert" anchor="b" anchorCtr="0"/>
    <a:lstStyle/>
    <a:p>
      <a:pPr>
        <a:defRPr lang="zh-CN" sz="110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36031836270608"/>
          <c:y val="5.2378585786790798E-2"/>
          <c:w val="0.82932095220036794"/>
          <c:h val="0.69755172528680698"/>
        </c:manualLayout>
      </c:layout>
      <c:barChart>
        <c:barDir val="col"/>
        <c:grouping val="clustered"/>
        <c:varyColors val="0"/>
        <c:ser>
          <c:idx val="0"/>
          <c:order val="0"/>
          <c:tx>
            <c:strRef>
              <c:f>'2.1+2.2'!$D$60</c:f>
              <c:strCache>
                <c:ptCount val="1"/>
                <c:pt idx="0">
                  <c:v>2021年</c:v>
                </c:pt>
              </c:strCache>
            </c:strRef>
          </c:tx>
          <c:spPr>
            <a:solidFill>
              <a:schemeClr val="accent5">
                <a:tint val="53333"/>
              </a:schemeClr>
            </a:solidFill>
            <a:ln>
              <a:noFill/>
            </a:ln>
            <a:effectLst/>
          </c:spPr>
          <c:invertIfNegative val="0"/>
          <c:cat>
            <c:strRef>
              <c:f>'2.1+2.2'!$C$61:$C$73</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'2.1+2.2'!$D$61:$D$73</c:f>
              <c:numCache>
                <c:formatCode>0.00_ </c:formatCode>
                <c:ptCount val="13"/>
                <c:pt idx="0" formatCode="General">
                  <c:v>4349.43</c:v>
                </c:pt>
                <c:pt idx="1">
                  <c:v>4030.73</c:v>
                </c:pt>
                <c:pt idx="2">
                  <c:v>2359.33</c:v>
                </c:pt>
                <c:pt idx="3">
                  <c:v>7938.2</c:v>
                </c:pt>
                <c:pt idx="4" formatCode="General">
                  <c:v>4426.5200000000004</c:v>
                </c:pt>
                <c:pt idx="5" formatCode="General">
                  <c:v>994.56</c:v>
                </c:pt>
                <c:pt idx="6" formatCode="General">
                  <c:v>519.79</c:v>
                </c:pt>
                <c:pt idx="7" formatCode="General">
                  <c:v>659.9</c:v>
                </c:pt>
                <c:pt idx="8" formatCode="General">
                  <c:v>66.91</c:v>
                </c:pt>
                <c:pt idx="9" formatCode="General">
                  <c:v>1252.9100000000001</c:v>
                </c:pt>
                <c:pt idx="10" formatCode="General">
                  <c:v>4601.7700000000004</c:v>
                </c:pt>
                <c:pt idx="11" formatCode="General">
                  <c:v>3074.89</c:v>
                </c:pt>
                <c:pt idx="12" formatCode="General">
                  <c:v>13.58</c:v>
                </c:pt>
              </c:numCache>
            </c:numRef>
          </c:val>
        </c:ser>
        <c:ser>
          <c:idx val="1"/>
          <c:order val="1"/>
          <c:tx>
            <c:strRef>
              <c:f>'2.1+2.2'!$E$60</c:f>
              <c:strCache>
                <c:ptCount val="1"/>
                <c:pt idx="0">
                  <c:v>2022年</c:v>
                </c:pt>
              </c:strCache>
            </c:strRef>
          </c:tx>
          <c:spPr>
            <a:solidFill>
              <a:schemeClr val="accent5">
                <a:tint val="76667"/>
              </a:schemeClr>
            </a:solidFill>
            <a:ln>
              <a:noFill/>
            </a:ln>
            <a:effectLst/>
          </c:spPr>
          <c:invertIfNegative val="0"/>
          <c:cat>
            <c:strRef>
              <c:f>'2.1+2.2'!$C$61:$C$73</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'2.1+2.2'!$E$61:$E$73</c:f>
              <c:numCache>
                <c:formatCode>General</c:formatCode>
                <c:ptCount val="13"/>
                <c:pt idx="0">
                  <c:v>4551.9542116850198</c:v>
                </c:pt>
                <c:pt idx="1">
                  <c:v>4337.5915770001902</c:v>
                </c:pt>
                <c:pt idx="2">
                  <c:v>2534.6987624181902</c:v>
                </c:pt>
                <c:pt idx="3">
                  <c:v>8247.3141373089002</c:v>
                </c:pt>
                <c:pt idx="4">
                  <c:v>4470.9919031125601</c:v>
                </c:pt>
                <c:pt idx="5">
                  <c:v>994.56688299111397</c:v>
                </c:pt>
                <c:pt idx="6">
                  <c:v>563.06631908075099</c:v>
                </c:pt>
                <c:pt idx="7">
                  <c:v>794.29915989616597</c:v>
                </c:pt>
                <c:pt idx="8">
                  <c:v>66.907845509022494</c:v>
                </c:pt>
                <c:pt idx="9">
                  <c:v>1278.74450159704</c:v>
                </c:pt>
                <c:pt idx="10">
                  <c:v>4699.8776419696296</c:v>
                </c:pt>
                <c:pt idx="11">
                  <c:v>3156.67035044351</c:v>
                </c:pt>
                <c:pt idx="12">
                  <c:v>13.583431368109601</c:v>
                </c:pt>
              </c:numCache>
            </c:numRef>
          </c:val>
        </c:ser>
        <c:ser>
          <c:idx val="2"/>
          <c:order val="2"/>
          <c:tx>
            <c:strRef>
              <c:f>'2.1+2.2'!$F$60</c:f>
              <c:strCache>
                <c:ptCount val="1"/>
                <c:pt idx="0">
                  <c:v>2023年</c:v>
                </c:pt>
              </c:strCache>
            </c:strRef>
          </c:tx>
          <c:spPr>
            <a:solidFill>
              <a:schemeClr val="accent5"/>
            </a:solidFill>
            <a:ln>
              <a:noFill/>
            </a:ln>
            <a:effectLst/>
          </c:spPr>
          <c:invertIfNegative val="0"/>
          <c:cat>
            <c:strRef>
              <c:f>'2.1+2.2'!$C$61:$C$73</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'2.1+2.2'!$F$61:$F$73</c:f>
              <c:numCache>
                <c:formatCode>General</c:formatCode>
                <c:ptCount val="13"/>
                <c:pt idx="0">
                  <c:v>4921.5463474144699</c:v>
                </c:pt>
                <c:pt idx="1">
                  <c:v>4350.10219685621</c:v>
                </c:pt>
                <c:pt idx="2">
                  <c:v>2715.30356474061</c:v>
                </c:pt>
                <c:pt idx="3">
                  <c:v>8528.1064408840393</c:v>
                </c:pt>
                <c:pt idx="4">
                  <c:v>4936.0907999234896</c:v>
                </c:pt>
                <c:pt idx="5">
                  <c:v>1036.2352074591099</c:v>
                </c:pt>
                <c:pt idx="6">
                  <c:v>589.99993403265205</c:v>
                </c:pt>
                <c:pt idx="7">
                  <c:v>1082.4252208650501</c:v>
                </c:pt>
                <c:pt idx="8">
                  <c:v>66.907845509022494</c:v>
                </c:pt>
                <c:pt idx="9">
                  <c:v>1326.88331645887</c:v>
                </c:pt>
                <c:pt idx="10">
                  <c:v>4699.87299046931</c:v>
                </c:pt>
                <c:pt idx="11">
                  <c:v>3156.6704008861402</c:v>
                </c:pt>
                <c:pt idx="12" formatCode="0.00_ ">
                  <c:v>16.438073817160799</c:v>
                </c:pt>
              </c:numCache>
            </c:numRef>
          </c:val>
        </c:ser>
        <c:ser>
          <c:idx val="3"/>
          <c:order val="3"/>
          <c:tx>
            <c:strRef>
              <c:f>'2.1+2.2'!$G$60</c:f>
              <c:strCache>
                <c:ptCount val="1"/>
                <c:pt idx="0">
                  <c:v>2024年</c:v>
                </c:pt>
              </c:strCache>
            </c:strRef>
          </c:tx>
          <c:spPr>
            <a:solidFill>
              <a:schemeClr val="accent5">
                <a:shade val="76667"/>
              </a:schemeClr>
            </a:solidFill>
            <a:ln>
              <a:noFill/>
            </a:ln>
            <a:effectLst/>
          </c:spPr>
          <c:invertIfNegative val="0"/>
          <c:cat>
            <c:strRef>
              <c:f>'2.1+2.2'!$C$61:$C$73</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'2.1+2.2'!$G$61:$G$73</c:f>
              <c:numCache>
                <c:formatCode>General</c:formatCode>
                <c:ptCount val="13"/>
                <c:pt idx="0">
                  <c:v>5116.0155563198196</c:v>
                </c:pt>
                <c:pt idx="1">
                  <c:v>4502.2806020443004</c:v>
                </c:pt>
                <c:pt idx="2">
                  <c:v>2917.0917628380598</c:v>
                </c:pt>
                <c:pt idx="3">
                  <c:v>8583.1479382085108</c:v>
                </c:pt>
                <c:pt idx="4">
                  <c:v>5021.6088861746302</c:v>
                </c:pt>
                <c:pt idx="5">
                  <c:v>1037.0500180625099</c:v>
                </c:pt>
                <c:pt idx="6">
                  <c:v>603.40454817921295</c:v>
                </c:pt>
                <c:pt idx="7">
                  <c:v>1243.26359174616</c:v>
                </c:pt>
                <c:pt idx="8">
                  <c:v>66.907845509022494</c:v>
                </c:pt>
                <c:pt idx="9">
                  <c:v>1416.47535755136</c:v>
                </c:pt>
                <c:pt idx="10">
                  <c:v>4727.0912995798999</c:v>
                </c:pt>
                <c:pt idx="11">
                  <c:v>3225.2566342472401</c:v>
                </c:pt>
                <c:pt idx="12" formatCode="0.00_ ">
                  <c:v>18.970460586203199</c:v>
                </c:pt>
              </c:numCache>
            </c:numRef>
          </c:val>
        </c:ser>
        <c:ser>
          <c:idx val="4"/>
          <c:order val="4"/>
          <c:tx>
            <c:strRef>
              <c:f>'2.1+2.2'!$H$60</c:f>
              <c:strCache>
                <c:ptCount val="1"/>
                <c:pt idx="0">
                  <c:v>2025年</c:v>
                </c:pt>
              </c:strCache>
            </c:strRef>
          </c:tx>
          <c:spPr>
            <a:solidFill>
              <a:schemeClr val="accent5">
                <a:shade val="53333"/>
              </a:schemeClr>
            </a:solidFill>
            <a:ln>
              <a:noFill/>
            </a:ln>
            <a:effectLst/>
          </c:spPr>
          <c:invertIfNegative val="0"/>
          <c:cat>
            <c:strRef>
              <c:f>'2.1+2.2'!$C$61:$C$73</c:f>
              <c:strCache>
                <c:ptCount val="13"/>
                <c:pt idx="0">
                  <c:v>任城区</c:v>
                </c:pt>
                <c:pt idx="1">
                  <c:v>兖州区</c:v>
                </c:pt>
                <c:pt idx="2">
                  <c:v>曲阜市</c:v>
                </c:pt>
                <c:pt idx="3">
                  <c:v>邹城市</c:v>
                </c:pt>
                <c:pt idx="4">
                  <c:v>微山县</c:v>
                </c:pt>
                <c:pt idx="5">
                  <c:v>鱼台县</c:v>
                </c:pt>
                <c:pt idx="6">
                  <c:v>金乡县</c:v>
                </c:pt>
                <c:pt idx="7">
                  <c:v>嘉祥县</c:v>
                </c:pt>
                <c:pt idx="8">
                  <c:v>梁山县</c:v>
                </c:pt>
                <c:pt idx="9">
                  <c:v>汶上县</c:v>
                </c:pt>
                <c:pt idx="10">
                  <c:v>高新区</c:v>
                </c:pt>
                <c:pt idx="11">
                  <c:v>太白湖新区</c:v>
                </c:pt>
                <c:pt idx="12">
                  <c:v>经开区</c:v>
                </c:pt>
              </c:strCache>
            </c:strRef>
          </c:cat>
          <c:val>
            <c:numRef>
              <c:f>'2.1+2.2'!$H$61:$H$73</c:f>
              <c:numCache>
                <c:formatCode>General</c:formatCode>
                <c:ptCount val="13"/>
                <c:pt idx="0">
                  <c:v>5530.6142512414099</c:v>
                </c:pt>
                <c:pt idx="1">
                  <c:v>4766.5468970163702</c:v>
                </c:pt>
                <c:pt idx="2">
                  <c:v>2934.2632943158001</c:v>
                </c:pt>
                <c:pt idx="3">
                  <c:v>8699.5797882930601</c:v>
                </c:pt>
                <c:pt idx="4">
                  <c:v>5199.7717063415103</c:v>
                </c:pt>
                <c:pt idx="5">
                  <c:v>1037.04999496088</c:v>
                </c:pt>
                <c:pt idx="6">
                  <c:v>615.599541326642</c:v>
                </c:pt>
                <c:pt idx="7">
                  <c:v>1316.0170060733501</c:v>
                </c:pt>
                <c:pt idx="8">
                  <c:v>66.907845509022494</c:v>
                </c:pt>
                <c:pt idx="9">
                  <c:v>1431.29047886597</c:v>
                </c:pt>
                <c:pt idx="10">
                  <c:v>4732.6937492973502</c:v>
                </c:pt>
                <c:pt idx="11">
                  <c:v>3233.0826972273799</c:v>
                </c:pt>
                <c:pt idx="12" formatCode="0.00_ ">
                  <c:v>18.9704608478464</c:v>
                </c:pt>
              </c:numCache>
            </c:numRef>
          </c:val>
        </c:ser>
        <c:dLbls>
          <c:showLegendKey val="0"/>
          <c:showVal val="0"/>
          <c:showCatName val="0"/>
          <c:showSerName val="0"/>
          <c:showPercent val="0"/>
          <c:showBubbleSize val="0"/>
        </c:dLbls>
        <c:gapWidth val="219"/>
        <c:overlap val="-27"/>
        <c:axId val="194774568"/>
        <c:axId val="194774960"/>
      </c:barChart>
      <c:catAx>
        <c:axId val="19477456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eaVert"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crossAx val="194774960"/>
        <c:crosses val="autoZero"/>
        <c:auto val="1"/>
        <c:lblAlgn val="ctr"/>
        <c:lblOffset val="100"/>
        <c:noMultiLvlLbl val="0"/>
      </c:catAx>
      <c:valAx>
        <c:axId val="19477496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r>
                  <a:rPr lang="zh-CN" altLang="en-US" sz="110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rPr>
                  <a:t>单位：公顷</a:t>
                </a:r>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11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crossAx val="19477456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1"/>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2"/>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3"/>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egendEntry>
        <c:idx val="4"/>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Entry>
      <c:layout>
        <c:manualLayout>
          <c:xMode val="edge"/>
          <c:yMode val="edge"/>
          <c:x val="0.223990903922683"/>
          <c:y val="0.92397355601948505"/>
        </c:manualLayout>
      </c:layout>
      <c:overlay val="0"/>
      <c:spPr>
        <a:noFill/>
        <a:ln>
          <a:noFill/>
        </a:ln>
        <a:effectLst/>
      </c:spPr>
      <c:txPr>
        <a:bodyPr rot="0" spcFirstLastPara="0" vertOverflow="ellipsis" vert="horz" wrap="square" anchor="ctr" anchorCtr="1"/>
        <a:lstStyle/>
        <a:p>
          <a:pPr>
            <a:defRPr lang="zh-CN" sz="1100" b="0" i="0" u="none" strike="noStrike" kern="1200" baseline="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legend>
    <c:plotVisOnly val="1"/>
    <c:dispBlanksAs val="gap"/>
    <c:showDLblsOverMax val="0"/>
  </c:chart>
  <c:spPr>
    <a:solidFill>
      <a:schemeClr val="bg1"/>
    </a:solidFill>
    <a:ln w="9525" cap="flat" cmpd="sng" algn="ctr">
      <a:solidFill>
        <a:schemeClr val="tx1"/>
      </a:solidFill>
      <a:prstDash val="solid"/>
      <a:round/>
    </a:ln>
    <a:effectLst/>
  </c:spPr>
  <c:txPr>
    <a:bodyPr rot="0" vert="eaVert"/>
    <a:lstStyle/>
    <a:p>
      <a:pPr>
        <a:defRPr lang="zh-CN" sz="1100">
          <a:solidFill>
            <a:sysClr val="windowText" lastClr="000000"/>
          </a:solidFill>
          <a:latin typeface="黑体" panose="02010609060101010101" charset="-122"/>
          <a:ea typeface="黑体" panose="02010609060101010101" charset="-122"/>
          <a:cs typeface="黑体" panose="02010609060101010101" charset="-122"/>
          <a:sym typeface="黑体" panose="02010609060101010101" charset="-122"/>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43</Pages>
  <Words>14707</Words>
  <Characters>10940</Characters>
  <Application>Microsoft Office Word</Application>
  <DocSecurity>0</DocSecurity>
  <Lines>91</Lines>
  <Paragraphs>51</Paragraphs>
  <ScaleCrop>false</ScaleCrop>
  <Company>Lenovo</Company>
  <LinksUpToDate>false</LinksUpToDate>
  <CharactersWithSpaces>25596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2019-12-22T02:47:00Z</dcterms:created>
  <dc:creator>nizy</dc:creator>
  <cp:lastModifiedBy>user</cp:lastModifiedBy>
  <cp:lastPrinted>2022-06-27T23:11:00Z</cp:lastPrinted>
  <dcterms:modified xsi:type="dcterms:W3CDTF">2022-06-27T15:13:00Z</dcterms:modified>
  <cp:revision>3</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44AF8029CCE94BAEB0A8F925F484EAE6</vt:lpwstr>
  </property>
</Properties>
</file>