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仿宋简体" w:hAnsi="文星标宋" w:eastAsia="文星标宋" w:cs="文星标宋"/>
          <w:color w:val="FF0000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仿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仿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  <w:rPr>
          <w:rFonts w:ascii="方正仿宋简体" w:eastAsia="方正仿宋简体"/>
        </w:rPr>
      </w:pPr>
    </w:p>
    <w:p>
      <w:pPr>
        <w:spacing w:line="400" w:lineRule="exact"/>
        <w:jc w:val="center"/>
        <w:rPr>
          <w:rFonts w:ascii="方正仿宋简体" w:eastAsia="方正仿宋简体"/>
        </w:rPr>
      </w:pPr>
    </w:p>
    <w:p>
      <w:pPr>
        <w:jc w:val="center"/>
        <w:rPr>
          <w:rFonts w:ascii="方正仿宋简体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济政发〔2024〕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仿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仿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仿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仿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仿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关于办好202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年“重点民生实事”的通知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2024年市政府“重点民生实事”已经市十八届人大三次会议审议通过，现印发给你们，请认真抓好落实。</w:t>
      </w: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“重点民生实事”是市委、市政府向全市人民作出的庄严承诺，是深入践行“以人民为中心”发展思想的具体体现。全市各级各有关部门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、单位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要坚持人民至上，切实把办好“重点民生实事”项目作为本地区、本部门重中之重工作抓牢抓实，科学制定实施方案，量化任务目标，压实工作责任，合理把握时序，推动“重点民生实事”各项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任务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如期兑现，确保群众获得感更加充实、幸福感更有保障、安全感更可持续。市政府各位分管负责同志要对“重点民生实事”工作常抓不懈，纳入分管领域重点工作清单，每旬调度了解推进情况，每季度召开一次专题会议或开展一次专题调研，统筹解决好实施过程中的困难问题。各牵头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部门、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单位要认真做好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承办事项的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牵头抓总、组织协调、信息汇总等工作，严格执行“212”工作法，将实事任务纳入重点工作台账每周更新，每周召开例会研究全力推进，每月向市政府督查室报送工作进展情况。各协办单位要认真履职、通力协作，共同抓好民生实事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各项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工作。市政府督查室要发挥好督促检查和综合协调作用，建立工作台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账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，强化一线督导，及时掌握进展情况，协调解决困难问题，确保项目顺利实施、按时完成。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附件：2024年市政府“重点民生实事”汇总表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43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ind w:firstLine="643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2024年1月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27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    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（此件公开发布）</w:t>
      </w:r>
    </w:p>
    <w:p>
      <w:pPr>
        <w:rPr>
          <w:rFonts w:ascii="方正仿宋简体" w:eastAsia="方正仿宋简体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418" w:bottom="1191" w:left="1588" w:header="0" w:footer="1418" w:gutter="0"/>
          <w:pgNumType w:fmt="numberInDash"/>
          <w:cols w:space="425" w:num="1"/>
          <w:docGrid w:type="lines" w:linePitch="628" w:charSpace="0"/>
        </w:sectPr>
      </w:pPr>
    </w:p>
    <w:p>
      <w:pPr>
        <w:spacing w:line="400" w:lineRule="exact"/>
        <w:jc w:val="left"/>
        <w:rPr>
          <w:rFonts w:ascii="方正仿宋简体" w:eastAsia="方正黑体简体"/>
          <w:b/>
          <w:bCs/>
          <w:color w:val="000000"/>
          <w:sz w:val="32"/>
          <w:szCs w:val="32"/>
        </w:rPr>
      </w:pPr>
      <w:r>
        <w:rPr>
          <w:rFonts w:ascii="方正仿宋简体" w:eastAsia="方正黑体简体"/>
          <w:b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2024年市政府“重点民生实事”汇总表</w:t>
      </w:r>
    </w:p>
    <w:tbl>
      <w:tblPr>
        <w:tblStyle w:val="4"/>
        <w:tblW w:w="14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28"/>
        <w:gridCol w:w="8481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黑体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黑体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黑体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实施内容及工作目标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黑体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hAnsi="方正仿宋简体" w:eastAsia="方正楷体简体" w:cs="方正仿宋简体"/>
                <w:b/>
                <w:color w:val="000000"/>
                <w:sz w:val="28"/>
                <w:szCs w:val="28"/>
              </w:rPr>
              <w:t>一、老年人保障方面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改造2000户困难老年人家庭设施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2024年计划免费对2000户失能经济困难老年人家庭进行适老化和智能化改造，方便失能经济困难老年人生活。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pacing w:val="-23"/>
                <w:sz w:val="28"/>
                <w:szCs w:val="28"/>
              </w:rPr>
            </w:pPr>
            <w:r>
              <w:rPr>
                <w:rFonts w:ascii="方正仿宋简体" w:eastAsia="方正楷体简体"/>
                <w:b/>
                <w:bCs/>
                <w:color w:val="000000"/>
                <w:spacing w:val="-23"/>
                <w:sz w:val="28"/>
                <w:szCs w:val="28"/>
              </w:rPr>
              <w:t>（黑体字为牵头单位，下同）</w:t>
            </w:r>
          </w:p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为8200名独居老人安装火灾探测报警器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2024年计划免费为8200名独居且行动不便瘫痪在床的老人安装火灾探测报警器，提升独居老人安全保障能力。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市消防救援支队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建设200处老年人食堂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2024年新建200处老年人食堂，缓解老年群体用餐难问题。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增加社区养老服务设施200处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2024年计划增加提升社区养老服务设施200处以上，开展养老服务从业人员培训3000人次以上，更好满足老年人的养老需求</w:t>
            </w:r>
            <w:r>
              <w:rPr>
                <w:rFonts w:hint="default" w:ascii="方正仿宋简体" w:eastAsia="方正仿宋简体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缓解家庭养老压力，持续提升养老服务质量</w:t>
            </w:r>
            <w:r>
              <w:rPr>
                <w:rFonts w:hint="default" w:ascii="方正仿宋简体" w:eastAsia="方正仿宋简体"/>
                <w:b/>
                <w:color w:val="000000"/>
                <w:sz w:val="28"/>
                <w:szCs w:val="28"/>
              </w:rPr>
              <w:t>和水平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方正楷体简体" w:hAnsi="方正仿宋简体" w:eastAsia="方正楷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hAnsi="方正仿宋简体" w:eastAsia="方正楷体简体" w:cs="方正仿宋简体"/>
                <w:b/>
                <w:color w:val="000000"/>
                <w:sz w:val="28"/>
                <w:szCs w:val="28"/>
              </w:rPr>
              <w:t>二、优生优育方面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免费开展孕妇外周血胎儿游离DNA产前筛查和产前诊断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按照“应检尽检、愿检尽检”原则，对符合要求且个人自愿的孕妇免费进行孕妇外周血胎儿游离DNA产前筛查，筛查21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三体综合征（唐氏综合征）、18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三体综合征和13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三体综合征三种常见染色体数目异常疾病；对符合条件需要产前诊断的孕妇免费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进行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羊水细胞染色体核型分析，分析所有染色体数目异常和染色体大片段结构异常，预防染色体疾病，提高出生人口健康水平。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丰富托位供给降低托育费用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1. 丰富托育服务供给。年内新增托位7000个，其中社区托位2000个以上。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2. 建设50家以上的单位托育机构，鼓励有条件的单位托育机构向附近居民开放。支持托育机构推行临时托、小时托等服务模式。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3. 降低托育费用，减轻家庭入托负担。结合家庭入托补贴，2024年在充分调研、价格测算的基础上，对乳儿班、托小班、托大班、混龄班托育费用再下调，确保家庭托育支出不高于全省平均。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4. 依托济宁卫校等有资质的培训机构，开展继续教育培训3000人次、职业资格培训2000人次，提高托育服务人员专业素质和技能水平。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市托育指挥部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市发展改革委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市人力资源社会保障局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市市场监管局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方正楷体简体" w:hAnsi="方正仿宋简体" w:eastAsia="方正楷体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hAnsi="方正仿宋简体" w:eastAsia="方正楷体简体" w:cs="方正仿宋简体"/>
                <w:b/>
                <w:color w:val="000000"/>
                <w:sz w:val="28"/>
                <w:szCs w:val="28"/>
              </w:rPr>
              <w:t>三、教育服务方面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新增普通高中招生计划10000个以上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2024年新增普通高中招生计划10000个以上，全市普通高中录取率达到62%，高于全省平均水平。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开展中小学生心理辅导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2024年培训中小学专兼职心理辅导教师2000人次以上；对小学高年级及初中、高中段学生每学期开展1次心理辅导筛查，对重点学生建立档案、实时关注，全力保障学生心理健康。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新增公办幼儿园学位6000个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2024年计划新增公办幼儿园学位6000个，全市幼儿园公办率提高到70%以上。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黑体简体"/>
                <w:b/>
                <w:bCs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四、交通出行方面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中心城区早晚高峰免费乘坐公交车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1. 在济宁市中心城区（任城区、兖州区、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济宁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高新区、太白湖新区、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济宁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经开区）继续实行“早晚高峰免费乘公交”政策，引导市民公交出行，改善城区交通拥堵，推进城市绿色低碳发展。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2. 结合城市发展和客流需求，优化调整城区公交线网，构建“快干支微”多层次线网结构。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市交通运输局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兖州区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市公交集团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济宁交运集团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正义公交公司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兖州公交公司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建设700公里四好农村路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继续完善提升农村地区道路，持续改善农村地区交通出行条件，2024年计划完成新改建四好农村路700公里。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市交通运输局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市农业农村局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方便群众新能源汽车充电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1. 在全市乡村领域推进电动汽车充电基础设施建设，实现107个乡镇充电站全覆盖，助力新能源汽车下乡。2024年</w:t>
            </w:r>
            <w:bookmarkStart w:id="3" w:name="_Hlk155198760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新建公共充电桩4500台，</w:t>
            </w:r>
            <w:bookmarkEnd w:id="3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全市公共充电桩达到1.6万台、快充桩比例达到40%。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2. 全市建成示范站12个。在主城区打造2—3个一体化的综合服务示范充电站服务网约车和广大市民群众，提供充电、餐饮、休闲一体化服务。其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参照主城区模式，每个县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至少建设1个综合服务示范充电站。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3. 建设市县一体的智慧停车充电管理服务平台。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市能源局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市发展改革委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pacing w:val="0"/>
                <w:sz w:val="28"/>
                <w:szCs w:val="28"/>
              </w:rPr>
              <w:t>市住房城乡建设局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市城市管理局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市农业农村局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市行政审批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市大数据中心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国网济宁</w:t>
            </w: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供电公司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</w:rPr>
              <w:t>济宁城投控股集团有限公司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五、社区服务方面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提升社区物业管理服务能力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1. 2024年计划完成物业企业项目经理培训2000人次、物业服务从业人员培训20000人次，加大对县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物业主管部门、监管部门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街道社区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物业管理部门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、业委会（物管会）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业务培训。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2. 试点社区“两委”成员与物业服务项目负责人“双向进入、交叉任职”，选树100个物管小区，推动社区“两委”成员担任小区物业服务兼职总监，符合条件的小区物业项目负责人担任社区“两委”兼职委员，并将交叉任职人员、业主委员会成员等信息向小区居民公示，推进物业管理服务进一步融入基层社会治理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3. 开展物业合同专项整治行动，规范物业合同履约行为。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4. 推广“有事‘码’上说，我们马上办”家门口服务模式，高效处理群众投诉。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3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5G网络深度覆盖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2024年计划建成200个以上小区（单位）通信设施，网络覆盖面积40万平方米以上，着力解决部分小区（单位）地下停车场、电梯间未实现5G网络信号深度覆盖的问题。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工业和信息化局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市自然资源和规划局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市交通运输局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市文化和旅游局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市行政审批服务局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市国资委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市市场监管局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市体育局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市机关事务中心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eastAsia="zh-CN"/>
              </w:rPr>
              <w:t>国网济宁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供电公司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济宁铁塔公司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济宁移动公司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济宁联通公司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济宁电信公司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pacing w:val="-17"/>
                <w:sz w:val="28"/>
                <w:szCs w:val="28"/>
              </w:rPr>
              <w:t>广电山东网络济宁分公司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六、文化服务方面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送戏下乡文化惠民演出9000场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充分发挥各类公共文化设施、文化文艺团队作用，2024年开展送戏下乡文化惠民演出不少于9000场，实现行政村（社区）全覆盖。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市文化和旅游局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举办群众文</w:t>
            </w:r>
            <w:r>
              <w:rPr>
                <w:rFonts w:hint="eastAsia" w:ascii="方正仿宋简体" w:eastAsia="方正仿宋简体"/>
                <w:b/>
                <w:color w:val="000000"/>
                <w:spacing w:val="-12"/>
                <w:sz w:val="28"/>
                <w:szCs w:val="28"/>
              </w:rPr>
              <w:t>化活动10000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场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实施“文化活动惠民生”行动，2024年举办10000场群众乐于参与、便于参与的文化活动，丰富群众文化生活。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市文化和旅游局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七、医疗健康方面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提升乡村医疗服务能力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2024年全市计划打造10所县域医疗服务次中心，按照省级标准新建100家中心村卫生室，全力保障乡镇卫生院和村卫生室建设，促进乡村医疗卫生体系健康发展。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中医药参与高血压健康服务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发挥国家区域医疗中心建设项目辐射作用，用好西苑医院顶尖心血管疾病优质医疗资源，打造市级高血压专病医（共）联体和区域高血压防治中心。建成市级高血压中西医结合诊疗会诊中心，建立“济宁样板”高血压健康管理数据库，打造“儒医”中医药便民服务平台。加强“县乡村”三级专业技术人员培训，引领县级中医院建立中西医高血压诊疗中心，支持乡镇卫生院（社区卫生服务中心）建立中医药干预高血压基层工作站，搭建城乡一体化中医药高血压防控网络，推广中西医结合式高血压健康技术方案。年内建立10家县级、60家镇级高血压健康服务次中心，提升中医药参与高血压健康服务的能力和水平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深入推进居民长期护理保险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加快形成“医养康护”相结合的新型服务模式，深入推进居民长期护理试点工作，为符合条件的失能或半失能参保居民提供长期护理服务，2024年覆盖约650万人。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黑体简体"/>
                <w:b/>
                <w:bCs/>
                <w:sz w:val="28"/>
                <w:szCs w:val="28"/>
              </w:rPr>
              <w:t>市医保局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八、群众就业方面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实现城镇新增就业6.1万人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更加突出就业优先导向，进一步优化调整稳就业政策措施，2024年全市实现城镇新增就业6.1万人以上，推动就业与经济发展良性互动。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color w:val="000000"/>
                <w:spacing w:val="-6"/>
                <w:sz w:val="28"/>
                <w:szCs w:val="28"/>
              </w:rPr>
              <w:t>市人力资源社会保障局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市财政局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pacing w:val="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盲人按摩就业培训500名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实施盲人按摩就业培训三年行动计划，2024年计划为500名就业年龄段有就业需求的视力残疾人开展盲人按摩培训实训，帮助盲人就业创业。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市残联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pacing w:val="-6"/>
                <w:sz w:val="28"/>
                <w:szCs w:val="28"/>
              </w:rPr>
              <w:t>市人力资源社会保障局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市财政局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九、困难群众救助方面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提高困难群众救助保障标准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继续提高困难群众救助保障标准。其中城市低保标准比上年提高7.5%，农村低保标准比上年提高9.5%；城市特困人员基本生活标准、孤困儿童基本生活保障标准、残疾人“两项补贴”标准均比上年提高7.5%，农村特困人员基本生活标准比上年提高9.5%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加强困难群众急难救助保障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持续擦亮“济时救”品牌，对患重特大疾病或因意外事件导致基本生活出现严重困难，经现行社会救助制度救助之后仍有困难的群众实施救助，缓解困难群众的重特大急难救助需求，进一步健全完善救助保障网络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十、儿童守护方面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为4000名残疾儿童开展康复救助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2024年计划为4000名符合条件的残疾儿童、孤独症儿童提供手术治疗、康复训练、辅助器具适配等救助，减轻残疾儿童家庭康复照护负担。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市残联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市财政局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市教育局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市民政局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市医保局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市市场监管局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十一、城市功能提升方面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建设101个口袋公园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通过拆迁建园、绿地改园、拆墙透园和见缝插园等方式，2024年全市计划实施新建、改建口袋公园101个，不断提升城市功能。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eastAsia="方正黑体简体"/>
                <w:b/>
                <w:color w:val="000000"/>
                <w:sz w:val="28"/>
                <w:szCs w:val="28"/>
              </w:rPr>
              <w:t>城市管理局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十二、体育运动方面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体育基础设施提升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bookmarkStart w:id="4" w:name="_Hlk155199934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按照应配尽配的原则，</w:t>
            </w:r>
            <w:bookmarkEnd w:id="4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为尚未配备健身设施的社区进行配装，对损坏的设施进行修缮，确保设施的正常使用。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打造</w:t>
            </w:r>
            <w:bookmarkStart w:id="5" w:name="_Hlk155282377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室外连片综合健身区和室内健身综合体</w:t>
            </w:r>
            <w:bookmarkEnd w:id="5"/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处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其中，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城区</w:t>
            </w:r>
            <w:bookmarkStart w:id="6" w:name="_Hlk155199945"/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32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处</w:t>
            </w:r>
            <w:bookmarkEnd w:id="6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（任城区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兖州区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10处，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济宁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高新区、太白湖新区、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济宁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经开区各4处），其他县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各2处。打造“15分钟健身圈”，实现全市经常参加体育锻炼人数比例达到44%左右，人均体育场地面积达到3.5平方米。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市体育局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十三、农村供水保障方面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农村供水工程维修养护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计划实施旧管网、水表等村内供水设施改造220个村，实施水泵更换、消毒设备更新、蝶阀更换、水质检测药品购置等农村供水维修养护项目77处，确保建成的农村饮水安全工程长期化、常态化发挥效益，切实保障农村群众饮水安全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市城乡水务局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06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/>
                <w:color w:val="000000"/>
                <w:sz w:val="28"/>
                <w:szCs w:val="28"/>
              </w:rPr>
              <w:t>十四、安全方面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开展道路交通安全隐患大排查大整治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建立隐患动态排查整改工作机制，对2024年重点隐患路段及2023年以来我市因交通事故死亡3人以上的23条事故多发路段深入开展精准排查整治。定期对“人、车、路、企”全要素分析</w:t>
            </w:r>
            <w:r>
              <w:rPr>
                <w:rFonts w:hint="default" w:ascii="方正仿宋简体" w:eastAsia="方正仿宋简体"/>
                <w:b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动态监管，对道路交通事故易发多发点段进行全面排查</w:t>
            </w:r>
            <w:r>
              <w:rPr>
                <w:rFonts w:hint="default" w:ascii="方正仿宋简体" w:eastAsia="方正仿宋简体"/>
                <w:b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挂牌整治。在23条事故多发路段，新增信号机5台，黄闪警示灯、行人信号灯30套，电警抓拍设备27套，各类标志119面，减速带39条，爆闪灯92个。通过隐患整改在全市范围内创建交通安全示范国省道路段4条、县乡道</w:t>
            </w:r>
            <w:bookmarkStart w:id="7" w:name="_Hlk155203359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路段</w:t>
            </w:r>
            <w:bookmarkEnd w:id="7"/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</w:rPr>
              <w:t>6条</w:t>
            </w: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市交警支队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市交通运输局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pacing w:val="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市城市管理局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市文化和旅游局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市应急局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pacing w:val="0"/>
                <w:w w:val="100"/>
                <w:sz w:val="28"/>
                <w:szCs w:val="28"/>
              </w:rPr>
              <w:t>市公路事业发展中心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开展万部电梯深度抽检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开展“万部电梯深度抽检”专项行动，组织电梯检验专家</w:t>
            </w:r>
            <w:bookmarkStart w:id="9" w:name="_GoBack"/>
            <w:bookmarkEnd w:id="9"/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重点抽取故障率高、群众投诉集中的电梯，检查电梯机房、轿顶、轿厢、地坑等关键部位</w:t>
            </w:r>
            <w:r>
              <w:rPr>
                <w:rFonts w:hint="default" w:ascii="方正仿宋简体" w:eastAsia="方正仿宋简体"/>
                <w:b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钢丝绳、滑块、五方通话、防夹门光幕等隐患易发部件。全市现有乘客电梯49895台，2024年计划在做好日常检修维护的基础上，深度抽检不低于10000台，及时排查消除安全隐患，降低电梯运行故障率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提高电梯运行稳定性、可靠性、舒适性，实现电梯安全管理水平和电梯维保质量水平双提升。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eastAsia="方正黑体简体"/>
                <w:b/>
                <w:bCs/>
                <w:color w:val="000000"/>
                <w:sz w:val="28"/>
                <w:szCs w:val="28"/>
              </w:rPr>
              <w:t>市场监管</w:t>
            </w: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9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实施政府灾害民生综合保险项目</w:t>
            </w:r>
          </w:p>
        </w:tc>
        <w:tc>
          <w:tcPr>
            <w:tcW w:w="8481" w:type="dxa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2024年，我市继续按照每人2元、每户2元的标准，为全市居民购买政府灾害民生综合保险。在全省统一实施方案基础上，保障范围</w:t>
            </w:r>
            <w:r>
              <w:rPr>
                <w:rFonts w:hint="default" w:ascii="方正仿宋简体" w:eastAsia="方正仿宋简体"/>
                <w:b/>
                <w:color w:val="000000"/>
                <w:sz w:val="28"/>
                <w:szCs w:val="28"/>
              </w:rPr>
              <w:t>由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6类增加</w:t>
            </w:r>
            <w:r>
              <w:rPr>
                <w:rFonts w:hint="default" w:ascii="方正仿宋简体" w:eastAsia="方正仿宋简体"/>
                <w:b/>
                <w:color w:val="000000"/>
                <w:sz w:val="28"/>
                <w:szCs w:val="28"/>
              </w:rPr>
              <w:t>至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12类；居民人身伤亡救助金限额由每人15万元提高至20万元（包括每人医疗费用限额10万元）；居民倒损房屋救助金限额由每户5万元提高至10万元；对在灾害发生期间，因见义勇为、参与抢险救灾、应急救援或因查灾核灾导致死亡、伤残的，救助金限额由每人25万元提高至30万元（包括每人医疗费用限额15万元）。降低灾害事故对群众生命财产造成的损失，提高全市防灾减灾救灾能力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黑体简体"/>
                <w:b/>
                <w:bCs/>
                <w:color w:val="000000"/>
                <w:sz w:val="28"/>
                <w:szCs w:val="28"/>
              </w:rPr>
              <w:t>市应急局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市财政局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市地方金融监管局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</w:rPr>
              <w:t>金融监管总局济宁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  <w:lang w:eastAsia="zh-CN"/>
              </w:rPr>
              <w:t>监管</w:t>
            </w:r>
            <w:r>
              <w:rPr>
                <w:rFonts w:ascii="方正仿宋简体" w:eastAsia="方正仿宋简体"/>
                <w:b/>
                <w:bCs/>
                <w:color w:val="000000"/>
                <w:spacing w:val="-23"/>
                <w:sz w:val="28"/>
                <w:szCs w:val="28"/>
              </w:rPr>
              <w:t>分局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市公安局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市自然资源和规划局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市卫生健康委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市城乡水务局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防震减灾中心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市气象局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方正仿宋简体" w:eastAsia="方正仿宋简体"/>
                <w:b/>
                <w:bCs/>
                <w:color w:val="000000"/>
                <w:sz w:val="28"/>
                <w:szCs w:val="28"/>
              </w:rPr>
              <w:t>各县市区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政府（管委会）</w:t>
            </w:r>
          </w:p>
        </w:tc>
      </w:tr>
    </w:tbl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20" w:lineRule="exact"/>
        <w:outlineLvl w:val="0"/>
        <w:rPr>
          <w:rFonts w:hint="eastAsia" w:ascii="方正仿宋简体" w:eastAsia="方正小标宋简体"/>
          <w:b/>
          <w:color w:val="000000"/>
          <w:sz w:val="44"/>
          <w:szCs w:val="44"/>
        </w:rPr>
      </w:pPr>
    </w:p>
    <w:p>
      <w:pPr>
        <w:spacing w:line="40" w:lineRule="exact"/>
        <w:ind w:firstLine="640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134" w:right="1134" w:bottom="1134" w:left="1701" w:header="0" w:footer="567" w:gutter="0"/>
          <w:pgNumType w:fmt="numberInDash"/>
          <w:cols w:space="425" w:num="1"/>
          <w:docGrid w:type="linesAndChars" w:linePitch="628" w:charSpace="0"/>
        </w:sect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仿宋简体" w:hAnsi="文星黑体" w:eastAsia="方正小标宋简体" w:cs="方正小标宋简体"/>
          <w:b/>
          <w:color w:val="000000"/>
        </w:rPr>
      </w:pPr>
      <w:r>
        <w:rPr>
          <w:rFonts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8" w:name="主题词"/>
      <w:bookmarkEnd w:id="8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文星仿宋" w:eastAsia="方正仿宋简体" w:cs="方正仿宋简体"/>
          <w:b/>
          <w:spacing w:val="-6"/>
          <w:sz w:val="28"/>
          <w:szCs w:val="28"/>
          <w:lang w:bidi="ar"/>
        </w:rPr>
        <w:t>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-6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4" w:firstLineChars="4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各民主党派市委会（党总支），市工商联。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284" w:firstLineChars="8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4384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2024年1月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9" w:type="default"/>
      <w:footerReference r:id="rId10" w:type="default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eastAsia="方正仿宋简体"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eastAsia="方正仿宋简体" w:asciiTheme="minorEastAsia" w:hAnsiTheme="minorEastAsia"/>
            <w:b/>
            <w:sz w:val="28"/>
            <w:szCs w:val="28"/>
          </w:rPr>
        </w:pP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begin"/>
        </w:r>
        <w:r>
          <w:rPr>
            <w:rFonts w:eastAsia="方正仿宋简体"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eastAsia="方正仿宋简体"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eastAsia="方正仿宋简体"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eastAsia="方正仿宋简体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eastAsia="方正仿宋简体"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eastAsia="方正仿宋简体" w:asciiTheme="minorEastAsia" w:hAnsiTheme="minorEastAsia"/>
            <w:b/>
            <w:sz w:val="28"/>
            <w:szCs w:val="28"/>
          </w:rPr>
        </w:pP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begin"/>
        </w:r>
        <w:r>
          <w:rPr>
            <w:rFonts w:eastAsia="方正仿宋简体"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eastAsia="方正仿宋简体"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eastAsia="方正仿宋简体"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eastAsia="方正仿宋简体"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方正仿宋简体" w:asciiTheme="minorEastAsia" w:hAnsiTheme="minorEastAsia"/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leftMargin">
                <wp:posOffset>691515</wp:posOffset>
              </wp:positionH>
              <wp:positionV relativeFrom="margin">
                <wp:posOffset>5441950</wp:posOffset>
              </wp:positionV>
              <wp:extent cx="510540" cy="2183130"/>
              <wp:effectExtent l="0" t="0" r="0" b="0"/>
              <wp:wrapNone/>
              <wp:docPr id="57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inorEastAsia" w:hAnsiTheme="minorEastAsia" w:eastAsiaTheme="min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ajorBidi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b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Theme="minorEastAsia" w:hAnsiTheme="minorEastAsia" w:eastAsiaTheme="min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54.45pt;margin-top:485.2pt;height:171.9pt;width:40.2pt;mso-position-horizontal-relative:page;mso-position-vertical-relative:page;z-index:251662336;v-text-anchor:middle;mso-width-relative:page;mso-height-relative:page;" filled="f" stroked="f" coordsize="21600,21600" o:allowincell="f" o:gfxdata="UEsFBgAAAAAAAAAAAAAAAAAAAAAAAFBLAwQKAAAAAACHTuJAAAAAAAAAAAAAAAAABAAAAGRycy9Q SwMEFAAAAAgAh07iQOOeXSbZAAAADAEAAA8AAABkcnMvZG93bnJldi54bWxNjz1PwzAQhnck/oN1 SGzUDghI0zgVIKqiSgxtWbq58RFHxOcodtP233OdYLtX9+j9KOcn34kRh9gG0pBNFAikOtiWGg1f 28VdDiImQ9Z0gVDDGSPMq+ur0hQ2HGmN4yY1gk0oFkaDS6kvpIy1Q2/iJPRI/PsOgzeJ5dBIO5gj m/tO3iv1JL1piROc6fHNYf2zOXgNr8sYPsfwvl6+7D6cH8/ZdhUXWt/eZGoGIuEp/cFwqc/VoeJO +3AgG0XHWuVTRjXkj8886kLk0wcQez44OQdZlfL/iOoXUEsDBBQAAAAIAIdO4kAgSxIvBAIAAPQD AAAOAAAAZHJzL2Uyb0RvYy54bWytU0uOEzEQ3SNxB8t70ul8YGilMxpNFIQ0wEgDB3Dc7rRF22XK TrpzGiR2HILjIK5B2Z2EMGxmwcZyuexX770qL65707K9Qq/BljwfjTlTVkKl7bbknz6uX1xx5oOw lWjBqpIflOfXy+fPFp0r1AQaaCuFjECsLzpX8iYEV2SZl40ywo/AKUvJGtCIQCFuswpFR+imzSbj 8cusA6wcglTe0+lqSPIjIj4FEOpaS7UCuTPKhgEVVSsCSfKNdp4vE9u6VjJ8qGuvAmtLTkpDWqkI 7TdxzZYLUWxRuEbLIwXxFAqPNBmhLRU9Q61EEGyH+h8ooyWChzqMJJhsEJIcIRX5+JE3D41wKmkh q707m+7/H6x8v79HpquSz19NOLPCUMt/ff3+88c3No3udM4XdOnB3WPU590dyM+eWbhthN2qG0To GiUq4pTH+9lfD2Lg6SnbdO+gImixC5CM6ms0EZAsYH3qx+HcD9UHJulwno/nM+qUpNQkv5rm09Sw TBSn1w59eKPAsLgpOVK/E7rY3/kQ2YjidCUWs7DWbXtiGYkNAkO/6Y9aN1AdiC/CMCr0UWgTV846 GpOS+y87gYqz9q0lza/zWWQYUjAjDynAy8zmMiOsbICmTwbkbAhuwzCNO4d621CtPAnw7oacWusk Iro48Dr6S8OQtB0HN07bZZxu/fmsy99QSwMECgAAAAAAh07iQAAAAAAAAAAAAAAAAAYAAABfcmVs cy9QSwMEFAAAAAgAh07iQIoUZjzRAAAAlAEAAAsAAABfcmVscy8ucmVsc6WQwWrDMAyG74O9g9F9 cZrDGKNOL6PQa+kewNiKYxpbRjLZ+vbzDoNl9LajfqHvE//+8JkWtSJLpGxg1/WgMDvyMQcD75fj 0wsoqTZ7u1BGAzcUOIyPD/szLra2I5ljEdUoWQzMtZZXrcXNmKx0VDC3zUScbG0jB12su9qAeuj7 Z82/GTBumOrkDfDJD6Aut9LMf9gpOiahqXaOkqZpiu4eVQe2ZY7uyDbhG7lGsxywGvAsGgdqWdd+ BH1fv/un3tNHPuO61X6HjOuPV2+6HL8AUEsDBBQAAAAIAIdO4kB+5uUg9wAAAOEBAAATAAAAW0Nv bnRlbnRfVHlwZXNdLnhtbJWRQU7DMBBF90jcwfIWJU67QAgl6YK0S0CoHGBkTxKLZGx5TGhvj5O2 G0SRWNoz/78nu9wcxkFMGNg6quQqL6RA0s5Y6ir5vt9lD1JwBDIwOMJKHpHlpr69KfdHjyxSmriS fYz+USnWPY7AufNIadK6MEJMx9ApD/oDOlTrorhX2lFEilmcO2RdNtjC5xDF9pCuTyYBB5bi6bQ4 syoJ3g9WQ0ymaiLzg5KdCXlKLjvcW893SUOqXwnz5DrgnHtJTxOsQfEKIT7DmDSUCayM+6KAU/53 yWw5cuba1mrMm8BNir3hdLG61o5r1zj93/Ltkrp0q+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WAAAAZHJzL1BLAQIUABQAAAAIAIdO4kDjnl0m2QAAAAwB AAAPAAAAAAAAAAEAIAAAADgAAABkcnMvZG93bnJldi54bWxQSwECFAAUAAAACACHTuJAIEsSLwQC AAD0AwAADgAAAAAAAAABACAAAAA+AQAAZHJzL2Uyb0RvYy54bWxQSwUGAAAAAAYABgBZAQAAtAUA AAAA 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Theme="minorEastAsia" w:hAnsiTheme="minorEastAsia" w:eastAsiaTheme="min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ajorBidi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b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Theme="minorEastAsia" w:hAnsiTheme="minorEastAsia" w:eastAsiaTheme="min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1" w:firstLineChars="100"/>
      <w:rPr>
        <w:rFonts w:eastAsia="方正仿宋简体" w:asciiTheme="minorEastAsia" w:hAnsiTheme="minorEastAsia"/>
        <w:b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方正仿宋简体" w:asciiTheme="minorEastAsia" w:hAnsiTheme="minorEastAsia"/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440904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leftMargin">
                    <wp:posOffset>672465</wp:posOffset>
                  </wp:positionH>
                  <wp:positionV relativeFrom="margin">
                    <wp:posOffset>31750</wp:posOffset>
                  </wp:positionV>
                  <wp:extent cx="510540" cy="2183130"/>
                  <wp:effectExtent l="0" t="0" r="0" b="0"/>
                  <wp:wrapNone/>
                  <wp:docPr id="5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14 -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2.95pt;margin-top:59.2pt;height:171.9pt;width:40.2pt;mso-position-horizontal-relative:page;mso-position-vertical-relative:page;z-index:251663360;v-text-anchor:middle;mso-width-relative:page;mso-height-relative:page;" filled="f" stroked="f" coordsize="21600,21600" o:allowincell="f" o:gfxdata="UEsFBgAAAAAAAAAAAAAAAAAAAAAAAFBLAwQKAAAAAACHTuJAAAAAAAAAAAAAAAAABAAAAGRycy9Q SwMEFAAAAAgAh07iQEIg6KPYAAAACQEAAA8AAABkcnMvZG93bnJldi54bWxNj8FOwzAQRO9I/IO1 SNyoHUqrEOJUgKiKKnFoy4WbGy9xRLyOYjdt/57tCY6jGc28KRcn34kRh9gG0pBNFAikOtiWGg2f u+VdDiImQ9Z0gVDDGSMsquur0hQ2HGmD4zY1gksoFkaDS6kvpIy1Q2/iJPRI7H2HwZvEcmikHcyR y30n75WaS29a4gVnenx1WP9sD17DyyqGjzG8bVbPX+/Oj+dst45LrW9vMvUEIuEp/YXhgs/oUDHT PhzIRtGxVrNHjmqY8aWLn8+nIPYapg95DrIq5f8H1S9QSwMEFAAAAAgAh07iQEMtBrMEAgAA8gMA AA4AAABkcnMvZTJvRG9jLnhtbK1TS44TMRDdI3EHy3vS6XxgaKUzGk0UhDTASAMHcNzutEXbZcpO unMaJHYcguMgrkHZnYQwbGbBxnK57FfvvSovrnvTsr1Cr8GWPB+NOVNWQqXttuSfPq5fXHHmg7CV aMGqkh+U59fL588WnSvUBBpoK4WMQKwvOlfyJgRXZJmXjTLCj8ApS8ka0IhAIW6zCkVH6KbNJuPx y6wDrByCVN7T6WpI8iMiPgUQ6lpLtQK5M8qGARVVKwJJ8o12ni8T27pWMnyoa68Ca0tOSkNaqQjt N3HNlgtRbFG4RssjBfEUCo80GaEtFT1DrUQQbIf6HyijJYKHOowkmGwQkhwhFfn4kTcPjXAqaSGr vTub7v8frHy/v0emq5LPObPCUMN/ff3+88c3No3edM4XdOXB3WNU590dyM+eWbhthN2qG0ToGiUq YpTH+9lfD2Lg6SnbdO+gImixC5Bs6ms0EZAMYH3qxuHcDdUHJulwno/nM+qTpNQkv5rm09SuTBSn 1w59eKPAsLgpOVK3E7rY3/kQ2YjidCUWs7DWbXtiGYkNAkO/6Y9aN1AdiC/CMCj0TWgTV846GpKS +y87gYqz9q0lza/zWWQYUjCbv5pQgJeZzWVGWNkAzZ4MyNkQ3IZhFncO9bahWnkS4N0NObXWSUR0 ceB19JdGIWk7jm2ctcs43frzVZe/AVBLAwQKAAAAAACHTuJAAAAAAAAAAAAAAAAABgAAAF9yZWxz L1BLAwQUAAAACACHTuJAihRmPNEAAACUAQAACwAAAF9yZWxzLy5yZWxzpZDBasMwDIbvg72D0X1x msMYo04vo9Br6R7A2IpjGltGMtn69vMOg2X0tqN+oe8T//7wmRa1IkukbGDX9aAwO/IxBwPvl+PT CyipNnu7UEYDNxQ4jI8P+zMutrYjmWMR1ShZDMy1lletxc2YrHRUMLfNRJxsbSMHXay72oB66Ptn zb8ZMG6Y6uQN8MkPoC630sx/2Ck6JqGpdo6SpmmK7h5VB7Zlju7INuEbuUazHLAa8CwaB2pZ134E fV+/+6fe00c+47rVfoeM649Xb7ocvwBQSwMEFAAAAAgAh07iQH7m5SD3AAAA4QEAABMAAABbQ29u dGVudF9UeXBlc10ueG1slZFBTsMwEEX3SNzB8hYlTrtACCXpgrRLQKgcYGRPEotkbHlMaG+Pk7Yb RJFY2jP/vye73BzGQUwY2Dqq5CovpEDSzljqKvm+32UPUnAEMjA4wkoekeWmvr0p90ePLFKauJJ9 jP5RKdY9jsC580hp0rowQkzH0CkP+gM6VOuiuFfaUUSKWZw7ZF022MLnEMX2kK5PJgEHluLptDiz KgneD1ZDTKZqIvODkp0JeUouO9xbz3dJQ6pfCfPkOuCce0lPE6xB8QohPsOYNJQJrIz7ooBT/nfJ bDly5trWasybwE2KveF0sbrWjmvXOP3f8u2SunSr5YPqb1BLAQIUABQAAAAIAIdO4kB+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EIg6KPYAAAACQEA AA8AAAAAAAAAAQAgAAAAOAAAAGRycy9kb3ducmV2LnhtbFBLAQIUABQAAAAIAIdO4kBDLQazBAIA APIDAAAOAAAAAAAAAAEAIAAAAD0BAABkcnMvZTJvRG9jLnhtbFBLBQYAAAAABgAGAFkBAACzBQAA AAA= 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2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14 -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1" w:edit="readOnly" w:salt="E9AjGpcCB0xX+kt6/gJxJg==" w:hash="KTaDQAwuLB2kOUQvT+JtlCLYPHdQFbs45UqRQbjNtJn+OSh3cekwvLtNMlix4UKCQ9YufKMZ7XjXdIS3rLzmn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24D67"/>
    <w:rsid w:val="002C2DD0"/>
    <w:rsid w:val="003F5732"/>
    <w:rsid w:val="00407532"/>
    <w:rsid w:val="00477AA5"/>
    <w:rsid w:val="004E5E23"/>
    <w:rsid w:val="005648C1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039B7905"/>
    <w:rsid w:val="06231B80"/>
    <w:rsid w:val="07605BB2"/>
    <w:rsid w:val="0A8547FB"/>
    <w:rsid w:val="0D815BE9"/>
    <w:rsid w:val="0EE606FE"/>
    <w:rsid w:val="10806AC7"/>
    <w:rsid w:val="197C784C"/>
    <w:rsid w:val="1C5E46E0"/>
    <w:rsid w:val="208A5D07"/>
    <w:rsid w:val="20CE33FE"/>
    <w:rsid w:val="252C54C6"/>
    <w:rsid w:val="28F90A34"/>
    <w:rsid w:val="298C6422"/>
    <w:rsid w:val="2C494933"/>
    <w:rsid w:val="2C966649"/>
    <w:rsid w:val="2F3FC4D2"/>
    <w:rsid w:val="312376FA"/>
    <w:rsid w:val="31FE6157"/>
    <w:rsid w:val="3EA30D3B"/>
    <w:rsid w:val="43C707DB"/>
    <w:rsid w:val="461B7320"/>
    <w:rsid w:val="4B2E0C11"/>
    <w:rsid w:val="4D4C7E41"/>
    <w:rsid w:val="4FA263E7"/>
    <w:rsid w:val="545751C1"/>
    <w:rsid w:val="552A350F"/>
    <w:rsid w:val="55F95E15"/>
    <w:rsid w:val="56ED1186"/>
    <w:rsid w:val="58BF6D74"/>
    <w:rsid w:val="5A2A7678"/>
    <w:rsid w:val="5DB325F9"/>
    <w:rsid w:val="5F075AA2"/>
    <w:rsid w:val="5FF02BA4"/>
    <w:rsid w:val="616D7C43"/>
    <w:rsid w:val="62A86ACD"/>
    <w:rsid w:val="65F22F7C"/>
    <w:rsid w:val="6A0518FF"/>
    <w:rsid w:val="6B47077E"/>
    <w:rsid w:val="72751103"/>
    <w:rsid w:val="73C749E2"/>
    <w:rsid w:val="77FBE3FA"/>
    <w:rsid w:val="77FE5AF7"/>
    <w:rsid w:val="7A9829DE"/>
    <w:rsid w:val="7BC96A46"/>
    <w:rsid w:val="7CB13CDF"/>
    <w:rsid w:val="7DD432CA"/>
    <w:rsid w:val="EF959722"/>
    <w:rsid w:val="F3FF3126"/>
    <w:rsid w:val="F7F94C3D"/>
    <w:rsid w:val="FF7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5.xml" Type="http://schemas.openxmlformats.org/officeDocument/2006/relationships/footer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footer3.xml" Type="http://schemas.openxmlformats.org/officeDocument/2006/relationships/footer"/><Relationship Id="rId8" Target="footer4.xml" Type="http://schemas.openxmlformats.org/officeDocument/2006/relationships/foot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5398</Words>
  <Characters>750</Characters>
  <Lines>6</Lines>
  <Paragraphs>12</Paragraphs>
  <TotalTime>0</TotalTime>
  <ScaleCrop>false</ScaleCrop>
  <LinksUpToDate>false</LinksUpToDate>
  <CharactersWithSpaces>6136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2019-12-21T02:46:00Z</dcterms:created>
  <dc:creator>nizy</dc:creator>
  <cp:lastModifiedBy>张盟</cp:lastModifiedBy>
  <cp:lastPrinted>2024-01-21T07:17:00Z</cp:lastPrinted>
  <dcterms:modified xsi:type="dcterms:W3CDTF">2024-01-29T15:29:25Z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