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446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bCs w:val="0"/>
          <w:i w:val="0"/>
          <w:caps w:val="0"/>
          <w:color w:val="auto"/>
          <w:spacing w:val="-17"/>
          <w:sz w:val="44"/>
          <w:szCs w:val="44"/>
          <w:highlight w:val="none"/>
          <w:shd w:val="clear" w:fill="FFFFFF"/>
          <w:lang w:val="en-US" w:eastAsia="zh-CN"/>
        </w:rPr>
      </w:pPr>
      <w:r>
        <w:rPr>
          <w:rFonts w:hint="eastAsia" w:ascii="方正小标宋简体" w:hAnsi="方正小标宋简体" w:eastAsia="方正小标宋简体" w:cs="方正小标宋简体"/>
          <w:b/>
          <w:bCs w:val="0"/>
          <w:i w:val="0"/>
          <w:caps w:val="0"/>
          <w:color w:val="auto"/>
          <w:spacing w:val="0"/>
          <w:sz w:val="44"/>
          <w:szCs w:val="44"/>
          <w:highlight w:val="none"/>
          <w:shd w:val="clear" w:fill="FFFFFF"/>
          <w:lang w:eastAsia="zh-CN"/>
        </w:rPr>
        <w:t>济宁市</w:t>
      </w:r>
      <w:r>
        <w:rPr>
          <w:rFonts w:hint="eastAsia" w:ascii="方正小标宋简体" w:hAnsi="方正小标宋简体" w:eastAsia="方正小标宋简体" w:cs="方正小标宋简体"/>
          <w:b/>
          <w:bCs w:val="0"/>
          <w:i w:val="0"/>
          <w:caps w:val="0"/>
          <w:color w:val="auto"/>
          <w:spacing w:val="0"/>
          <w:sz w:val="44"/>
          <w:szCs w:val="44"/>
          <w:highlight w:val="none"/>
          <w:shd w:val="clear" w:fill="FFFFFF"/>
          <w:lang w:val="en-US" w:eastAsia="zh-CN"/>
        </w:rPr>
        <w:t>城市管理</w:t>
      </w:r>
      <w:r>
        <w:rPr>
          <w:rFonts w:hint="eastAsia" w:ascii="方正小标宋简体" w:hAnsi="方正小标宋简体" w:eastAsia="方正小标宋简体" w:cs="方正小标宋简体"/>
          <w:b/>
          <w:bCs w:val="0"/>
          <w:i w:val="0"/>
          <w:caps w:val="0"/>
          <w:color w:val="auto"/>
          <w:spacing w:val="-17"/>
          <w:sz w:val="44"/>
          <w:szCs w:val="44"/>
          <w:highlight w:val="none"/>
          <w:shd w:val="clear" w:fill="FFFFFF"/>
          <w:lang w:val="en-US" w:eastAsia="zh-CN"/>
        </w:rPr>
        <w:t>局</w:t>
      </w:r>
    </w:p>
    <w:p w14:paraId="65ED8F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bCs w:val="0"/>
          <w:i w:val="0"/>
          <w:caps w:val="0"/>
          <w:color w:val="auto"/>
          <w:spacing w:val="0"/>
          <w:sz w:val="44"/>
          <w:szCs w:val="44"/>
          <w:highlight w:val="none"/>
        </w:rPr>
      </w:pPr>
      <w:r>
        <w:rPr>
          <w:rFonts w:hint="eastAsia" w:ascii="方正小标宋简体" w:hAnsi="方正小标宋简体" w:eastAsia="方正小标宋简体" w:cs="方正小标宋简体"/>
          <w:b/>
          <w:bCs w:val="0"/>
          <w:i w:val="0"/>
          <w:caps w:val="0"/>
          <w:color w:val="auto"/>
          <w:spacing w:val="-17"/>
          <w:sz w:val="44"/>
          <w:szCs w:val="44"/>
          <w:highlight w:val="none"/>
          <w:shd w:val="clear" w:fill="FFFFFF"/>
          <w:lang w:val="en-US" w:eastAsia="zh-CN"/>
        </w:rPr>
        <w:t>2025年</w:t>
      </w:r>
      <w:r>
        <w:rPr>
          <w:rFonts w:hint="eastAsia" w:ascii="方正小标宋简体" w:hAnsi="方正小标宋简体" w:eastAsia="方正小标宋简体" w:cs="方正小标宋简体"/>
          <w:b/>
          <w:bCs w:val="0"/>
          <w:i w:val="0"/>
          <w:caps w:val="0"/>
          <w:color w:val="auto"/>
          <w:spacing w:val="-17"/>
          <w:sz w:val="44"/>
          <w:szCs w:val="44"/>
          <w:highlight w:val="none"/>
          <w:shd w:val="clear" w:fill="FFFFFF"/>
        </w:rPr>
        <w:t>政府信息公开工作</w:t>
      </w:r>
      <w:r>
        <w:rPr>
          <w:rFonts w:hint="eastAsia" w:ascii="方正小标宋简体" w:hAnsi="方正小标宋简体" w:eastAsia="方正小标宋简体" w:cs="方正小标宋简体"/>
          <w:b/>
          <w:bCs w:val="0"/>
          <w:i w:val="0"/>
          <w:caps w:val="0"/>
          <w:color w:val="auto"/>
          <w:spacing w:val="0"/>
          <w:sz w:val="44"/>
          <w:szCs w:val="44"/>
          <w:highlight w:val="none"/>
          <w:shd w:val="clear" w:fill="FFFFFF"/>
        </w:rPr>
        <w:t>年度报告</w:t>
      </w:r>
    </w:p>
    <w:p w14:paraId="18302058">
      <w:pPr>
        <w:keepNext w:val="0"/>
        <w:keepLines w:val="0"/>
        <w:pageBreakBefore w:val="0"/>
        <w:kinsoku/>
        <w:wordWrap/>
        <w:overflowPunct/>
        <w:topLinePunct w:val="0"/>
        <w:autoSpaceDE/>
        <w:autoSpaceDN/>
        <w:bidi w:val="0"/>
        <w:adjustRightInd/>
        <w:snapToGrid/>
        <w:spacing w:line="540" w:lineRule="exact"/>
        <w:ind w:right="-105" w:rightChars="-50" w:firstLine="643" w:firstLineChars="200"/>
        <w:textAlignment w:val="auto"/>
        <w:rPr>
          <w:rFonts w:hint="eastAsia" w:ascii="方正仿宋简体" w:eastAsia="方正仿宋简体"/>
          <w:b/>
          <w:color w:val="auto"/>
          <w:sz w:val="32"/>
          <w:szCs w:val="32"/>
          <w:highlight w:val="none"/>
        </w:rPr>
      </w:pPr>
    </w:p>
    <w:p w14:paraId="409452E9">
      <w:pPr>
        <w:keepNext w:val="0"/>
        <w:keepLines w:val="0"/>
        <w:pageBreakBefore w:val="0"/>
        <w:kinsoku/>
        <w:wordWrap/>
        <w:overflowPunct/>
        <w:topLinePunct w:val="0"/>
        <w:autoSpaceDE/>
        <w:autoSpaceDN/>
        <w:bidi w:val="0"/>
        <w:adjustRightInd/>
        <w:snapToGrid/>
        <w:spacing w:line="540" w:lineRule="exact"/>
        <w:ind w:right="0" w:rightChars="0" w:firstLine="602" w:firstLineChars="200"/>
        <w:textAlignment w:val="auto"/>
        <w:rPr>
          <w:rFonts w:hint="eastAsia" w:ascii="方正仿宋简体" w:hAnsi="方正仿宋简体" w:eastAsia="方正仿宋简体" w:cs="方正仿宋简体"/>
          <w:b/>
          <w:bCs/>
          <w:color w:val="auto"/>
          <w:spacing w:val="0"/>
          <w:sz w:val="30"/>
          <w:szCs w:val="30"/>
          <w:highlight w:val="none"/>
        </w:rPr>
      </w:pPr>
      <w:r>
        <w:rPr>
          <w:rFonts w:hint="eastAsia" w:ascii="方正仿宋简体" w:hAnsi="方正仿宋简体" w:eastAsia="方正仿宋简体" w:cs="方正仿宋简体"/>
          <w:b/>
          <w:bCs/>
          <w:color w:val="auto"/>
          <w:sz w:val="30"/>
          <w:szCs w:val="30"/>
          <w:highlight w:val="none"/>
        </w:rPr>
        <w:t>本报告由</w:t>
      </w:r>
      <w:r>
        <w:rPr>
          <w:rFonts w:hint="eastAsia" w:ascii="方正仿宋简体" w:hAnsi="方正仿宋简体" w:eastAsia="方正仿宋简体" w:cs="方正仿宋简体"/>
          <w:b/>
          <w:bCs/>
          <w:color w:val="auto"/>
          <w:sz w:val="30"/>
          <w:szCs w:val="30"/>
          <w:highlight w:val="none"/>
          <w:lang w:val="en-US" w:eastAsia="zh-CN"/>
        </w:rPr>
        <w:t>济宁市城市管理局</w:t>
      </w:r>
      <w:r>
        <w:rPr>
          <w:rFonts w:hint="eastAsia" w:ascii="方正仿宋简体" w:hAnsi="方正仿宋简体" w:eastAsia="方正仿宋简体" w:cs="方正仿宋简体"/>
          <w:b/>
          <w:bCs/>
          <w:color w:val="auto"/>
          <w:sz w:val="30"/>
          <w:szCs w:val="30"/>
          <w:highlight w:val="none"/>
        </w:rPr>
        <w:t>按照《中华人民共和国政府信息公开条例》（以下简称《条例》）和《中华人民共和国政府信息</w:t>
      </w:r>
      <w:r>
        <w:rPr>
          <w:rFonts w:hint="eastAsia" w:ascii="方正仿宋简体" w:hAnsi="方正仿宋简体" w:eastAsia="方正仿宋简体" w:cs="方正仿宋简体"/>
          <w:b/>
          <w:bCs/>
          <w:color w:val="auto"/>
          <w:spacing w:val="0"/>
          <w:sz w:val="30"/>
          <w:szCs w:val="30"/>
          <w:highlight w:val="none"/>
        </w:rPr>
        <w:t>公开工作年度报告格式》（国办公开办函〔2021〕30号）要求编制。</w:t>
      </w:r>
    </w:p>
    <w:p w14:paraId="685B4E45">
      <w:pPr>
        <w:keepNext w:val="0"/>
        <w:keepLines w:val="0"/>
        <w:pageBreakBefore w:val="0"/>
        <w:kinsoku/>
        <w:wordWrap/>
        <w:overflowPunct/>
        <w:topLinePunct w:val="0"/>
        <w:autoSpaceDE/>
        <w:autoSpaceDN/>
        <w:bidi w:val="0"/>
        <w:adjustRightInd/>
        <w:snapToGrid/>
        <w:spacing w:line="540" w:lineRule="exact"/>
        <w:ind w:right="-105" w:rightChars="-50" w:firstLine="602" w:firstLineChars="200"/>
        <w:textAlignment w:val="auto"/>
        <w:rPr>
          <w:rFonts w:hint="eastAsia" w:ascii="方正仿宋简体" w:hAnsi="方正仿宋简体" w:eastAsia="方正仿宋简体" w:cs="方正仿宋简体"/>
          <w:b/>
          <w:bCs/>
          <w:color w:val="auto"/>
          <w:sz w:val="30"/>
          <w:szCs w:val="30"/>
          <w:highlight w:val="none"/>
        </w:rPr>
      </w:pPr>
      <w:r>
        <w:rPr>
          <w:rFonts w:hint="eastAsia" w:ascii="方正仿宋简体" w:hAnsi="方正仿宋简体" w:eastAsia="方正仿宋简体" w:cs="方正仿宋简体"/>
          <w:b/>
          <w:bCs/>
          <w:color w:val="auto"/>
          <w:sz w:val="30"/>
          <w:szCs w:val="30"/>
          <w:highlight w:val="none"/>
        </w:rPr>
        <w:t>本报告内容包括总体情况、主动公开政府信息情况、收到和处理政府信息公开申请情况、政府信息公开行政复议和行政诉讼情况、存在的主要问题及改进情况、其他需要报告的事项等六部分内容。</w:t>
      </w:r>
    </w:p>
    <w:p w14:paraId="738FB323">
      <w:pPr>
        <w:keepNext w:val="0"/>
        <w:keepLines w:val="0"/>
        <w:pageBreakBefore w:val="0"/>
        <w:kinsoku/>
        <w:wordWrap/>
        <w:overflowPunct/>
        <w:topLinePunct w:val="0"/>
        <w:autoSpaceDE/>
        <w:autoSpaceDN/>
        <w:bidi w:val="0"/>
        <w:adjustRightInd/>
        <w:snapToGrid/>
        <w:spacing w:line="540" w:lineRule="exact"/>
        <w:ind w:right="-105" w:rightChars="-50" w:firstLine="602" w:firstLineChars="200"/>
        <w:textAlignment w:val="auto"/>
        <w:rPr>
          <w:rFonts w:hint="eastAsia" w:ascii="方正仿宋简体" w:hAnsi="方正仿宋简体" w:eastAsia="方正仿宋简体" w:cs="方正仿宋简体"/>
          <w:b/>
          <w:bCs/>
          <w:color w:val="auto"/>
          <w:sz w:val="30"/>
          <w:szCs w:val="30"/>
          <w:highlight w:val="none"/>
        </w:rPr>
      </w:pPr>
      <w:r>
        <w:rPr>
          <w:rFonts w:hint="eastAsia" w:ascii="方正仿宋简体" w:hAnsi="方正仿宋简体" w:eastAsia="方正仿宋简体" w:cs="方正仿宋简体"/>
          <w:b/>
          <w:bCs/>
          <w:color w:val="auto"/>
          <w:sz w:val="30"/>
          <w:szCs w:val="30"/>
          <w:highlight w:val="none"/>
        </w:rPr>
        <w:t>本报告所列数据的统计期限自</w:t>
      </w:r>
      <w:r>
        <w:rPr>
          <w:rFonts w:hint="eastAsia" w:ascii="方正仿宋简体" w:hAnsi="方正仿宋简体" w:eastAsia="方正仿宋简体" w:cs="方正仿宋简体"/>
          <w:b/>
          <w:bCs/>
          <w:color w:val="auto"/>
          <w:sz w:val="30"/>
          <w:szCs w:val="30"/>
          <w:highlight w:val="none"/>
          <w:lang w:val="en-US" w:eastAsia="zh-CN"/>
        </w:rPr>
        <w:t>2025</w:t>
      </w:r>
      <w:r>
        <w:rPr>
          <w:rFonts w:hint="eastAsia" w:ascii="方正仿宋简体" w:hAnsi="方正仿宋简体" w:eastAsia="方正仿宋简体" w:cs="方正仿宋简体"/>
          <w:b/>
          <w:bCs/>
          <w:color w:val="auto"/>
          <w:sz w:val="30"/>
          <w:szCs w:val="30"/>
          <w:highlight w:val="none"/>
        </w:rPr>
        <w:t>年1月1日起至</w:t>
      </w:r>
      <w:r>
        <w:rPr>
          <w:rFonts w:hint="eastAsia" w:ascii="方正仿宋简体" w:hAnsi="方正仿宋简体" w:eastAsia="方正仿宋简体" w:cs="方正仿宋简体"/>
          <w:b/>
          <w:bCs/>
          <w:color w:val="auto"/>
          <w:sz w:val="30"/>
          <w:szCs w:val="30"/>
          <w:highlight w:val="none"/>
          <w:lang w:val="en-US" w:eastAsia="zh-CN"/>
        </w:rPr>
        <w:t>2025</w:t>
      </w:r>
      <w:r>
        <w:rPr>
          <w:rFonts w:hint="eastAsia" w:ascii="方正仿宋简体" w:hAnsi="方正仿宋简体" w:eastAsia="方正仿宋简体" w:cs="方正仿宋简体"/>
          <w:b/>
          <w:bCs/>
          <w:color w:val="auto"/>
          <w:sz w:val="30"/>
          <w:szCs w:val="30"/>
          <w:highlight w:val="none"/>
        </w:rPr>
        <w:t>年12月31日止。本报告电子版可在“中国·济宁”政府门户网站（http://www.jining.gov.cn/）查阅或下载。如对本报告有疑问，请与</w:t>
      </w:r>
      <w:r>
        <w:rPr>
          <w:rFonts w:hint="eastAsia" w:ascii="方正仿宋简体" w:hAnsi="方正仿宋简体" w:eastAsia="方正仿宋简体" w:cs="方正仿宋简体"/>
          <w:b/>
          <w:bCs/>
          <w:color w:val="auto"/>
          <w:sz w:val="30"/>
          <w:szCs w:val="30"/>
          <w:highlight w:val="none"/>
          <w:lang w:val="en-US" w:eastAsia="zh-CN"/>
        </w:rPr>
        <w:t>济宁市城市管理局</w:t>
      </w:r>
      <w:r>
        <w:rPr>
          <w:rFonts w:hint="eastAsia" w:ascii="方正仿宋简体" w:hAnsi="方正仿宋简体" w:eastAsia="方正仿宋简体" w:cs="方正仿宋简体"/>
          <w:b/>
          <w:bCs/>
          <w:color w:val="auto"/>
          <w:sz w:val="30"/>
          <w:szCs w:val="30"/>
          <w:highlight w:val="none"/>
        </w:rPr>
        <w:t>联系（地址：</w:t>
      </w:r>
      <w:r>
        <w:rPr>
          <w:rFonts w:hint="eastAsia" w:ascii="方正仿宋简体" w:hAnsi="方正仿宋简体" w:eastAsia="方正仿宋简体" w:cs="方正仿宋简体"/>
          <w:b/>
          <w:bCs/>
          <w:i w:val="0"/>
          <w:caps w:val="0"/>
          <w:color w:val="auto"/>
          <w:spacing w:val="0"/>
          <w:sz w:val="30"/>
          <w:szCs w:val="30"/>
          <w:highlight w:val="none"/>
          <w:shd w:val="clear"/>
        </w:rPr>
        <w:t>济宁市任城区洸河路16号</w:t>
      </w:r>
      <w:r>
        <w:rPr>
          <w:rFonts w:hint="eastAsia" w:ascii="方正仿宋简体" w:hAnsi="方正仿宋简体" w:eastAsia="方正仿宋简体" w:cs="方正仿宋简体"/>
          <w:b/>
          <w:bCs/>
          <w:color w:val="auto"/>
          <w:sz w:val="30"/>
          <w:szCs w:val="30"/>
          <w:highlight w:val="none"/>
        </w:rPr>
        <w:t>，联系电话：0537—</w:t>
      </w:r>
      <w:r>
        <w:rPr>
          <w:rFonts w:hint="eastAsia" w:ascii="方正仿宋简体" w:hAnsi="方正仿宋简体" w:eastAsia="方正仿宋简体" w:cs="方正仿宋简体"/>
          <w:b/>
          <w:bCs/>
          <w:color w:val="auto"/>
          <w:sz w:val="30"/>
          <w:szCs w:val="30"/>
          <w:highlight w:val="none"/>
          <w:lang w:val="en-US" w:eastAsia="zh-CN"/>
        </w:rPr>
        <w:t>3160011</w:t>
      </w:r>
      <w:r>
        <w:rPr>
          <w:rFonts w:hint="eastAsia" w:ascii="方正仿宋简体" w:hAnsi="方正仿宋简体" w:eastAsia="方正仿宋简体" w:cs="方正仿宋简体"/>
          <w:b/>
          <w:bCs/>
          <w:color w:val="auto"/>
          <w:sz w:val="30"/>
          <w:szCs w:val="30"/>
          <w:highlight w:val="none"/>
        </w:rPr>
        <w:t>）。</w:t>
      </w:r>
    </w:p>
    <w:p w14:paraId="01C458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02" w:firstLineChars="200"/>
        <w:jc w:val="both"/>
        <w:textAlignment w:val="auto"/>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pPr>
      <w:r>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t>一、总体情况</w:t>
      </w:r>
    </w:p>
    <w:p w14:paraId="437424A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02" w:firstLineChars="200"/>
        <w:jc w:val="both"/>
        <w:textAlignment w:val="auto"/>
        <w:rPr>
          <w:rFonts w:hint="eastAsia"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2025年，济宁市城市管理局认真落实国家、省、市相关部署要求，持续深化政务公开内容与形式，着力增强信息发布的精准性和实效性，推动政务公开工作向数字化、规范化、便民化方向稳步迈进，切实提升城市管理透明度和公众满意度。</w:t>
      </w:r>
    </w:p>
    <w:p w14:paraId="589FA54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02" w:firstLineChars="200"/>
        <w:jc w:val="both"/>
        <w:textAlignment w:val="auto"/>
        <w:rPr>
          <w:rFonts w:hint="eastAsia" w:ascii="方正楷体简体" w:hAnsi="方正楷体简体" w:eastAsia="方正楷体简体" w:cs="方正楷体简体"/>
          <w:b/>
          <w:bCs/>
          <w:color w:val="auto"/>
          <w:kern w:val="2"/>
          <w:sz w:val="30"/>
          <w:szCs w:val="30"/>
          <w:highlight w:val="none"/>
          <w:lang w:val="en-US" w:eastAsia="zh-CN" w:bidi="ar-SA"/>
        </w:rPr>
      </w:pPr>
      <w:r>
        <w:rPr>
          <w:rFonts w:hint="eastAsia" w:ascii="方正楷体简体" w:hAnsi="方正楷体简体" w:eastAsia="方正楷体简体" w:cs="方正楷体简体"/>
          <w:b/>
          <w:bCs/>
          <w:color w:val="auto"/>
          <w:kern w:val="2"/>
          <w:sz w:val="30"/>
          <w:szCs w:val="30"/>
          <w:highlight w:val="none"/>
          <w:lang w:val="en-US" w:eastAsia="zh-CN" w:bidi="ar-SA"/>
        </w:rPr>
        <w:t>（一）主动公开</w:t>
      </w:r>
    </w:p>
    <w:p w14:paraId="486B4A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02" w:firstLineChars="200"/>
        <w:jc w:val="both"/>
        <w:textAlignment w:val="auto"/>
        <w:rPr>
          <w:rFonts w:hint="eastAsia"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（1）2025年，济宁市城市管理局修订《2025年政务公开工作实施方案》，通过网站及微信公众号主动公开政府信息1128条。其中，网站共发布各类信息719条，公众号发布信息409条，公众号订阅人数达到8700余人次。</w:t>
      </w:r>
    </w:p>
    <w:p w14:paraId="4A6763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02" w:firstLineChars="200"/>
        <w:jc w:val="both"/>
        <w:textAlignment w:val="auto"/>
        <w:rPr>
          <w:rFonts w:hint="default"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（2）开展执法情景模拟展示、绿化条例专题宣贯等“政府开放日”活动，拓展了政务公开的深度与广度，有效增强城市管理工作的透明度和公众参与度。</w:t>
      </w:r>
    </w:p>
    <w:p w14:paraId="37DDF3C8">
      <w:pPr>
        <w:pStyle w:val="4"/>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firstLine="602" w:firstLineChars="200"/>
        <w:jc w:val="both"/>
        <w:textAlignment w:val="auto"/>
        <w:rPr>
          <w:rFonts w:hint="eastAsia" w:eastAsiaTheme="minorEastAsia"/>
          <w:color w:val="auto"/>
          <w:sz w:val="30"/>
          <w:szCs w:val="30"/>
          <w:highlight w:val="none"/>
          <w:lang w:eastAsia="zh-CN"/>
        </w:rPr>
      </w:pPr>
      <w:r>
        <w:rPr>
          <w:rFonts w:hint="eastAsia" w:ascii="方正仿宋简体" w:hAnsi="方正仿宋简体" w:eastAsia="方正仿宋简体" w:cs="方正仿宋简体"/>
          <w:b/>
          <w:bCs/>
          <w:color w:val="auto"/>
          <w:kern w:val="2"/>
          <w:sz w:val="30"/>
          <w:szCs w:val="30"/>
          <w:highlight w:val="none"/>
          <w:lang w:val="en-US" w:eastAsia="zh-CN" w:bidi="ar-SA"/>
        </w:rPr>
        <w:t>（3）围绕城市管理重点工作，精心策划并高标准完成花开满城、马拉松保障、城市防汛、垃圾分类宣传周、城市管理品质提升、中高考护航、潮汐摊区、清雪除冰等主题宣传，全方位展示城市管理工作者的风采与城市治理成果。</w:t>
      </w:r>
    </w:p>
    <w:p w14:paraId="26398C8F">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0" w:firstLine="602" w:firstLineChars="200"/>
        <w:textAlignment w:val="auto"/>
        <w:rPr>
          <w:rFonts w:hint="eastAsia" w:ascii="方正楷体简体" w:hAnsi="方正楷体简体" w:eastAsia="方正楷体简体" w:cs="方正楷体简体"/>
          <w:b/>
          <w:bCs/>
          <w:color w:val="auto"/>
          <w:sz w:val="30"/>
          <w:szCs w:val="30"/>
          <w:highlight w:val="none"/>
          <w:lang w:val="en-US" w:eastAsia="zh-CN"/>
        </w:rPr>
      </w:pPr>
      <w:r>
        <w:rPr>
          <w:rFonts w:hint="eastAsia" w:ascii="方正楷体简体" w:hAnsi="方正楷体简体" w:eastAsia="方正楷体简体" w:cs="方正楷体简体"/>
          <w:b/>
          <w:bCs/>
          <w:color w:val="auto"/>
          <w:sz w:val="30"/>
          <w:szCs w:val="30"/>
          <w:highlight w:val="none"/>
          <w:lang w:val="en-US" w:eastAsia="zh-CN"/>
        </w:rPr>
        <w:t>（二）依申请公开</w:t>
      </w:r>
    </w:p>
    <w:p w14:paraId="434D52C8">
      <w:pPr>
        <w:keepNext w:val="0"/>
        <w:keepLines w:val="0"/>
        <w:pageBreakBefore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本年度共收到信息公开申请21件，其中19件已于年内处理完毕，2件结转下年度继续办理。其中，华硕天韵小区绿化验收备案、济宁市市政园林养护全年绿化废弃物总量等2件予以公开，1件部分公开，1件因保护第三方合法权益不予公开，另外15件申请公开的信息非本机关制作或保存。我局依申请公开不涉及收费情况。</w:t>
      </w:r>
    </w:p>
    <w:p w14:paraId="6C16EA97">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b/>
          <w:bCs/>
          <w:color w:val="auto"/>
          <w:kern w:val="2"/>
          <w:sz w:val="30"/>
          <w:szCs w:val="30"/>
          <w:highlight w:val="none"/>
          <w:lang w:val="en-US" w:eastAsia="zh-CN" w:bidi="ar-SA"/>
        </w:rPr>
      </w:pPr>
      <w:r>
        <w:rPr>
          <w:rFonts w:hint="default" w:ascii="方正仿宋简体" w:hAnsi="方正仿宋简体" w:eastAsia="方正仿宋简体" w:cs="方正仿宋简体"/>
          <w:b/>
          <w:bCs/>
          <w:color w:val="auto"/>
          <w:kern w:val="2"/>
          <w:sz w:val="30"/>
          <w:szCs w:val="30"/>
          <w:highlight w:val="none"/>
          <w:lang w:val="en-US" w:eastAsia="zh-CN" w:bidi="ar-SA"/>
        </w:rPr>
        <w:drawing>
          <wp:inline distT="0" distB="0" distL="114300" distR="114300">
            <wp:extent cx="5600700" cy="3238500"/>
            <wp:effectExtent l="0" t="0" r="7620" b="7620"/>
            <wp:docPr id="1" name="图片 1" descr="9fd00838991acd9b995fc61a0dca56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fd00838991acd9b995fc61a0dca56da"/>
                    <pic:cNvPicPr>
                      <a:picLocks noChangeAspect="1"/>
                    </pic:cNvPicPr>
                  </pic:nvPicPr>
                  <pic:blipFill>
                    <a:blip r:embed="rId4"/>
                    <a:stretch>
                      <a:fillRect/>
                    </a:stretch>
                  </pic:blipFill>
                  <pic:spPr>
                    <a:xfrm>
                      <a:off x="0" y="0"/>
                      <a:ext cx="5600700" cy="3238500"/>
                    </a:xfrm>
                    <a:prstGeom prst="rect">
                      <a:avLst/>
                    </a:prstGeom>
                  </pic:spPr>
                </pic:pic>
              </a:graphicData>
            </a:graphic>
          </wp:inline>
        </w:drawing>
      </w:r>
    </w:p>
    <w:p w14:paraId="7381B2A9">
      <w:pPr>
        <w:pStyle w:val="5"/>
        <w:ind w:left="0" w:leftChars="0" w:firstLine="0" w:firstLineChars="0"/>
        <w:jc w:val="center"/>
        <w:rPr>
          <w:rFonts w:hint="eastAsia"/>
          <w:color w:val="auto"/>
          <w:sz w:val="30"/>
          <w:szCs w:val="30"/>
          <w:highlight w:val="none"/>
          <w:lang w:val="en-US" w:eastAsia="zh-CN"/>
        </w:rPr>
      </w:pPr>
      <w:r>
        <w:rPr>
          <w:rFonts w:hint="eastAsia"/>
          <w:color w:val="auto"/>
          <w:sz w:val="30"/>
          <w:szCs w:val="30"/>
          <w:highlight w:val="none"/>
          <w:lang w:val="en-US" w:eastAsia="zh-CN"/>
        </w:rPr>
        <w:drawing>
          <wp:inline distT="0" distB="0" distL="114300" distR="114300">
            <wp:extent cx="5534025" cy="3295650"/>
            <wp:effectExtent l="0" t="0" r="13335" b="11430"/>
            <wp:docPr id="3" name="图片 3" descr="d10774a3e6bf2fef0e1d9aa6ae4f4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10774a3e6bf2fef0e1d9aa6ae4f4b30"/>
                    <pic:cNvPicPr>
                      <a:picLocks noChangeAspect="1"/>
                    </pic:cNvPicPr>
                  </pic:nvPicPr>
                  <pic:blipFill>
                    <a:blip r:embed="rId5"/>
                    <a:stretch>
                      <a:fillRect/>
                    </a:stretch>
                  </pic:blipFill>
                  <pic:spPr>
                    <a:xfrm>
                      <a:off x="0" y="0"/>
                      <a:ext cx="5534025" cy="3295650"/>
                    </a:xfrm>
                    <a:prstGeom prst="rect">
                      <a:avLst/>
                    </a:prstGeom>
                  </pic:spPr>
                </pic:pic>
              </a:graphicData>
            </a:graphic>
          </wp:inline>
        </w:drawing>
      </w:r>
    </w:p>
    <w:p w14:paraId="28C94620">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0" w:firstLine="602" w:firstLineChars="200"/>
        <w:textAlignment w:val="auto"/>
        <w:rPr>
          <w:rFonts w:hint="eastAsia" w:ascii="方正楷体简体" w:hAnsi="方正楷体简体" w:eastAsia="方正楷体简体" w:cs="方正楷体简体"/>
          <w:b/>
          <w:bCs/>
          <w:color w:val="auto"/>
          <w:sz w:val="30"/>
          <w:szCs w:val="30"/>
          <w:highlight w:val="none"/>
          <w:lang w:val="en-US" w:eastAsia="zh-CN"/>
        </w:rPr>
      </w:pPr>
      <w:r>
        <w:rPr>
          <w:rFonts w:hint="eastAsia" w:ascii="方正楷体简体" w:hAnsi="方正楷体简体" w:eastAsia="方正楷体简体" w:cs="方正楷体简体"/>
          <w:b/>
          <w:bCs/>
          <w:color w:val="auto"/>
          <w:sz w:val="30"/>
          <w:szCs w:val="30"/>
          <w:highlight w:val="none"/>
          <w:lang w:val="en-US" w:eastAsia="zh-CN"/>
        </w:rPr>
        <w:t>（三）政府信息管理</w:t>
      </w:r>
    </w:p>
    <w:p w14:paraId="34131810">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持续完善政府信息全流程管理体系，严格执行信息发布“三审三校”制度，强化发布前内容审核与保密审查，实现从源头到发布的闭环审核。开展规范性文件常态化清理与动态更新，确保信息准确有效。深化政府网站与政务新媒体融合发展，提升信息发布协同性、精准性与覆盖面。</w:t>
      </w:r>
    </w:p>
    <w:p w14:paraId="306AA7D9">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0" w:firstLine="643" w:firstLineChars="200"/>
        <w:textAlignment w:val="auto"/>
        <w:rPr>
          <w:rFonts w:hint="eastAsia" w:ascii="方正楷体简体" w:hAnsi="方正楷体简体" w:eastAsia="方正楷体简体" w:cs="方正楷体简体"/>
          <w:b/>
          <w:bCs/>
          <w:color w:val="auto"/>
          <w:sz w:val="32"/>
          <w:szCs w:val="32"/>
          <w:highlight w:val="none"/>
          <w:lang w:val="en-US" w:eastAsia="zh-CN"/>
        </w:rPr>
      </w:pPr>
      <w:r>
        <w:rPr>
          <w:rFonts w:hint="eastAsia" w:ascii="方正楷体简体" w:hAnsi="方正楷体简体" w:eastAsia="方正楷体简体" w:cs="方正楷体简体"/>
          <w:b/>
          <w:bCs/>
          <w:color w:val="auto"/>
          <w:sz w:val="32"/>
          <w:szCs w:val="32"/>
          <w:highlight w:val="none"/>
          <w:lang w:val="en-US" w:eastAsia="zh-CN"/>
        </w:rPr>
        <w:t>（四）政府信息公开平台建设</w:t>
      </w:r>
    </w:p>
    <w:p w14:paraId="0393820C">
      <w:pPr>
        <w:keepNext w:val="0"/>
        <w:keepLines w:val="0"/>
        <w:pageBreakBefore w:val="0"/>
        <w:widowControl w:val="0"/>
        <w:tabs>
          <w:tab w:val="left" w:pos="1597"/>
        </w:tabs>
        <w:kinsoku/>
        <w:wordWrap/>
        <w:overflowPunct/>
        <w:topLinePunct w:val="0"/>
        <w:autoSpaceDE/>
        <w:autoSpaceDN/>
        <w:bidi w:val="0"/>
        <w:adjustRightInd/>
        <w:snapToGrid/>
        <w:spacing w:line="540" w:lineRule="exact"/>
        <w:ind w:firstLine="602" w:firstLineChars="200"/>
        <w:jc w:val="left"/>
        <w:textAlignment w:val="auto"/>
        <w:rPr>
          <w:rFonts w:hint="eastAsia" w:ascii="方正仿宋简体" w:hAnsi="方正仿宋_GBK" w:eastAsia="方正仿宋简体" w:cs="方正仿宋简体"/>
          <w:b/>
          <w:bCs/>
          <w:color w:val="auto"/>
          <w:spacing w:val="0"/>
          <w:kern w:val="0"/>
          <w:sz w:val="24"/>
          <w:szCs w:val="24"/>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市城市管理局网站共设有图片新闻、城管正能量等15个专栏，另有</w:t>
      </w:r>
      <w:r>
        <w:rPr>
          <w:rFonts w:hint="eastAsia" w:ascii="方正仿宋简体" w:hAnsi="方正仿宋_GBK" w:eastAsia="方正仿宋简体" w:cs="方正仿宋简体"/>
          <w:b/>
          <w:bCs/>
          <w:color w:val="auto"/>
          <w:spacing w:val="0"/>
          <w:kern w:val="0"/>
          <w:sz w:val="30"/>
          <w:szCs w:val="30"/>
          <w:highlight w:val="none"/>
          <w:lang w:val="en-US" w:eastAsia="zh-CN" w:bidi="ar-SA"/>
        </w:rPr>
        <w:t>“济宁城市运行管理”微信公众号，与网站协同发布工作动态、政策信息等，增强传播实效。</w:t>
      </w:r>
    </w:p>
    <w:p w14:paraId="5BF9E712">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02" w:firstLineChars="200"/>
        <w:jc w:val="both"/>
        <w:textAlignment w:val="auto"/>
        <w:rPr>
          <w:rFonts w:hint="eastAsia" w:ascii="方正楷体简体" w:hAnsi="方正楷体简体" w:eastAsia="方正楷体简体" w:cs="方正楷体简体"/>
          <w:b/>
          <w:bCs/>
          <w:color w:val="auto"/>
          <w:sz w:val="30"/>
          <w:szCs w:val="30"/>
          <w:highlight w:val="none"/>
          <w:lang w:val="en-US" w:eastAsia="zh-CN"/>
        </w:rPr>
      </w:pPr>
      <w:r>
        <w:rPr>
          <w:rFonts w:hint="eastAsia" w:ascii="方正楷体简体" w:hAnsi="方正楷体简体" w:eastAsia="方正楷体简体" w:cs="方正楷体简体"/>
          <w:b/>
          <w:bCs/>
          <w:color w:val="auto"/>
          <w:sz w:val="30"/>
          <w:szCs w:val="30"/>
          <w:highlight w:val="none"/>
          <w:lang w:val="en-US" w:eastAsia="zh-CN"/>
        </w:rPr>
        <w:t>（五）监督保障</w:t>
      </w:r>
    </w:p>
    <w:p w14:paraId="7D02096C">
      <w:pPr>
        <w:pStyle w:val="5"/>
        <w:keepNext w:val="0"/>
        <w:keepLines w:val="0"/>
        <w:pageBreakBefore w:val="0"/>
        <w:widowControl w:val="0"/>
        <w:kinsoku/>
        <w:wordWrap/>
        <w:overflowPunct/>
        <w:topLinePunct w:val="0"/>
        <w:autoSpaceDE/>
        <w:autoSpaceDN/>
        <w:bidi w:val="0"/>
        <w:adjustRightInd/>
        <w:snapToGrid/>
        <w:spacing w:after="0" w:line="540" w:lineRule="exact"/>
        <w:ind w:left="0" w:leftChars="0" w:firstLine="602" w:firstLineChars="200"/>
        <w:textAlignment w:val="auto"/>
        <w:rPr>
          <w:rFonts w:hint="eastAsia"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进一步强化政务公开工作的组织领导和制度保障，持续发挥局政务公开领导小组统筹协调作用，细化各科室、局属单位公开职责。制定《济宁市城市管理局2025年政务公开工作实施方案》，组织开展面向全局的专题培训，着力提升工作人员公开意识和业务能力。</w:t>
      </w:r>
    </w:p>
    <w:p w14:paraId="352C2E2C">
      <w:pPr>
        <w:pStyle w:val="5"/>
        <w:ind w:left="602" w:leftChars="0" w:hanging="602" w:hangingChars="200"/>
        <w:jc w:val="left"/>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pPr>
      <w:r>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t>二、行政机关主动公开政府信息情况</w:t>
      </w:r>
    </w:p>
    <w:tbl>
      <w:tblPr>
        <w:tblStyle w:val="6"/>
        <w:tblW w:w="8824" w:type="dxa"/>
        <w:tblInd w:w="0" w:type="dxa"/>
        <w:tblLayout w:type="fixed"/>
        <w:tblCellMar>
          <w:top w:w="0" w:type="dxa"/>
          <w:left w:w="108" w:type="dxa"/>
          <w:bottom w:w="0" w:type="dxa"/>
          <w:right w:w="108" w:type="dxa"/>
        </w:tblCellMar>
      </w:tblPr>
      <w:tblGrid>
        <w:gridCol w:w="2206"/>
        <w:gridCol w:w="2206"/>
        <w:gridCol w:w="2206"/>
        <w:gridCol w:w="2206"/>
      </w:tblGrid>
      <w:tr w14:paraId="1D9641C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C3B105C">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第二十条第（一）项</w:t>
            </w:r>
          </w:p>
        </w:tc>
      </w:tr>
      <w:tr w14:paraId="78833D5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5A0B57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信息内容</w:t>
            </w:r>
          </w:p>
        </w:tc>
        <w:tc>
          <w:tcPr>
            <w:tcW w:w="2206" w:type="dxa"/>
            <w:tcBorders>
              <w:top w:val="nil"/>
              <w:left w:val="nil"/>
              <w:bottom w:val="single" w:color="auto" w:sz="8" w:space="0"/>
              <w:right w:val="single" w:color="auto" w:sz="8" w:space="0"/>
            </w:tcBorders>
            <w:shd w:val="clear" w:color="auto" w:fill="auto"/>
            <w:vAlign w:val="center"/>
          </w:tcPr>
          <w:p w14:paraId="4FF64B8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本年制发件数</w:t>
            </w:r>
          </w:p>
        </w:tc>
        <w:tc>
          <w:tcPr>
            <w:tcW w:w="2206" w:type="dxa"/>
            <w:tcBorders>
              <w:top w:val="nil"/>
              <w:left w:val="nil"/>
              <w:bottom w:val="single" w:color="auto" w:sz="8" w:space="0"/>
              <w:right w:val="single" w:color="auto" w:sz="8" w:space="0"/>
            </w:tcBorders>
            <w:shd w:val="clear" w:color="auto" w:fill="auto"/>
            <w:vAlign w:val="center"/>
          </w:tcPr>
          <w:p w14:paraId="4C3B7F6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本年废止件数</w:t>
            </w:r>
          </w:p>
        </w:tc>
        <w:tc>
          <w:tcPr>
            <w:tcW w:w="2206" w:type="dxa"/>
            <w:tcBorders>
              <w:top w:val="nil"/>
              <w:left w:val="nil"/>
              <w:bottom w:val="single" w:color="auto" w:sz="8" w:space="0"/>
              <w:right w:val="single" w:color="auto" w:sz="8" w:space="0"/>
            </w:tcBorders>
            <w:shd w:val="clear" w:color="auto" w:fill="auto"/>
            <w:vAlign w:val="center"/>
          </w:tcPr>
          <w:p w14:paraId="12E6BB5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现行有效件数</w:t>
            </w:r>
          </w:p>
        </w:tc>
      </w:tr>
      <w:tr w14:paraId="32BD570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DE965FA">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规章</w:t>
            </w:r>
          </w:p>
        </w:tc>
        <w:tc>
          <w:tcPr>
            <w:tcW w:w="2206" w:type="dxa"/>
            <w:tcBorders>
              <w:top w:val="nil"/>
              <w:left w:val="nil"/>
              <w:bottom w:val="single" w:color="auto" w:sz="8" w:space="0"/>
              <w:right w:val="single" w:color="auto" w:sz="8" w:space="0"/>
            </w:tcBorders>
            <w:shd w:val="clear" w:color="auto" w:fill="auto"/>
            <w:vAlign w:val="center"/>
          </w:tcPr>
          <w:p w14:paraId="37193615">
            <w:pPr>
              <w:widowControl/>
              <w:jc w:val="center"/>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60D7366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0BDF6D0">
            <w:pPr>
              <w:widowControl/>
              <w:jc w:val="center"/>
              <w:rPr>
                <w:rFonts w:ascii="仿宋_GB2312" w:hAnsi="Calibri" w:eastAsia="仿宋_GB2312" w:cs="Calibri"/>
                <w:color w:val="auto"/>
                <w:kern w:val="0"/>
                <w:szCs w:val="21"/>
                <w:highlight w:val="none"/>
              </w:rPr>
            </w:pPr>
            <w:r>
              <w:rPr>
                <w:rFonts w:hint="eastAsia" w:ascii="仿宋_GB2312" w:hAnsi="宋体" w:eastAsia="仿宋_GB2312" w:cs="宋体"/>
                <w:color w:val="auto"/>
                <w:kern w:val="0"/>
                <w:szCs w:val="21"/>
                <w:highlight w:val="none"/>
                <w:lang w:val="en-US" w:eastAsia="zh-CN"/>
              </w:rPr>
              <w:t>0</w:t>
            </w:r>
          </w:p>
        </w:tc>
      </w:tr>
      <w:tr w14:paraId="1274A51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90DB861">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03A16295">
            <w:pPr>
              <w:widowControl/>
              <w:jc w:val="center"/>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C3AC0CA">
            <w:pPr>
              <w:widowControl/>
              <w:jc w:val="center"/>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004D6DD">
            <w:pPr>
              <w:widowControl/>
              <w:jc w:val="center"/>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1</w:t>
            </w:r>
          </w:p>
        </w:tc>
      </w:tr>
      <w:tr w14:paraId="1078AA94">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272DD3C">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第二十条第（五）项</w:t>
            </w:r>
          </w:p>
        </w:tc>
      </w:tr>
      <w:tr w14:paraId="32F2344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7F641B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5D92D5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本年处理决定数量</w:t>
            </w:r>
          </w:p>
        </w:tc>
      </w:tr>
      <w:tr w14:paraId="4556003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EA902B3">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1CB44D0">
            <w:pPr>
              <w:widowControl/>
              <w:jc w:val="center"/>
              <w:rPr>
                <w:rFonts w:hint="eastAsia" w:ascii="仿宋_GB2312" w:hAnsi="Calibri" w:eastAsia="仿宋_GB2312" w:cs="Calibri"/>
                <w:color w:val="auto"/>
                <w:kern w:val="0"/>
                <w:szCs w:val="21"/>
                <w:highlight w:val="none"/>
                <w:lang w:val="en-US" w:eastAsia="zh-CN"/>
              </w:rPr>
            </w:pPr>
            <w:r>
              <w:rPr>
                <w:rFonts w:hint="eastAsia" w:ascii="仿宋_GB2312" w:hAnsi="Calibri" w:eastAsia="仿宋_GB2312" w:cs="Calibri"/>
                <w:color w:val="auto"/>
                <w:kern w:val="0"/>
                <w:szCs w:val="21"/>
                <w:highlight w:val="none"/>
                <w:lang w:val="en-US" w:eastAsia="zh-CN"/>
              </w:rPr>
              <w:t>0</w:t>
            </w:r>
          </w:p>
        </w:tc>
      </w:tr>
      <w:tr w14:paraId="1708CB27">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EA0DD">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第二十条第（六）项</w:t>
            </w:r>
          </w:p>
        </w:tc>
      </w:tr>
      <w:tr w14:paraId="3BE4C23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B28453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21FEC0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本年处理决定数量</w:t>
            </w:r>
          </w:p>
        </w:tc>
      </w:tr>
      <w:tr w14:paraId="4C01193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2C6514B">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41051DA">
            <w:pPr>
              <w:widowControl/>
              <w:jc w:val="center"/>
              <w:rPr>
                <w:rFonts w:hint="default" w:ascii="仿宋_GB2312" w:hAnsi="Calibri" w:eastAsia="仿宋_GB2312" w:cs="Calibri"/>
                <w:color w:val="auto"/>
                <w:kern w:val="0"/>
                <w:szCs w:val="21"/>
                <w:highlight w:val="none"/>
                <w:lang w:val="en-US" w:eastAsia="zh-CN"/>
              </w:rPr>
            </w:pPr>
            <w:r>
              <w:rPr>
                <w:rFonts w:hint="eastAsia" w:ascii="仿宋_GB2312" w:hAnsi="Calibri" w:eastAsia="仿宋_GB2312" w:cs="Calibri"/>
                <w:color w:val="auto"/>
                <w:kern w:val="0"/>
                <w:szCs w:val="21"/>
                <w:highlight w:val="none"/>
                <w:shd w:val="clear"/>
                <w:lang w:val="en-US" w:eastAsia="zh-CN"/>
              </w:rPr>
              <w:t>107（一般程序）</w:t>
            </w:r>
          </w:p>
        </w:tc>
      </w:tr>
      <w:tr w14:paraId="2537195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A179EA9">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5626730">
            <w:pPr>
              <w:widowControl/>
              <w:jc w:val="center"/>
              <w:rPr>
                <w:rFonts w:hint="eastAsia" w:ascii="仿宋_GB2312" w:hAnsi="Calibri" w:eastAsia="仿宋_GB2312" w:cs="Calibri"/>
                <w:color w:val="auto"/>
                <w:kern w:val="0"/>
                <w:szCs w:val="21"/>
                <w:highlight w:val="none"/>
                <w:lang w:eastAsia="zh-CN"/>
              </w:rPr>
            </w:pPr>
            <w:r>
              <w:rPr>
                <w:rFonts w:hint="eastAsia" w:ascii="仿宋_GB2312" w:hAnsi="Calibri" w:eastAsia="仿宋_GB2312" w:cs="Calibri"/>
                <w:color w:val="auto"/>
                <w:kern w:val="0"/>
                <w:szCs w:val="21"/>
                <w:highlight w:val="none"/>
                <w:lang w:val="en-US" w:eastAsia="zh-CN"/>
              </w:rPr>
              <w:t>0</w:t>
            </w:r>
          </w:p>
        </w:tc>
      </w:tr>
      <w:tr w14:paraId="0A745AA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DCF767">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第二十条第（八）项</w:t>
            </w:r>
          </w:p>
        </w:tc>
      </w:tr>
      <w:tr w14:paraId="50D5A3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A92E83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B0125E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本年收费金额（单位：万元）</w:t>
            </w:r>
          </w:p>
        </w:tc>
      </w:tr>
      <w:tr w14:paraId="23FDE97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4F008D5">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110CBE3">
            <w:pPr>
              <w:widowControl/>
              <w:jc w:val="center"/>
              <w:rPr>
                <w:rFonts w:hint="eastAsia" w:ascii="仿宋_GB2312" w:hAnsi="Calibri" w:eastAsia="仿宋_GB2312" w:cs="Calibri"/>
                <w:color w:val="auto"/>
                <w:kern w:val="0"/>
                <w:szCs w:val="21"/>
                <w:highlight w:val="none"/>
                <w:lang w:eastAsia="zh-CN"/>
              </w:rPr>
            </w:pPr>
            <w:r>
              <w:rPr>
                <w:rFonts w:hint="eastAsia" w:ascii="仿宋_GB2312" w:hAnsi="Calibri" w:eastAsia="仿宋_GB2312" w:cs="Calibri"/>
                <w:color w:val="auto"/>
                <w:kern w:val="0"/>
                <w:szCs w:val="21"/>
                <w:highlight w:val="none"/>
                <w:lang w:val="en-US" w:eastAsia="zh-CN"/>
              </w:rPr>
              <w:t>0</w:t>
            </w:r>
          </w:p>
        </w:tc>
      </w:tr>
    </w:tbl>
    <w:p w14:paraId="3C55C2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02" w:firstLineChars="200"/>
        <w:jc w:val="both"/>
        <w:textAlignment w:val="auto"/>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pPr>
    </w:p>
    <w:p w14:paraId="4E2891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02" w:firstLineChars="200"/>
        <w:jc w:val="both"/>
        <w:textAlignment w:val="auto"/>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pPr>
      <w:r>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t>三、行政机关收到和处理政府信息公开申请情况</w:t>
      </w:r>
    </w:p>
    <w:tbl>
      <w:tblPr>
        <w:tblStyle w:val="6"/>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2"/>
        <w:gridCol w:w="545"/>
        <w:gridCol w:w="5"/>
        <w:gridCol w:w="535"/>
        <w:gridCol w:w="720"/>
        <w:gridCol w:w="675"/>
        <w:gridCol w:w="525"/>
        <w:gridCol w:w="1"/>
        <w:gridCol w:w="700"/>
      </w:tblGrid>
      <w:tr w14:paraId="75F98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29970D4B">
            <w:pPr>
              <w:widowControl/>
              <w:jc w:val="center"/>
              <w:rPr>
                <w:rFonts w:ascii="楷体_GB2312" w:hAnsi="黑体" w:eastAsia="楷体_GB2312"/>
                <w:color w:val="auto"/>
                <w:kern w:val="0"/>
                <w:szCs w:val="21"/>
                <w:highlight w:val="none"/>
              </w:rPr>
            </w:pPr>
            <w:r>
              <w:rPr>
                <w:rFonts w:hint="eastAsia" w:ascii="楷体_GB2312" w:hAnsi="黑体" w:eastAsia="楷体_GB2312"/>
                <w:color w:val="auto"/>
                <w:kern w:val="0"/>
                <w:szCs w:val="21"/>
                <w:highlight w:val="none"/>
              </w:rPr>
              <w:t>（本列数据的勾稽关系为：第一项加第二项之和，</w:t>
            </w:r>
          </w:p>
          <w:p w14:paraId="6F6CAC29">
            <w:pPr>
              <w:widowControl/>
              <w:jc w:val="center"/>
              <w:rPr>
                <w:rFonts w:ascii="仿宋_GB2312" w:hAnsi="Times New Roman" w:eastAsia="仿宋_GB2312"/>
                <w:color w:val="auto"/>
                <w:szCs w:val="21"/>
                <w:highlight w:val="none"/>
              </w:rPr>
            </w:pPr>
            <w:r>
              <w:rPr>
                <w:rFonts w:hint="eastAsia" w:ascii="楷体_GB2312" w:hAnsi="黑体" w:eastAsia="楷体_GB2312"/>
                <w:color w:val="auto"/>
                <w:kern w:val="0"/>
                <w:szCs w:val="21"/>
                <w:highlight w:val="none"/>
              </w:rPr>
              <w:t>等于第三项加第四项之和）</w:t>
            </w:r>
          </w:p>
        </w:tc>
        <w:tc>
          <w:tcPr>
            <w:tcW w:w="4448" w:type="dxa"/>
            <w:gridSpan w:val="9"/>
            <w:shd w:val="clear" w:color="auto" w:fill="auto"/>
            <w:tcMar>
              <w:left w:w="108" w:type="dxa"/>
              <w:right w:w="108" w:type="dxa"/>
            </w:tcMar>
            <w:vAlign w:val="center"/>
          </w:tcPr>
          <w:p w14:paraId="56C33B7D">
            <w:pPr>
              <w:widowControl/>
              <w:spacing w:line="320" w:lineRule="exact"/>
              <w:jc w:val="center"/>
              <w:rPr>
                <w:rFonts w:ascii="黑体" w:hAnsi="黑体" w:eastAsia="黑体"/>
                <w:color w:val="auto"/>
                <w:szCs w:val="21"/>
                <w:highlight w:val="none"/>
              </w:rPr>
            </w:pPr>
            <w:r>
              <w:rPr>
                <w:rFonts w:hint="eastAsia" w:ascii="黑体" w:hAnsi="黑体" w:eastAsia="黑体"/>
                <w:color w:val="auto"/>
                <w:kern w:val="0"/>
                <w:szCs w:val="21"/>
                <w:highlight w:val="none"/>
              </w:rPr>
              <w:t>申请人情况</w:t>
            </w:r>
          </w:p>
        </w:tc>
      </w:tr>
      <w:tr w14:paraId="5B2C0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38988B17">
            <w:pPr>
              <w:jc w:val="center"/>
              <w:rPr>
                <w:rFonts w:ascii="仿宋_GB2312" w:hAnsi="Times New Roman" w:eastAsia="仿宋_GB2312"/>
                <w:color w:val="auto"/>
                <w:szCs w:val="21"/>
                <w:highlight w:val="none"/>
              </w:rPr>
            </w:pPr>
          </w:p>
        </w:tc>
        <w:tc>
          <w:tcPr>
            <w:tcW w:w="742" w:type="dxa"/>
            <w:vMerge w:val="restart"/>
            <w:shd w:val="clear" w:color="auto" w:fill="auto"/>
            <w:tcMar>
              <w:left w:w="108" w:type="dxa"/>
              <w:right w:w="108" w:type="dxa"/>
            </w:tcMar>
            <w:vAlign w:val="center"/>
          </w:tcPr>
          <w:p w14:paraId="71E60CB1">
            <w:pPr>
              <w:widowControl/>
              <w:jc w:val="center"/>
              <w:rPr>
                <w:rFonts w:ascii="黑体" w:hAnsi="黑体" w:eastAsia="黑体"/>
                <w:color w:val="auto"/>
                <w:szCs w:val="21"/>
                <w:highlight w:val="none"/>
              </w:rPr>
            </w:pPr>
            <w:r>
              <w:rPr>
                <w:rFonts w:hint="eastAsia" w:ascii="黑体" w:hAnsi="黑体" w:eastAsia="黑体"/>
                <w:color w:val="auto"/>
                <w:kern w:val="0"/>
                <w:szCs w:val="21"/>
                <w:highlight w:val="none"/>
              </w:rPr>
              <w:t>自然人</w:t>
            </w:r>
          </w:p>
        </w:tc>
        <w:tc>
          <w:tcPr>
            <w:tcW w:w="3005" w:type="dxa"/>
            <w:gridSpan w:val="6"/>
            <w:shd w:val="clear" w:color="auto" w:fill="auto"/>
            <w:tcMar>
              <w:left w:w="108" w:type="dxa"/>
              <w:right w:w="108" w:type="dxa"/>
            </w:tcMar>
            <w:vAlign w:val="center"/>
          </w:tcPr>
          <w:p w14:paraId="5D5D8755">
            <w:pPr>
              <w:widowControl/>
              <w:spacing w:line="320" w:lineRule="exact"/>
              <w:jc w:val="center"/>
              <w:rPr>
                <w:rFonts w:ascii="黑体" w:hAnsi="黑体" w:eastAsia="黑体"/>
                <w:color w:val="auto"/>
                <w:szCs w:val="21"/>
                <w:highlight w:val="none"/>
              </w:rPr>
            </w:pPr>
            <w:r>
              <w:rPr>
                <w:rFonts w:hint="eastAsia" w:ascii="黑体" w:hAnsi="黑体" w:eastAsia="黑体"/>
                <w:color w:val="auto"/>
                <w:kern w:val="0"/>
                <w:szCs w:val="21"/>
                <w:highlight w:val="none"/>
              </w:rPr>
              <w:t>法人或其他组织</w:t>
            </w:r>
          </w:p>
        </w:tc>
        <w:tc>
          <w:tcPr>
            <w:tcW w:w="701" w:type="dxa"/>
            <w:gridSpan w:val="2"/>
            <w:vMerge w:val="restart"/>
            <w:shd w:val="clear" w:color="auto" w:fill="auto"/>
            <w:tcMar>
              <w:left w:w="108" w:type="dxa"/>
              <w:right w:w="108" w:type="dxa"/>
            </w:tcMar>
            <w:vAlign w:val="center"/>
          </w:tcPr>
          <w:p w14:paraId="24D6F208">
            <w:pPr>
              <w:widowControl/>
              <w:jc w:val="center"/>
              <w:rPr>
                <w:rFonts w:ascii="黑体" w:hAnsi="黑体" w:eastAsia="黑体"/>
                <w:color w:val="auto"/>
                <w:szCs w:val="21"/>
                <w:highlight w:val="none"/>
              </w:rPr>
            </w:pPr>
            <w:r>
              <w:rPr>
                <w:rFonts w:hint="eastAsia" w:ascii="黑体" w:hAnsi="黑体" w:eastAsia="黑体"/>
                <w:color w:val="auto"/>
                <w:kern w:val="0"/>
                <w:szCs w:val="21"/>
                <w:highlight w:val="none"/>
              </w:rPr>
              <w:t>总计</w:t>
            </w:r>
          </w:p>
        </w:tc>
      </w:tr>
      <w:tr w14:paraId="2AE24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00D88FD4">
            <w:pPr>
              <w:jc w:val="center"/>
              <w:rPr>
                <w:rFonts w:ascii="仿宋_GB2312" w:hAnsi="Times New Roman" w:eastAsia="仿宋_GB2312"/>
                <w:color w:val="auto"/>
                <w:szCs w:val="21"/>
                <w:highlight w:val="none"/>
              </w:rPr>
            </w:pPr>
          </w:p>
        </w:tc>
        <w:tc>
          <w:tcPr>
            <w:tcW w:w="742" w:type="dxa"/>
            <w:vMerge w:val="continue"/>
            <w:shd w:val="clear" w:color="auto" w:fill="auto"/>
            <w:tcMar>
              <w:left w:w="108" w:type="dxa"/>
              <w:right w:w="108" w:type="dxa"/>
            </w:tcMar>
            <w:vAlign w:val="center"/>
          </w:tcPr>
          <w:p w14:paraId="4DB7D137">
            <w:pPr>
              <w:jc w:val="center"/>
              <w:rPr>
                <w:rFonts w:ascii="黑体" w:hAnsi="黑体" w:eastAsia="黑体"/>
                <w:color w:val="auto"/>
                <w:szCs w:val="21"/>
                <w:highlight w:val="none"/>
              </w:rPr>
            </w:pPr>
          </w:p>
        </w:tc>
        <w:tc>
          <w:tcPr>
            <w:tcW w:w="545" w:type="dxa"/>
            <w:shd w:val="clear" w:color="auto" w:fill="auto"/>
            <w:tcMar>
              <w:left w:w="108" w:type="dxa"/>
              <w:right w:w="108" w:type="dxa"/>
            </w:tcMar>
            <w:vAlign w:val="center"/>
          </w:tcPr>
          <w:p w14:paraId="65B73969">
            <w:pPr>
              <w:widowControl/>
              <w:spacing w:line="320" w:lineRule="exact"/>
              <w:ind w:left="-106" w:leftChars="-51" w:right="-107" w:rightChars="-51" w:hanging="1"/>
              <w:jc w:val="center"/>
              <w:rPr>
                <w:rFonts w:ascii="黑体" w:hAnsi="黑体" w:eastAsia="黑体"/>
                <w:color w:val="auto"/>
                <w:szCs w:val="21"/>
                <w:highlight w:val="none"/>
              </w:rPr>
            </w:pPr>
            <w:r>
              <w:rPr>
                <w:rFonts w:hint="eastAsia" w:ascii="黑体" w:hAnsi="黑体" w:eastAsia="黑体"/>
                <w:color w:val="auto"/>
                <w:kern w:val="0"/>
                <w:szCs w:val="21"/>
                <w:highlight w:val="none"/>
              </w:rPr>
              <w:t>商业企业</w:t>
            </w:r>
          </w:p>
        </w:tc>
        <w:tc>
          <w:tcPr>
            <w:tcW w:w="540" w:type="dxa"/>
            <w:gridSpan w:val="2"/>
            <w:shd w:val="clear" w:color="auto" w:fill="auto"/>
            <w:tcMar>
              <w:left w:w="108" w:type="dxa"/>
              <w:right w:w="108" w:type="dxa"/>
            </w:tcMar>
            <w:vAlign w:val="center"/>
          </w:tcPr>
          <w:p w14:paraId="75A1BBCA">
            <w:pPr>
              <w:widowControl/>
              <w:spacing w:line="320" w:lineRule="exact"/>
              <w:ind w:left="-107" w:leftChars="-51" w:right="-107" w:rightChars="-51"/>
              <w:jc w:val="center"/>
              <w:rPr>
                <w:rFonts w:ascii="黑体" w:hAnsi="黑体" w:eastAsia="黑体"/>
                <w:color w:val="auto"/>
                <w:szCs w:val="21"/>
                <w:highlight w:val="none"/>
              </w:rPr>
            </w:pPr>
            <w:r>
              <w:rPr>
                <w:rFonts w:hint="eastAsia" w:ascii="黑体" w:hAnsi="黑体" w:eastAsia="黑体"/>
                <w:color w:val="auto"/>
                <w:kern w:val="0"/>
                <w:szCs w:val="21"/>
                <w:highlight w:val="none"/>
              </w:rPr>
              <w:t>科研机构</w:t>
            </w:r>
          </w:p>
        </w:tc>
        <w:tc>
          <w:tcPr>
            <w:tcW w:w="720" w:type="dxa"/>
            <w:shd w:val="clear" w:color="auto" w:fill="auto"/>
            <w:tcMar>
              <w:left w:w="108" w:type="dxa"/>
              <w:right w:w="108" w:type="dxa"/>
            </w:tcMar>
            <w:vAlign w:val="center"/>
          </w:tcPr>
          <w:p w14:paraId="17CA35CE">
            <w:pPr>
              <w:widowControl/>
              <w:spacing w:line="320" w:lineRule="exact"/>
              <w:ind w:left="-107" w:leftChars="-51" w:right="-107" w:rightChars="-51"/>
              <w:jc w:val="center"/>
              <w:rPr>
                <w:rFonts w:ascii="黑体" w:hAnsi="黑体" w:eastAsia="黑体"/>
                <w:color w:val="auto"/>
                <w:szCs w:val="21"/>
                <w:highlight w:val="none"/>
              </w:rPr>
            </w:pPr>
            <w:r>
              <w:rPr>
                <w:rFonts w:hint="eastAsia" w:ascii="黑体" w:hAnsi="黑体" w:eastAsia="黑体"/>
                <w:color w:val="auto"/>
                <w:kern w:val="0"/>
                <w:szCs w:val="21"/>
                <w:highlight w:val="none"/>
              </w:rPr>
              <w:t>社会公益组织</w:t>
            </w:r>
          </w:p>
        </w:tc>
        <w:tc>
          <w:tcPr>
            <w:tcW w:w="675" w:type="dxa"/>
            <w:shd w:val="clear" w:color="auto" w:fill="auto"/>
            <w:tcMar>
              <w:left w:w="108" w:type="dxa"/>
              <w:right w:w="108" w:type="dxa"/>
            </w:tcMar>
            <w:vAlign w:val="center"/>
          </w:tcPr>
          <w:p w14:paraId="78B4477A">
            <w:pPr>
              <w:widowControl/>
              <w:spacing w:line="320" w:lineRule="exact"/>
              <w:ind w:left="-106" w:leftChars="-51" w:right="-107" w:rightChars="-51" w:hanging="1"/>
              <w:jc w:val="center"/>
              <w:rPr>
                <w:rFonts w:ascii="黑体" w:hAnsi="黑体" w:eastAsia="黑体"/>
                <w:color w:val="auto"/>
                <w:szCs w:val="21"/>
                <w:highlight w:val="none"/>
              </w:rPr>
            </w:pPr>
            <w:r>
              <w:rPr>
                <w:rFonts w:hint="eastAsia" w:ascii="黑体" w:hAnsi="黑体" w:eastAsia="黑体"/>
                <w:color w:val="auto"/>
                <w:kern w:val="0"/>
                <w:szCs w:val="21"/>
                <w:highlight w:val="none"/>
              </w:rPr>
              <w:t>法律服务机构</w:t>
            </w:r>
          </w:p>
        </w:tc>
        <w:tc>
          <w:tcPr>
            <w:tcW w:w="525" w:type="dxa"/>
            <w:shd w:val="clear" w:color="auto" w:fill="auto"/>
            <w:tcMar>
              <w:left w:w="108" w:type="dxa"/>
              <w:right w:w="108" w:type="dxa"/>
            </w:tcMar>
            <w:vAlign w:val="center"/>
          </w:tcPr>
          <w:p w14:paraId="70736166">
            <w:pPr>
              <w:widowControl/>
              <w:spacing w:line="360" w:lineRule="exact"/>
              <w:ind w:left="-63" w:leftChars="-30" w:right="-134" w:rightChars="-64"/>
              <w:jc w:val="center"/>
              <w:rPr>
                <w:rFonts w:ascii="黑体" w:hAnsi="黑体" w:eastAsia="黑体"/>
                <w:color w:val="auto"/>
                <w:szCs w:val="21"/>
                <w:highlight w:val="none"/>
              </w:rPr>
            </w:pPr>
            <w:r>
              <w:rPr>
                <w:rFonts w:hint="eastAsia" w:ascii="黑体" w:hAnsi="黑体" w:eastAsia="黑体"/>
                <w:color w:val="auto"/>
                <w:kern w:val="0"/>
                <w:szCs w:val="21"/>
                <w:highlight w:val="none"/>
              </w:rPr>
              <w:t>其他</w:t>
            </w:r>
          </w:p>
        </w:tc>
        <w:tc>
          <w:tcPr>
            <w:tcW w:w="701" w:type="dxa"/>
            <w:gridSpan w:val="2"/>
            <w:vMerge w:val="continue"/>
            <w:shd w:val="clear" w:color="auto" w:fill="auto"/>
            <w:tcMar>
              <w:left w:w="108" w:type="dxa"/>
              <w:right w:w="108" w:type="dxa"/>
            </w:tcMar>
            <w:vAlign w:val="center"/>
          </w:tcPr>
          <w:p w14:paraId="73BB22BA">
            <w:pPr>
              <w:jc w:val="center"/>
              <w:rPr>
                <w:rFonts w:ascii="仿宋_GB2312" w:hAnsi="Times New Roman" w:eastAsia="仿宋_GB2312"/>
                <w:color w:val="auto"/>
                <w:szCs w:val="21"/>
                <w:highlight w:val="none"/>
              </w:rPr>
            </w:pPr>
          </w:p>
        </w:tc>
      </w:tr>
      <w:tr w14:paraId="7CD5B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787567C">
            <w:pPr>
              <w:widowControl/>
              <w:rPr>
                <w:rFonts w:ascii="黑体" w:hAnsi="黑体" w:eastAsia="黑体"/>
                <w:color w:val="auto"/>
                <w:szCs w:val="21"/>
                <w:highlight w:val="none"/>
              </w:rPr>
            </w:pPr>
            <w:r>
              <w:rPr>
                <w:rFonts w:hint="eastAsia" w:ascii="黑体" w:hAnsi="黑体" w:eastAsia="黑体"/>
                <w:color w:val="auto"/>
                <w:kern w:val="0"/>
                <w:szCs w:val="21"/>
                <w:highlight w:val="none"/>
              </w:rPr>
              <w:t>一、</w:t>
            </w:r>
            <w:bookmarkStart w:id="0" w:name="_Hlk66973412"/>
            <w:r>
              <w:rPr>
                <w:rFonts w:hint="eastAsia" w:ascii="黑体" w:hAnsi="黑体" w:eastAsia="黑体"/>
                <w:color w:val="auto"/>
                <w:kern w:val="0"/>
                <w:szCs w:val="21"/>
                <w:highlight w:val="none"/>
              </w:rPr>
              <w:t>本年新收政府信息公开申请数量</w:t>
            </w:r>
            <w:bookmarkEnd w:id="0"/>
          </w:p>
        </w:tc>
        <w:tc>
          <w:tcPr>
            <w:tcW w:w="742" w:type="dxa"/>
            <w:shd w:val="clear" w:color="auto" w:fill="auto"/>
            <w:tcMar>
              <w:left w:w="108" w:type="dxa"/>
              <w:right w:w="108" w:type="dxa"/>
            </w:tcMar>
            <w:vAlign w:val="center"/>
          </w:tcPr>
          <w:p w14:paraId="1FC77F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21</w:t>
            </w:r>
          </w:p>
        </w:tc>
        <w:tc>
          <w:tcPr>
            <w:tcW w:w="545" w:type="dxa"/>
            <w:shd w:val="clear" w:color="auto" w:fill="auto"/>
            <w:tcMar>
              <w:left w:w="108" w:type="dxa"/>
              <w:right w:w="108" w:type="dxa"/>
            </w:tcMar>
            <w:vAlign w:val="center"/>
          </w:tcPr>
          <w:p w14:paraId="4F0F0B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39CE78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79C91AE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1327ABD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3F0720D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33DD04A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21</w:t>
            </w:r>
          </w:p>
        </w:tc>
      </w:tr>
      <w:tr w14:paraId="5677F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6BAAA52">
            <w:pPr>
              <w:widowControl/>
              <w:rPr>
                <w:rFonts w:ascii="黑体" w:hAnsi="黑体" w:eastAsia="黑体"/>
                <w:color w:val="auto"/>
                <w:szCs w:val="21"/>
                <w:highlight w:val="none"/>
              </w:rPr>
            </w:pPr>
            <w:r>
              <w:rPr>
                <w:rFonts w:hint="eastAsia" w:ascii="黑体" w:hAnsi="黑体" w:eastAsia="黑体"/>
                <w:color w:val="auto"/>
                <w:kern w:val="0"/>
                <w:szCs w:val="21"/>
                <w:highlight w:val="none"/>
              </w:rPr>
              <w:t>二、上年结转政府信息公开申请数量</w:t>
            </w:r>
          </w:p>
        </w:tc>
        <w:tc>
          <w:tcPr>
            <w:tcW w:w="742" w:type="dxa"/>
            <w:shd w:val="clear" w:color="auto" w:fill="auto"/>
            <w:tcMar>
              <w:left w:w="108" w:type="dxa"/>
              <w:right w:w="108" w:type="dxa"/>
            </w:tcMar>
            <w:vAlign w:val="center"/>
          </w:tcPr>
          <w:p w14:paraId="7F2893A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6A005DB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7AFA2E6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26A936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79543E9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7DE5FE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342344E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14:paraId="11D4B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0DB19BAD">
            <w:pPr>
              <w:widowControl/>
              <w:spacing w:after="180"/>
              <w:rPr>
                <w:rFonts w:ascii="黑体" w:hAnsi="黑体" w:eastAsia="黑体"/>
                <w:color w:val="auto"/>
                <w:szCs w:val="21"/>
                <w:highlight w:val="none"/>
              </w:rPr>
            </w:pPr>
            <w:r>
              <w:rPr>
                <w:rFonts w:hint="eastAsia" w:ascii="黑体" w:hAnsi="黑体" w:eastAsia="黑体"/>
                <w:color w:val="auto"/>
                <w:kern w:val="0"/>
                <w:szCs w:val="21"/>
                <w:highlight w:val="none"/>
              </w:rPr>
              <w:t>三、本年度办理结果</w:t>
            </w:r>
          </w:p>
        </w:tc>
        <w:tc>
          <w:tcPr>
            <w:tcW w:w="4677" w:type="dxa"/>
            <w:gridSpan w:val="2"/>
            <w:shd w:val="clear" w:color="auto" w:fill="auto"/>
            <w:tcMar>
              <w:left w:w="108" w:type="dxa"/>
              <w:right w:w="108" w:type="dxa"/>
            </w:tcMar>
            <w:vAlign w:val="center"/>
          </w:tcPr>
          <w:p w14:paraId="6D39B005">
            <w:pPr>
              <w:widowControl/>
              <w:rPr>
                <w:rFonts w:ascii="黑体" w:hAnsi="黑体" w:eastAsia="黑体"/>
                <w:color w:val="auto"/>
                <w:szCs w:val="21"/>
                <w:highlight w:val="none"/>
              </w:rPr>
            </w:pPr>
            <w:r>
              <w:rPr>
                <w:rFonts w:hint="eastAsia" w:ascii="黑体" w:hAnsi="黑体" w:eastAsia="黑体"/>
                <w:color w:val="auto"/>
                <w:kern w:val="0"/>
                <w:szCs w:val="21"/>
                <w:highlight w:val="none"/>
              </w:rPr>
              <w:t>（一）予以公开</w:t>
            </w:r>
          </w:p>
        </w:tc>
        <w:tc>
          <w:tcPr>
            <w:tcW w:w="742" w:type="dxa"/>
            <w:shd w:val="clear" w:color="auto" w:fill="auto"/>
            <w:tcMar>
              <w:left w:w="108" w:type="dxa"/>
              <w:right w:w="108" w:type="dxa"/>
            </w:tcMar>
            <w:vAlign w:val="center"/>
          </w:tcPr>
          <w:p w14:paraId="78CF536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2</w:t>
            </w:r>
          </w:p>
        </w:tc>
        <w:tc>
          <w:tcPr>
            <w:tcW w:w="550" w:type="dxa"/>
            <w:gridSpan w:val="2"/>
            <w:shd w:val="clear" w:color="auto" w:fill="auto"/>
            <w:tcMar>
              <w:left w:w="108" w:type="dxa"/>
              <w:right w:w="108" w:type="dxa"/>
            </w:tcMar>
            <w:vAlign w:val="center"/>
          </w:tcPr>
          <w:p w14:paraId="7D4E364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35" w:type="dxa"/>
            <w:shd w:val="clear" w:color="auto" w:fill="auto"/>
            <w:tcMar>
              <w:left w:w="108" w:type="dxa"/>
              <w:right w:w="108" w:type="dxa"/>
            </w:tcMar>
            <w:vAlign w:val="center"/>
          </w:tcPr>
          <w:p w14:paraId="1355C0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66EF6FD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10AA543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26" w:type="dxa"/>
            <w:gridSpan w:val="2"/>
            <w:shd w:val="clear" w:color="auto" w:fill="auto"/>
            <w:tcMar>
              <w:left w:w="108" w:type="dxa"/>
              <w:right w:w="108" w:type="dxa"/>
            </w:tcMar>
            <w:vAlign w:val="center"/>
          </w:tcPr>
          <w:p w14:paraId="61041DD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0" w:type="dxa"/>
            <w:shd w:val="clear" w:color="auto" w:fill="auto"/>
            <w:tcMar>
              <w:left w:w="108" w:type="dxa"/>
              <w:right w:w="108" w:type="dxa"/>
            </w:tcMar>
            <w:vAlign w:val="center"/>
          </w:tcPr>
          <w:p w14:paraId="535A744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2</w:t>
            </w:r>
          </w:p>
        </w:tc>
      </w:tr>
      <w:tr w14:paraId="0AC84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0F0CB76">
            <w:pPr>
              <w:rPr>
                <w:rFonts w:ascii="黑体" w:hAnsi="黑体" w:eastAsia="黑体"/>
                <w:color w:val="auto"/>
                <w:szCs w:val="21"/>
                <w:highlight w:val="none"/>
              </w:rPr>
            </w:pPr>
          </w:p>
        </w:tc>
        <w:tc>
          <w:tcPr>
            <w:tcW w:w="4677" w:type="dxa"/>
            <w:gridSpan w:val="2"/>
            <w:shd w:val="clear" w:color="auto" w:fill="auto"/>
            <w:tcMar>
              <w:left w:w="108" w:type="dxa"/>
              <w:right w:w="108" w:type="dxa"/>
            </w:tcMar>
            <w:vAlign w:val="center"/>
          </w:tcPr>
          <w:p w14:paraId="2CFE3F1A">
            <w:pPr>
              <w:widowControl/>
              <w:rPr>
                <w:rFonts w:ascii="黑体" w:hAnsi="黑体" w:eastAsia="黑体"/>
                <w:color w:val="auto"/>
                <w:szCs w:val="21"/>
                <w:highlight w:val="none"/>
              </w:rPr>
            </w:pPr>
            <w:r>
              <w:rPr>
                <w:rFonts w:hint="eastAsia" w:ascii="黑体" w:hAnsi="黑体" w:eastAsia="黑体"/>
                <w:color w:val="auto"/>
                <w:kern w:val="0"/>
                <w:szCs w:val="21"/>
                <w:highlight w:val="none"/>
              </w:rPr>
              <w:t>（二）部分公开（</w:t>
            </w:r>
            <w:bookmarkStart w:id="1" w:name="_Hlk66973981"/>
            <w:r>
              <w:rPr>
                <w:rFonts w:hint="eastAsia" w:ascii="黑体" w:hAnsi="黑体" w:eastAsia="黑体"/>
                <w:color w:val="auto"/>
                <w:kern w:val="0"/>
                <w:szCs w:val="21"/>
                <w:highlight w:val="none"/>
              </w:rPr>
              <w:t>区分处理的，只计这一情形，不计其他情形</w:t>
            </w:r>
            <w:bookmarkEnd w:id="1"/>
            <w:r>
              <w:rPr>
                <w:rFonts w:hint="eastAsia" w:ascii="黑体" w:hAnsi="黑体" w:eastAsia="黑体"/>
                <w:color w:val="auto"/>
                <w:kern w:val="0"/>
                <w:szCs w:val="21"/>
                <w:highlight w:val="none"/>
              </w:rPr>
              <w:t>）</w:t>
            </w:r>
          </w:p>
        </w:tc>
        <w:tc>
          <w:tcPr>
            <w:tcW w:w="742" w:type="dxa"/>
            <w:shd w:val="clear" w:color="auto" w:fill="auto"/>
            <w:tcMar>
              <w:left w:w="108" w:type="dxa"/>
              <w:right w:w="108" w:type="dxa"/>
            </w:tcMar>
            <w:vAlign w:val="center"/>
          </w:tcPr>
          <w:p w14:paraId="7FE351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1</w:t>
            </w:r>
          </w:p>
        </w:tc>
        <w:tc>
          <w:tcPr>
            <w:tcW w:w="550" w:type="dxa"/>
            <w:gridSpan w:val="2"/>
            <w:shd w:val="clear" w:color="auto" w:fill="auto"/>
            <w:tcMar>
              <w:left w:w="108" w:type="dxa"/>
              <w:right w:w="108" w:type="dxa"/>
            </w:tcMar>
            <w:vAlign w:val="center"/>
          </w:tcPr>
          <w:p w14:paraId="1F9B5E4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35" w:type="dxa"/>
            <w:shd w:val="clear" w:color="auto" w:fill="auto"/>
            <w:tcMar>
              <w:left w:w="108" w:type="dxa"/>
              <w:right w:w="108" w:type="dxa"/>
            </w:tcMar>
            <w:vAlign w:val="center"/>
          </w:tcPr>
          <w:p w14:paraId="33CEFDA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68F32B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7CDC751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26" w:type="dxa"/>
            <w:gridSpan w:val="2"/>
            <w:shd w:val="clear" w:color="auto" w:fill="auto"/>
            <w:tcMar>
              <w:left w:w="108" w:type="dxa"/>
              <w:right w:w="108" w:type="dxa"/>
            </w:tcMar>
            <w:vAlign w:val="center"/>
          </w:tcPr>
          <w:p w14:paraId="707E01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0" w:type="dxa"/>
            <w:shd w:val="clear" w:color="auto" w:fill="auto"/>
            <w:tcMar>
              <w:left w:w="108" w:type="dxa"/>
              <w:right w:w="108" w:type="dxa"/>
            </w:tcMar>
            <w:vAlign w:val="center"/>
          </w:tcPr>
          <w:p w14:paraId="68504F7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1</w:t>
            </w:r>
          </w:p>
        </w:tc>
      </w:tr>
      <w:tr w14:paraId="5BC3D8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BEC2ACB">
            <w:pPr>
              <w:rPr>
                <w:rFonts w:ascii="黑体" w:hAnsi="黑体" w:eastAsia="黑体"/>
                <w:color w:val="auto"/>
                <w:szCs w:val="21"/>
                <w:highlight w:val="none"/>
              </w:rPr>
            </w:pPr>
          </w:p>
        </w:tc>
        <w:tc>
          <w:tcPr>
            <w:tcW w:w="1701" w:type="dxa"/>
            <w:vMerge w:val="restart"/>
            <w:shd w:val="clear" w:color="auto" w:fill="auto"/>
            <w:tcMar>
              <w:left w:w="108" w:type="dxa"/>
              <w:right w:w="108" w:type="dxa"/>
            </w:tcMar>
            <w:vAlign w:val="center"/>
          </w:tcPr>
          <w:p w14:paraId="260F96E8">
            <w:pPr>
              <w:widowControl/>
              <w:spacing w:line="200" w:lineRule="exact"/>
              <w:ind w:left="-107" w:leftChars="-51"/>
              <w:rPr>
                <w:rFonts w:ascii="黑体" w:hAnsi="黑体" w:eastAsia="黑体"/>
                <w:color w:val="auto"/>
                <w:szCs w:val="21"/>
                <w:highlight w:val="none"/>
              </w:rPr>
            </w:pPr>
            <w:r>
              <w:rPr>
                <w:rFonts w:hint="eastAsia" w:ascii="黑体" w:hAnsi="黑体" w:eastAsia="黑体"/>
                <w:color w:val="auto"/>
                <w:kern w:val="0"/>
                <w:szCs w:val="21"/>
                <w:highlight w:val="none"/>
              </w:rPr>
              <w:t>（三）不予公开</w:t>
            </w:r>
          </w:p>
        </w:tc>
        <w:tc>
          <w:tcPr>
            <w:tcW w:w="2976" w:type="dxa"/>
            <w:shd w:val="clear" w:color="auto" w:fill="auto"/>
            <w:tcMar>
              <w:left w:w="108" w:type="dxa"/>
              <w:right w:w="108" w:type="dxa"/>
            </w:tcMar>
            <w:vAlign w:val="center"/>
          </w:tcPr>
          <w:p w14:paraId="493D2D55">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1.属于国家秘密</w:t>
            </w:r>
          </w:p>
        </w:tc>
        <w:tc>
          <w:tcPr>
            <w:tcW w:w="742" w:type="dxa"/>
            <w:shd w:val="clear" w:color="auto" w:fill="auto"/>
            <w:tcMar>
              <w:left w:w="108" w:type="dxa"/>
              <w:right w:w="108" w:type="dxa"/>
            </w:tcMar>
            <w:vAlign w:val="center"/>
          </w:tcPr>
          <w:p w14:paraId="1466DB5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7180393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4B0FD55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780D009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43BDA4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762456D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0CDCAFD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14:paraId="220DB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A2CC78A">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14:paraId="1C105093">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14:paraId="09135B95">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2.</w:t>
            </w:r>
            <w:bookmarkStart w:id="2" w:name="_Hlk66974104"/>
            <w:r>
              <w:rPr>
                <w:rFonts w:hint="eastAsia" w:ascii="仿宋_GB2312" w:hAnsi="黑体" w:eastAsia="仿宋_GB2312"/>
                <w:color w:val="auto"/>
                <w:kern w:val="0"/>
                <w:szCs w:val="21"/>
                <w:highlight w:val="none"/>
              </w:rPr>
              <w:t>其他法律行政法规禁止公开</w:t>
            </w:r>
            <w:bookmarkEnd w:id="2"/>
          </w:p>
        </w:tc>
        <w:tc>
          <w:tcPr>
            <w:tcW w:w="742" w:type="dxa"/>
            <w:shd w:val="clear" w:color="auto" w:fill="auto"/>
            <w:tcMar>
              <w:left w:w="108" w:type="dxa"/>
              <w:right w:w="108" w:type="dxa"/>
            </w:tcMar>
            <w:vAlign w:val="center"/>
          </w:tcPr>
          <w:p w14:paraId="4EBE9D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6183889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598C14B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494AAF8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3B2F7A8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451D50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4B83C97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14:paraId="4B8B8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98310A4">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14:paraId="739AC315">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14:paraId="3F90B205">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3.危及“三安全一稳定”</w:t>
            </w:r>
          </w:p>
        </w:tc>
        <w:tc>
          <w:tcPr>
            <w:tcW w:w="742" w:type="dxa"/>
            <w:shd w:val="clear" w:color="auto" w:fill="auto"/>
            <w:tcMar>
              <w:left w:w="108" w:type="dxa"/>
              <w:right w:w="108" w:type="dxa"/>
            </w:tcMar>
            <w:vAlign w:val="center"/>
          </w:tcPr>
          <w:p w14:paraId="6A6FDF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1449DB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527561E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36E0BC1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39A26E0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466EDB5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055853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14:paraId="21846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7468B70">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14:paraId="7F78AEAC">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14:paraId="15C9E537">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4.</w:t>
            </w:r>
            <w:bookmarkStart w:id="3" w:name="_Hlk66974290"/>
            <w:r>
              <w:rPr>
                <w:rFonts w:hint="eastAsia" w:ascii="仿宋_GB2312" w:hAnsi="黑体" w:eastAsia="仿宋_GB2312"/>
                <w:color w:val="auto"/>
                <w:kern w:val="0"/>
                <w:szCs w:val="21"/>
                <w:highlight w:val="none"/>
              </w:rPr>
              <w:t>保护第三方合法权益</w:t>
            </w:r>
            <w:bookmarkEnd w:id="3"/>
          </w:p>
        </w:tc>
        <w:tc>
          <w:tcPr>
            <w:tcW w:w="742" w:type="dxa"/>
            <w:shd w:val="clear" w:color="auto" w:fill="auto"/>
            <w:tcMar>
              <w:left w:w="108" w:type="dxa"/>
              <w:right w:w="108" w:type="dxa"/>
            </w:tcMar>
            <w:vAlign w:val="center"/>
          </w:tcPr>
          <w:p w14:paraId="5BE9F79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1</w:t>
            </w:r>
          </w:p>
        </w:tc>
        <w:tc>
          <w:tcPr>
            <w:tcW w:w="545" w:type="dxa"/>
            <w:shd w:val="clear" w:color="auto" w:fill="auto"/>
            <w:tcMar>
              <w:left w:w="108" w:type="dxa"/>
              <w:right w:w="108" w:type="dxa"/>
            </w:tcMar>
            <w:vAlign w:val="center"/>
          </w:tcPr>
          <w:p w14:paraId="74867C6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06E7545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6721EF1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15CF7C0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4DCF0CA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362211D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1</w:t>
            </w:r>
          </w:p>
        </w:tc>
      </w:tr>
      <w:tr w14:paraId="5DF29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4FC3B17">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14:paraId="7A21EE34">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14:paraId="121D9834">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5.属于三类内部事务信息</w:t>
            </w:r>
          </w:p>
        </w:tc>
        <w:tc>
          <w:tcPr>
            <w:tcW w:w="742" w:type="dxa"/>
            <w:shd w:val="clear" w:color="auto" w:fill="auto"/>
            <w:tcMar>
              <w:left w:w="108" w:type="dxa"/>
              <w:right w:w="108" w:type="dxa"/>
            </w:tcMar>
            <w:vAlign w:val="center"/>
          </w:tcPr>
          <w:p w14:paraId="08F550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08E226A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4D2C84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2C94A72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7DC465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609AA4D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3FD1B2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14:paraId="1CAFCE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31F09F2">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14:paraId="39F3EA2A">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14:paraId="5EA10426">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6.</w:t>
            </w:r>
            <w:bookmarkStart w:id="4" w:name="_Hlk66974555"/>
            <w:r>
              <w:rPr>
                <w:rFonts w:hint="eastAsia" w:ascii="仿宋_GB2312" w:hAnsi="黑体" w:eastAsia="仿宋_GB2312"/>
                <w:color w:val="auto"/>
                <w:kern w:val="0"/>
                <w:szCs w:val="21"/>
                <w:highlight w:val="none"/>
              </w:rPr>
              <w:t>属于四类过程性信息</w:t>
            </w:r>
            <w:bookmarkEnd w:id="4"/>
          </w:p>
        </w:tc>
        <w:tc>
          <w:tcPr>
            <w:tcW w:w="742" w:type="dxa"/>
            <w:shd w:val="clear" w:color="auto" w:fill="auto"/>
            <w:tcMar>
              <w:left w:w="108" w:type="dxa"/>
              <w:right w:w="108" w:type="dxa"/>
            </w:tcMar>
            <w:vAlign w:val="center"/>
          </w:tcPr>
          <w:p w14:paraId="610ED75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148A329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1A876DA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2516E4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56DACF4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1379E66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3AF5C3D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14:paraId="2D2D0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290FF80">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14:paraId="33ED179A">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14:paraId="76C14069">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7.属于行政执法案卷</w:t>
            </w:r>
          </w:p>
        </w:tc>
        <w:tc>
          <w:tcPr>
            <w:tcW w:w="742" w:type="dxa"/>
            <w:shd w:val="clear" w:color="auto" w:fill="auto"/>
            <w:tcMar>
              <w:left w:w="108" w:type="dxa"/>
              <w:right w:w="108" w:type="dxa"/>
            </w:tcMar>
            <w:vAlign w:val="center"/>
          </w:tcPr>
          <w:p w14:paraId="1FE36E6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3BEFAE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15B151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672BF3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340AEDE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6846E31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30D6E7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14:paraId="6F7AA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0524041">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14:paraId="3A65C337">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14:paraId="17CF641F">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8.</w:t>
            </w:r>
            <w:bookmarkStart w:id="5" w:name="_Hlk66975211"/>
            <w:r>
              <w:rPr>
                <w:rFonts w:hint="eastAsia" w:ascii="仿宋_GB2312" w:hAnsi="黑体" w:eastAsia="仿宋_GB2312"/>
                <w:color w:val="auto"/>
                <w:kern w:val="0"/>
                <w:szCs w:val="21"/>
                <w:highlight w:val="none"/>
              </w:rPr>
              <w:t>属于行政查询事项</w:t>
            </w:r>
            <w:bookmarkEnd w:id="5"/>
          </w:p>
        </w:tc>
        <w:tc>
          <w:tcPr>
            <w:tcW w:w="742" w:type="dxa"/>
            <w:shd w:val="clear" w:color="auto" w:fill="auto"/>
            <w:tcMar>
              <w:left w:w="108" w:type="dxa"/>
              <w:right w:w="108" w:type="dxa"/>
            </w:tcMar>
            <w:vAlign w:val="center"/>
          </w:tcPr>
          <w:p w14:paraId="74AB89D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1830D5C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61F6D7A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22CEF44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4060D0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7E1585F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1D6BA5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14:paraId="3653B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57EB8C1">
            <w:pPr>
              <w:rPr>
                <w:rFonts w:ascii="黑体" w:hAnsi="黑体" w:eastAsia="黑体"/>
                <w:color w:val="auto"/>
                <w:szCs w:val="21"/>
                <w:highlight w:val="none"/>
              </w:rPr>
            </w:pPr>
          </w:p>
        </w:tc>
        <w:tc>
          <w:tcPr>
            <w:tcW w:w="1701" w:type="dxa"/>
            <w:vMerge w:val="restart"/>
            <w:shd w:val="clear" w:color="auto" w:fill="auto"/>
            <w:tcMar>
              <w:left w:w="108" w:type="dxa"/>
              <w:right w:w="108" w:type="dxa"/>
            </w:tcMar>
            <w:vAlign w:val="center"/>
          </w:tcPr>
          <w:p w14:paraId="53BA49BF">
            <w:pPr>
              <w:widowControl/>
              <w:spacing w:line="200" w:lineRule="exact"/>
              <w:ind w:left="-107" w:leftChars="-51"/>
              <w:rPr>
                <w:rFonts w:ascii="黑体" w:hAnsi="黑体" w:eastAsia="黑体"/>
                <w:color w:val="auto"/>
                <w:szCs w:val="21"/>
                <w:highlight w:val="none"/>
              </w:rPr>
            </w:pPr>
            <w:r>
              <w:rPr>
                <w:rFonts w:hint="eastAsia" w:ascii="黑体" w:hAnsi="黑体" w:eastAsia="黑体"/>
                <w:color w:val="auto"/>
                <w:kern w:val="0"/>
                <w:szCs w:val="21"/>
                <w:highlight w:val="none"/>
              </w:rPr>
              <w:t>（四）无法提供</w:t>
            </w:r>
          </w:p>
        </w:tc>
        <w:tc>
          <w:tcPr>
            <w:tcW w:w="2976" w:type="dxa"/>
            <w:shd w:val="clear" w:color="auto" w:fill="auto"/>
            <w:tcMar>
              <w:left w:w="108" w:type="dxa"/>
              <w:right w:w="108" w:type="dxa"/>
            </w:tcMar>
            <w:vAlign w:val="center"/>
          </w:tcPr>
          <w:p w14:paraId="03B0803F">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1.本机关不掌握相关政府信息</w:t>
            </w:r>
          </w:p>
        </w:tc>
        <w:tc>
          <w:tcPr>
            <w:tcW w:w="742" w:type="dxa"/>
            <w:shd w:val="clear" w:color="auto" w:fill="auto"/>
            <w:tcMar>
              <w:left w:w="108" w:type="dxa"/>
              <w:right w:w="108" w:type="dxa"/>
            </w:tcMar>
            <w:vAlign w:val="center"/>
          </w:tcPr>
          <w:p w14:paraId="0FE838D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rPr>
            </w:pPr>
            <w:r>
              <w:rPr>
                <w:rFonts w:hint="eastAsia" w:ascii="仿宋_GB2312" w:hAnsi="Times New Roman" w:eastAsia="仿宋_GB2312"/>
                <w:color w:val="auto"/>
                <w:szCs w:val="21"/>
                <w:highlight w:val="none"/>
                <w:lang w:val="en-US" w:eastAsia="zh-CN"/>
              </w:rPr>
              <w:t>15</w:t>
            </w:r>
          </w:p>
        </w:tc>
        <w:tc>
          <w:tcPr>
            <w:tcW w:w="545" w:type="dxa"/>
            <w:shd w:val="clear" w:color="auto" w:fill="auto"/>
            <w:tcMar>
              <w:left w:w="108" w:type="dxa"/>
              <w:right w:w="108" w:type="dxa"/>
            </w:tcMar>
            <w:vAlign w:val="center"/>
          </w:tcPr>
          <w:p w14:paraId="1B3D798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0BE9F19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2EF936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5A1F3AB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6D4F63E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22649AF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rPr>
            </w:pPr>
            <w:r>
              <w:rPr>
                <w:rFonts w:hint="eastAsia" w:ascii="仿宋_GB2312" w:hAnsi="Times New Roman" w:eastAsia="仿宋_GB2312"/>
                <w:color w:val="auto"/>
                <w:szCs w:val="21"/>
                <w:highlight w:val="none"/>
                <w:lang w:val="en-US" w:eastAsia="zh-CN"/>
              </w:rPr>
              <w:t>15</w:t>
            </w:r>
          </w:p>
        </w:tc>
      </w:tr>
      <w:tr w14:paraId="39DAD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407F230">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14:paraId="76AB45DC">
            <w:pPr>
              <w:spacing w:line="200" w:lineRule="exact"/>
              <w:ind w:left="-107" w:leftChars="-51"/>
              <w:rPr>
                <w:rFonts w:ascii="黑体" w:hAnsi="黑体" w:eastAsia="黑体"/>
                <w:color w:val="auto"/>
                <w:szCs w:val="21"/>
                <w:highlight w:val="none"/>
              </w:rPr>
            </w:pPr>
          </w:p>
        </w:tc>
        <w:tc>
          <w:tcPr>
            <w:tcW w:w="2976" w:type="dxa"/>
            <w:shd w:val="clear" w:color="auto" w:fill="auto"/>
            <w:tcMar>
              <w:left w:w="108" w:type="dxa"/>
              <w:right w:w="108" w:type="dxa"/>
            </w:tcMar>
            <w:vAlign w:val="center"/>
          </w:tcPr>
          <w:p w14:paraId="3352FE83">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2.</w:t>
            </w:r>
            <w:bookmarkStart w:id="6" w:name="_Hlk66975392"/>
            <w:r>
              <w:rPr>
                <w:rFonts w:hint="eastAsia" w:ascii="仿宋_GB2312" w:hAnsi="黑体" w:eastAsia="仿宋_GB2312"/>
                <w:color w:val="auto"/>
                <w:kern w:val="0"/>
                <w:szCs w:val="21"/>
                <w:highlight w:val="none"/>
              </w:rPr>
              <w:t>没有现成信息需要另行制作</w:t>
            </w:r>
            <w:bookmarkEnd w:id="6"/>
          </w:p>
        </w:tc>
        <w:tc>
          <w:tcPr>
            <w:tcW w:w="742" w:type="dxa"/>
            <w:shd w:val="clear" w:color="auto" w:fill="auto"/>
            <w:tcMar>
              <w:left w:w="108" w:type="dxa"/>
              <w:right w:w="108" w:type="dxa"/>
            </w:tcMar>
            <w:vAlign w:val="center"/>
          </w:tcPr>
          <w:p w14:paraId="458D783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639A777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2889A2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5D220C4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7FC2BAB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6350814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2E6911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14:paraId="79079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DD7ABFF">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14:paraId="0339347F">
            <w:pPr>
              <w:spacing w:line="200" w:lineRule="exact"/>
              <w:ind w:left="-107" w:leftChars="-51"/>
              <w:rPr>
                <w:rFonts w:ascii="黑体" w:hAnsi="黑体" w:eastAsia="黑体"/>
                <w:color w:val="auto"/>
                <w:szCs w:val="21"/>
                <w:highlight w:val="none"/>
              </w:rPr>
            </w:pPr>
          </w:p>
        </w:tc>
        <w:tc>
          <w:tcPr>
            <w:tcW w:w="2976" w:type="dxa"/>
            <w:shd w:val="clear" w:color="auto" w:fill="auto"/>
            <w:tcMar>
              <w:left w:w="108" w:type="dxa"/>
              <w:right w:w="108" w:type="dxa"/>
            </w:tcMar>
            <w:vAlign w:val="center"/>
          </w:tcPr>
          <w:p w14:paraId="294985A4">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3.</w:t>
            </w:r>
            <w:bookmarkStart w:id="7" w:name="_Hlk66975466"/>
            <w:r>
              <w:rPr>
                <w:rFonts w:hint="eastAsia" w:ascii="仿宋_GB2312" w:hAnsi="黑体" w:eastAsia="仿宋_GB2312"/>
                <w:color w:val="auto"/>
                <w:kern w:val="0"/>
                <w:szCs w:val="21"/>
                <w:highlight w:val="none"/>
              </w:rPr>
              <w:t>补正后申请内容仍不明确</w:t>
            </w:r>
            <w:bookmarkEnd w:id="7"/>
          </w:p>
        </w:tc>
        <w:tc>
          <w:tcPr>
            <w:tcW w:w="742" w:type="dxa"/>
            <w:shd w:val="clear" w:color="auto" w:fill="auto"/>
            <w:tcMar>
              <w:left w:w="108" w:type="dxa"/>
              <w:right w:w="108" w:type="dxa"/>
            </w:tcMar>
            <w:vAlign w:val="center"/>
          </w:tcPr>
          <w:p w14:paraId="1A9CC2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2DC07F0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709726C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6E45F6B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277A4F9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79764E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54D828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14:paraId="1F990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9601372">
            <w:pPr>
              <w:rPr>
                <w:rFonts w:ascii="黑体" w:hAnsi="黑体" w:eastAsia="黑体"/>
                <w:color w:val="auto"/>
                <w:szCs w:val="21"/>
                <w:highlight w:val="none"/>
              </w:rPr>
            </w:pPr>
          </w:p>
        </w:tc>
        <w:tc>
          <w:tcPr>
            <w:tcW w:w="1701" w:type="dxa"/>
            <w:vMerge w:val="restart"/>
            <w:shd w:val="clear" w:color="auto" w:fill="auto"/>
            <w:tcMar>
              <w:left w:w="108" w:type="dxa"/>
              <w:right w:w="108" w:type="dxa"/>
            </w:tcMar>
            <w:vAlign w:val="center"/>
          </w:tcPr>
          <w:p w14:paraId="79D2A83F">
            <w:pPr>
              <w:widowControl/>
              <w:spacing w:line="200" w:lineRule="exact"/>
              <w:ind w:left="-107" w:leftChars="-51"/>
              <w:rPr>
                <w:rFonts w:ascii="黑体" w:hAnsi="黑体" w:eastAsia="黑体"/>
                <w:color w:val="auto"/>
                <w:szCs w:val="21"/>
                <w:highlight w:val="none"/>
              </w:rPr>
            </w:pPr>
            <w:r>
              <w:rPr>
                <w:rFonts w:hint="eastAsia" w:ascii="黑体" w:hAnsi="黑体" w:eastAsia="黑体"/>
                <w:color w:val="auto"/>
                <w:kern w:val="0"/>
                <w:szCs w:val="21"/>
                <w:highlight w:val="none"/>
              </w:rPr>
              <w:t>（五）不予处理</w:t>
            </w:r>
          </w:p>
        </w:tc>
        <w:tc>
          <w:tcPr>
            <w:tcW w:w="2976" w:type="dxa"/>
            <w:shd w:val="clear" w:color="auto" w:fill="auto"/>
            <w:tcMar>
              <w:left w:w="108" w:type="dxa"/>
              <w:right w:w="108" w:type="dxa"/>
            </w:tcMar>
            <w:vAlign w:val="center"/>
          </w:tcPr>
          <w:p w14:paraId="3A65FB97">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1.</w:t>
            </w:r>
            <w:bookmarkStart w:id="8" w:name="_Hlk66975537"/>
            <w:r>
              <w:rPr>
                <w:rFonts w:hint="eastAsia" w:ascii="仿宋_GB2312" w:hAnsi="黑体" w:eastAsia="仿宋_GB2312"/>
                <w:color w:val="auto"/>
                <w:kern w:val="0"/>
                <w:szCs w:val="21"/>
                <w:highlight w:val="none"/>
              </w:rPr>
              <w:t>信访举报投诉类申请</w:t>
            </w:r>
            <w:bookmarkEnd w:id="8"/>
          </w:p>
        </w:tc>
        <w:tc>
          <w:tcPr>
            <w:tcW w:w="742" w:type="dxa"/>
            <w:shd w:val="clear" w:color="auto" w:fill="auto"/>
            <w:tcMar>
              <w:left w:w="108" w:type="dxa"/>
              <w:right w:w="108" w:type="dxa"/>
            </w:tcMar>
            <w:vAlign w:val="center"/>
          </w:tcPr>
          <w:p w14:paraId="59560C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62728D7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3D137A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69BBA4D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1A126E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67C3650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291FFA4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14:paraId="37FFA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B8C3002">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14:paraId="6A1847C8">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14:paraId="3FE3BEC9">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2.重复申请</w:t>
            </w:r>
          </w:p>
        </w:tc>
        <w:tc>
          <w:tcPr>
            <w:tcW w:w="742" w:type="dxa"/>
            <w:shd w:val="clear" w:color="auto" w:fill="auto"/>
            <w:tcMar>
              <w:left w:w="108" w:type="dxa"/>
              <w:right w:w="108" w:type="dxa"/>
            </w:tcMar>
            <w:vAlign w:val="center"/>
          </w:tcPr>
          <w:p w14:paraId="2FB07D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4090A68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755497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534C3EC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71C7967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59CDFDB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43CCC36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14:paraId="47397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D95F64E">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14:paraId="5D9E7F48">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14:paraId="01B11F50">
            <w:pPr>
              <w:widowControl/>
              <w:spacing w:line="200" w:lineRule="exact"/>
              <w:rPr>
                <w:rFonts w:ascii="仿宋_GB2312" w:hAnsi="黑体" w:eastAsia="仿宋_GB2312"/>
                <w:color w:val="auto"/>
                <w:szCs w:val="21"/>
                <w:highlight w:val="none"/>
              </w:rPr>
            </w:pPr>
            <w:r>
              <w:rPr>
                <w:rFonts w:hint="eastAsia" w:ascii="仿宋_GB2312" w:hAnsi="黑体" w:eastAsia="仿宋_GB2312"/>
                <w:color w:val="auto"/>
                <w:kern w:val="0"/>
                <w:szCs w:val="21"/>
                <w:highlight w:val="none"/>
              </w:rPr>
              <w:t>3.要求提供公开出版物</w:t>
            </w:r>
          </w:p>
        </w:tc>
        <w:tc>
          <w:tcPr>
            <w:tcW w:w="742" w:type="dxa"/>
            <w:shd w:val="clear" w:color="auto" w:fill="auto"/>
            <w:tcMar>
              <w:left w:w="108" w:type="dxa"/>
              <w:right w:w="108" w:type="dxa"/>
            </w:tcMar>
            <w:vAlign w:val="center"/>
          </w:tcPr>
          <w:p w14:paraId="29CA147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75D417A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70C37BE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3D97CC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3E8525C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4A0DADA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073D63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14:paraId="6564A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15CDC31A">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14:paraId="10A6DA41">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14:paraId="485B8CAB">
            <w:pPr>
              <w:widowControl/>
              <w:spacing w:line="200" w:lineRule="exact"/>
              <w:rPr>
                <w:rFonts w:ascii="仿宋_GB2312" w:hAnsi="黑体" w:eastAsia="仿宋_GB2312"/>
                <w:color w:val="auto"/>
                <w:szCs w:val="21"/>
                <w:highlight w:val="none"/>
              </w:rPr>
            </w:pPr>
            <w:r>
              <w:rPr>
                <w:rFonts w:hint="eastAsia" w:ascii="仿宋_GB2312" w:hAnsi="黑体" w:eastAsia="仿宋_GB2312"/>
                <w:color w:val="auto"/>
                <w:kern w:val="0"/>
                <w:szCs w:val="21"/>
                <w:highlight w:val="none"/>
              </w:rPr>
              <w:t>4.无正当理由大量反复申请</w:t>
            </w:r>
          </w:p>
        </w:tc>
        <w:tc>
          <w:tcPr>
            <w:tcW w:w="742" w:type="dxa"/>
            <w:shd w:val="clear" w:color="auto" w:fill="auto"/>
            <w:tcMar>
              <w:left w:w="108" w:type="dxa"/>
              <w:right w:w="108" w:type="dxa"/>
            </w:tcMar>
            <w:vAlign w:val="center"/>
          </w:tcPr>
          <w:p w14:paraId="6555AB1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4C5A494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4B1E74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1748678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6554693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243C361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272451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14:paraId="319E1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0C3872E">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14:paraId="76E3EC99">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14:paraId="6A4D6250">
            <w:pPr>
              <w:widowControl/>
              <w:spacing w:line="3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5.要求行政机关确认或重新</w:t>
            </w:r>
          </w:p>
          <w:p w14:paraId="76FE1C74">
            <w:pPr>
              <w:widowControl/>
              <w:spacing w:line="300" w:lineRule="exact"/>
              <w:ind w:firstLine="210" w:firstLineChars="100"/>
              <w:rPr>
                <w:rFonts w:ascii="仿宋_GB2312" w:hAnsi="黑体" w:eastAsia="仿宋_GB2312"/>
                <w:color w:val="auto"/>
                <w:szCs w:val="21"/>
                <w:highlight w:val="none"/>
              </w:rPr>
            </w:pPr>
            <w:r>
              <w:rPr>
                <w:rFonts w:hint="eastAsia" w:ascii="仿宋_GB2312" w:hAnsi="黑体" w:eastAsia="仿宋_GB2312"/>
                <w:color w:val="auto"/>
                <w:kern w:val="0"/>
                <w:szCs w:val="21"/>
                <w:highlight w:val="none"/>
              </w:rPr>
              <w:t>出具已获取信息</w:t>
            </w:r>
          </w:p>
        </w:tc>
        <w:tc>
          <w:tcPr>
            <w:tcW w:w="742" w:type="dxa"/>
            <w:shd w:val="clear" w:color="auto" w:fill="auto"/>
            <w:tcMar>
              <w:left w:w="108" w:type="dxa"/>
              <w:right w:w="108" w:type="dxa"/>
            </w:tcMar>
            <w:vAlign w:val="center"/>
          </w:tcPr>
          <w:p w14:paraId="196D2BB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76E4F9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3C938D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5F89B7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2642BE4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57C9E71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4D6A948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14:paraId="11598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08E9BBD">
            <w:pPr>
              <w:rPr>
                <w:rFonts w:ascii="黑体" w:hAnsi="黑体" w:eastAsia="黑体"/>
                <w:color w:val="auto"/>
                <w:szCs w:val="21"/>
                <w:highlight w:val="none"/>
              </w:rPr>
            </w:pPr>
          </w:p>
        </w:tc>
        <w:tc>
          <w:tcPr>
            <w:tcW w:w="1701" w:type="dxa"/>
            <w:vMerge w:val="restart"/>
            <w:shd w:val="clear" w:color="auto" w:fill="auto"/>
            <w:tcMar>
              <w:left w:w="108" w:type="dxa"/>
              <w:right w:w="108" w:type="dxa"/>
            </w:tcMar>
            <w:vAlign w:val="center"/>
          </w:tcPr>
          <w:p w14:paraId="572F6758">
            <w:pPr>
              <w:widowControl/>
              <w:spacing w:line="300" w:lineRule="exact"/>
              <w:rPr>
                <w:rFonts w:ascii="黑体" w:hAnsi="黑体" w:eastAsia="黑体"/>
                <w:color w:val="auto"/>
                <w:kern w:val="0"/>
                <w:szCs w:val="21"/>
                <w:highlight w:val="none"/>
              </w:rPr>
            </w:pPr>
            <w:r>
              <w:rPr>
                <w:rFonts w:hint="eastAsia" w:ascii="黑体" w:hAnsi="黑体" w:eastAsia="黑体"/>
                <w:color w:val="auto"/>
                <w:kern w:val="0"/>
                <w:szCs w:val="21"/>
                <w:highlight w:val="none"/>
              </w:rPr>
              <w:t>（六）其他处理</w:t>
            </w:r>
          </w:p>
        </w:tc>
        <w:tc>
          <w:tcPr>
            <w:tcW w:w="2976" w:type="dxa"/>
            <w:shd w:val="clear" w:color="auto" w:fill="auto"/>
            <w:vAlign w:val="center"/>
          </w:tcPr>
          <w:p w14:paraId="036FC4C1">
            <w:pPr>
              <w:widowControl/>
              <w:spacing w:line="300" w:lineRule="exact"/>
              <w:rPr>
                <w:rFonts w:ascii="仿宋_GB2312" w:hAnsi="楷体" w:eastAsia="仿宋_GB2312"/>
                <w:color w:val="auto"/>
                <w:highlight w:val="none"/>
              </w:rPr>
            </w:pPr>
            <w:r>
              <w:rPr>
                <w:rFonts w:hint="eastAsia" w:ascii="仿宋_GB2312" w:hAnsi="楷体" w:eastAsia="仿宋_GB2312"/>
                <w:color w:val="auto"/>
                <w:highlight w:val="none"/>
              </w:rPr>
              <w:t>1.申请人无正当理由逾期不补正、行政机关不再处理其政府信息公开申请</w:t>
            </w:r>
          </w:p>
        </w:tc>
        <w:tc>
          <w:tcPr>
            <w:tcW w:w="742" w:type="dxa"/>
            <w:shd w:val="clear" w:color="auto" w:fill="auto"/>
            <w:tcMar>
              <w:left w:w="108" w:type="dxa"/>
              <w:right w:w="108" w:type="dxa"/>
            </w:tcMar>
            <w:vAlign w:val="center"/>
          </w:tcPr>
          <w:p w14:paraId="3DD82A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0BB93EE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329D12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18E0ED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2BF3111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5A7B833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665C9F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14:paraId="5BFEF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0A95201">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14:paraId="61E38D0B">
            <w:pPr>
              <w:widowControl/>
              <w:spacing w:line="300" w:lineRule="exact"/>
              <w:rPr>
                <w:rFonts w:ascii="黑体" w:hAnsi="黑体" w:eastAsia="黑体"/>
                <w:color w:val="auto"/>
                <w:kern w:val="0"/>
                <w:szCs w:val="21"/>
                <w:highlight w:val="none"/>
              </w:rPr>
            </w:pPr>
          </w:p>
        </w:tc>
        <w:tc>
          <w:tcPr>
            <w:tcW w:w="2976" w:type="dxa"/>
            <w:shd w:val="clear" w:color="auto" w:fill="auto"/>
            <w:vAlign w:val="center"/>
          </w:tcPr>
          <w:p w14:paraId="7F333FF5">
            <w:pPr>
              <w:widowControl/>
              <w:spacing w:line="300" w:lineRule="exact"/>
              <w:rPr>
                <w:rFonts w:ascii="仿宋_GB2312" w:hAnsi="黑体" w:eastAsia="仿宋_GB2312"/>
                <w:color w:val="auto"/>
                <w:kern w:val="0"/>
                <w:szCs w:val="21"/>
                <w:highlight w:val="none"/>
              </w:rPr>
            </w:pPr>
            <w:r>
              <w:rPr>
                <w:rFonts w:hint="eastAsia" w:ascii="仿宋_GB2312" w:hAnsi="楷体" w:eastAsia="仿宋_GB2312"/>
                <w:color w:val="auto"/>
                <w:highlight w:val="none"/>
              </w:rPr>
              <w:t>2.申请人逾期未按收费通知要求缴纳费用、行政机关不再处理其政府信息公开申请</w:t>
            </w:r>
          </w:p>
        </w:tc>
        <w:tc>
          <w:tcPr>
            <w:tcW w:w="742" w:type="dxa"/>
            <w:shd w:val="clear" w:color="auto" w:fill="auto"/>
            <w:tcMar>
              <w:left w:w="108" w:type="dxa"/>
              <w:right w:w="108" w:type="dxa"/>
            </w:tcMar>
            <w:vAlign w:val="center"/>
          </w:tcPr>
          <w:p w14:paraId="2D9366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76521C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2826C57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2FD222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1993DD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241EC1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70B396C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14:paraId="66268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6306FDE">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14:paraId="06CBE94A">
            <w:pPr>
              <w:widowControl/>
              <w:spacing w:line="300" w:lineRule="exact"/>
              <w:rPr>
                <w:rFonts w:ascii="黑体" w:hAnsi="黑体" w:eastAsia="黑体"/>
                <w:color w:val="auto"/>
                <w:kern w:val="0"/>
                <w:szCs w:val="21"/>
                <w:highlight w:val="none"/>
              </w:rPr>
            </w:pPr>
          </w:p>
        </w:tc>
        <w:tc>
          <w:tcPr>
            <w:tcW w:w="2976" w:type="dxa"/>
            <w:shd w:val="clear" w:color="auto" w:fill="auto"/>
            <w:vAlign w:val="center"/>
          </w:tcPr>
          <w:p w14:paraId="5CF7FA8B">
            <w:pPr>
              <w:widowControl/>
              <w:spacing w:line="300" w:lineRule="exact"/>
              <w:rPr>
                <w:rFonts w:ascii="仿宋_GB2312" w:hAnsi="黑体" w:eastAsia="仿宋_GB2312"/>
                <w:color w:val="auto"/>
                <w:kern w:val="0"/>
                <w:szCs w:val="21"/>
                <w:highlight w:val="none"/>
              </w:rPr>
            </w:pPr>
            <w:r>
              <w:rPr>
                <w:rFonts w:hint="eastAsia" w:ascii="仿宋_GB2312" w:hAnsi="楷体" w:eastAsia="仿宋_GB2312"/>
                <w:color w:val="auto"/>
                <w:highlight w:val="none"/>
              </w:rPr>
              <w:t>3.其他</w:t>
            </w:r>
          </w:p>
        </w:tc>
        <w:tc>
          <w:tcPr>
            <w:tcW w:w="742" w:type="dxa"/>
            <w:shd w:val="clear" w:color="auto" w:fill="auto"/>
            <w:tcMar>
              <w:left w:w="108" w:type="dxa"/>
              <w:right w:w="108" w:type="dxa"/>
            </w:tcMar>
            <w:vAlign w:val="center"/>
          </w:tcPr>
          <w:p w14:paraId="74B184C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14:paraId="58F2276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089483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50A16F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62ACE4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2DAFD4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7C273D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lang w:val="en-US"/>
              </w:rPr>
            </w:pPr>
            <w:r>
              <w:rPr>
                <w:rFonts w:hint="eastAsia" w:ascii="仿宋_GB2312" w:hAnsi="Times New Roman" w:eastAsia="仿宋_GB2312"/>
                <w:color w:val="auto"/>
                <w:szCs w:val="21"/>
                <w:highlight w:val="none"/>
                <w:lang w:val="en-US" w:eastAsia="zh-CN"/>
              </w:rPr>
              <w:t>0</w:t>
            </w:r>
          </w:p>
        </w:tc>
      </w:tr>
      <w:tr w14:paraId="7F1FF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ED2D14E">
            <w:pPr>
              <w:rPr>
                <w:rFonts w:ascii="黑体" w:hAnsi="黑体" w:eastAsia="黑体"/>
                <w:color w:val="auto"/>
                <w:szCs w:val="21"/>
                <w:highlight w:val="none"/>
              </w:rPr>
            </w:pPr>
          </w:p>
        </w:tc>
        <w:tc>
          <w:tcPr>
            <w:tcW w:w="4677" w:type="dxa"/>
            <w:gridSpan w:val="2"/>
            <w:shd w:val="clear" w:color="auto" w:fill="auto"/>
            <w:tcMar>
              <w:left w:w="108" w:type="dxa"/>
              <w:right w:w="108" w:type="dxa"/>
            </w:tcMar>
            <w:vAlign w:val="center"/>
          </w:tcPr>
          <w:p w14:paraId="1EE0B3F5">
            <w:pPr>
              <w:widowControl/>
              <w:spacing w:line="300" w:lineRule="exact"/>
              <w:rPr>
                <w:rFonts w:ascii="黑体" w:hAnsi="黑体" w:eastAsia="黑体"/>
                <w:color w:val="auto"/>
                <w:kern w:val="0"/>
                <w:szCs w:val="21"/>
                <w:highlight w:val="none"/>
              </w:rPr>
            </w:pPr>
            <w:r>
              <w:rPr>
                <w:rFonts w:hint="eastAsia" w:ascii="黑体" w:hAnsi="黑体" w:eastAsia="黑体"/>
                <w:color w:val="auto"/>
                <w:kern w:val="0"/>
                <w:szCs w:val="21"/>
                <w:highlight w:val="none"/>
              </w:rPr>
              <w:t>（七）总计</w:t>
            </w:r>
          </w:p>
        </w:tc>
        <w:tc>
          <w:tcPr>
            <w:tcW w:w="742" w:type="dxa"/>
            <w:shd w:val="clear" w:color="auto" w:fill="auto"/>
            <w:tcMar>
              <w:left w:w="108" w:type="dxa"/>
              <w:right w:w="108" w:type="dxa"/>
            </w:tcMar>
            <w:vAlign w:val="center"/>
          </w:tcPr>
          <w:p w14:paraId="74C3638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rPr>
            </w:pPr>
            <w:r>
              <w:rPr>
                <w:rFonts w:hint="eastAsia" w:ascii="仿宋_GB2312" w:hAnsi="Times New Roman" w:eastAsia="仿宋_GB2312"/>
                <w:color w:val="auto"/>
                <w:szCs w:val="21"/>
                <w:highlight w:val="none"/>
                <w:lang w:val="en-US" w:eastAsia="zh-CN"/>
              </w:rPr>
              <w:t>19</w:t>
            </w:r>
          </w:p>
        </w:tc>
        <w:tc>
          <w:tcPr>
            <w:tcW w:w="545" w:type="dxa"/>
            <w:shd w:val="clear" w:color="auto" w:fill="auto"/>
            <w:tcMar>
              <w:left w:w="108" w:type="dxa"/>
              <w:right w:w="108" w:type="dxa"/>
            </w:tcMar>
            <w:vAlign w:val="center"/>
          </w:tcPr>
          <w:p w14:paraId="1FC96C1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2FF0356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2CAD62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740D43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53B7248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7C499D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rPr>
            </w:pPr>
            <w:r>
              <w:rPr>
                <w:rFonts w:hint="eastAsia" w:ascii="仿宋_GB2312" w:hAnsi="Times New Roman" w:eastAsia="仿宋_GB2312"/>
                <w:color w:val="auto"/>
                <w:szCs w:val="21"/>
                <w:highlight w:val="none"/>
                <w:lang w:val="en-US" w:eastAsia="zh-CN"/>
              </w:rPr>
              <w:t>19</w:t>
            </w:r>
          </w:p>
        </w:tc>
      </w:tr>
      <w:tr w14:paraId="7CED5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204D00E0">
            <w:pPr>
              <w:widowControl/>
              <w:spacing w:line="300" w:lineRule="exact"/>
              <w:rPr>
                <w:rFonts w:ascii="黑体" w:hAnsi="黑体" w:eastAsia="黑体"/>
                <w:color w:val="auto"/>
                <w:kern w:val="0"/>
                <w:szCs w:val="21"/>
                <w:highlight w:val="none"/>
              </w:rPr>
            </w:pPr>
            <w:r>
              <w:rPr>
                <w:rFonts w:hint="eastAsia" w:ascii="黑体" w:hAnsi="黑体" w:eastAsia="黑体"/>
                <w:color w:val="auto"/>
                <w:kern w:val="0"/>
                <w:szCs w:val="21"/>
                <w:highlight w:val="none"/>
              </w:rPr>
              <w:t>四、结转下年度继续办理</w:t>
            </w:r>
          </w:p>
        </w:tc>
        <w:tc>
          <w:tcPr>
            <w:tcW w:w="742" w:type="dxa"/>
            <w:shd w:val="clear" w:color="auto" w:fill="auto"/>
            <w:tcMar>
              <w:left w:w="108" w:type="dxa"/>
              <w:right w:w="108" w:type="dxa"/>
            </w:tcMar>
            <w:vAlign w:val="center"/>
          </w:tcPr>
          <w:p w14:paraId="1BAD09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2</w:t>
            </w:r>
          </w:p>
        </w:tc>
        <w:tc>
          <w:tcPr>
            <w:tcW w:w="545" w:type="dxa"/>
            <w:shd w:val="clear" w:color="auto" w:fill="auto"/>
            <w:tcMar>
              <w:left w:w="108" w:type="dxa"/>
              <w:right w:w="108" w:type="dxa"/>
            </w:tcMar>
            <w:vAlign w:val="center"/>
          </w:tcPr>
          <w:p w14:paraId="5DEEF7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14:paraId="5D40DCF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14:paraId="1D66B52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14:paraId="3EA7E8D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14:paraId="6001C6B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14:paraId="070B583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lang w:val="en-US"/>
              </w:rPr>
            </w:pPr>
            <w:r>
              <w:rPr>
                <w:rFonts w:hint="eastAsia" w:ascii="仿宋_GB2312" w:hAnsi="Times New Roman" w:eastAsia="仿宋_GB2312"/>
                <w:color w:val="auto"/>
                <w:szCs w:val="21"/>
                <w:highlight w:val="none"/>
                <w:lang w:val="en-US" w:eastAsia="zh-CN"/>
              </w:rPr>
              <w:t>2</w:t>
            </w:r>
          </w:p>
        </w:tc>
      </w:tr>
    </w:tbl>
    <w:p w14:paraId="1ED173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02" w:firstLineChars="200"/>
        <w:jc w:val="both"/>
        <w:textAlignment w:val="auto"/>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pPr>
      <w:r>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t>四、因政府信息公开工作被申请行政复议、提起行政诉讼情况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8348E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4B65FF4">
            <w:pPr>
              <w:widowControl/>
              <w:jc w:val="center"/>
              <w:rPr>
                <w:rFonts w:ascii="黑体" w:hAnsi="黑体" w:eastAsia="黑体"/>
                <w:color w:val="auto"/>
                <w:highlight w:val="none"/>
              </w:rPr>
            </w:pPr>
            <w:r>
              <w:rPr>
                <w:rFonts w:ascii="黑体" w:hAnsi="黑体" w:eastAsia="黑体"/>
                <w:color w:val="auto"/>
                <w:kern w:val="0"/>
                <w:sz w:val="20"/>
                <w:szCs w:val="20"/>
                <w:highlight w:val="none"/>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E41B4A">
            <w:pPr>
              <w:widowControl/>
              <w:jc w:val="center"/>
              <w:rPr>
                <w:rFonts w:ascii="黑体" w:hAnsi="黑体" w:eastAsia="黑体"/>
                <w:color w:val="auto"/>
                <w:highlight w:val="none"/>
              </w:rPr>
            </w:pPr>
            <w:r>
              <w:rPr>
                <w:rFonts w:ascii="黑体" w:hAnsi="黑体" w:eastAsia="黑体"/>
                <w:color w:val="auto"/>
                <w:kern w:val="0"/>
                <w:sz w:val="20"/>
                <w:szCs w:val="20"/>
                <w:highlight w:val="none"/>
              </w:rPr>
              <w:t>行政诉讼</w:t>
            </w:r>
          </w:p>
        </w:tc>
      </w:tr>
      <w:tr w14:paraId="26022F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5E05F5">
            <w:pPr>
              <w:widowControl/>
              <w:ind w:left="-149" w:leftChars="-71" w:right="-170" w:rightChars="-81"/>
              <w:jc w:val="center"/>
              <w:rPr>
                <w:rFonts w:ascii="黑体" w:hAnsi="黑体" w:eastAsia="黑体"/>
                <w:color w:val="auto"/>
                <w:kern w:val="0"/>
                <w:sz w:val="20"/>
                <w:szCs w:val="20"/>
                <w:highlight w:val="none"/>
              </w:rPr>
            </w:pPr>
            <w:r>
              <w:rPr>
                <w:rFonts w:ascii="黑体" w:hAnsi="黑体" w:eastAsia="黑体"/>
                <w:color w:val="auto"/>
                <w:kern w:val="0"/>
                <w:sz w:val="20"/>
                <w:szCs w:val="20"/>
                <w:highlight w:val="none"/>
              </w:rPr>
              <w:t>结果</w:t>
            </w:r>
          </w:p>
          <w:p w14:paraId="68B4FEAE">
            <w:pPr>
              <w:widowControl/>
              <w:ind w:left="-149" w:leftChars="-71" w:right="-170" w:rightChars="-81"/>
              <w:jc w:val="center"/>
              <w:rPr>
                <w:rFonts w:ascii="黑体" w:hAnsi="黑体" w:eastAsia="黑体"/>
                <w:color w:val="auto"/>
                <w:highlight w:val="none"/>
              </w:rPr>
            </w:pPr>
            <w:r>
              <w:rPr>
                <w:rFonts w:ascii="黑体" w:hAnsi="黑体" w:eastAsia="黑体"/>
                <w:color w:val="auto"/>
                <w:kern w:val="0"/>
                <w:sz w:val="20"/>
                <w:szCs w:val="20"/>
                <w:highlight w:val="none"/>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B00E2F3">
            <w:pPr>
              <w:widowControl/>
              <w:ind w:left="-43" w:leftChars="-21" w:right="-132" w:rightChars="-63" w:hanging="1"/>
              <w:jc w:val="center"/>
              <w:rPr>
                <w:rFonts w:ascii="黑体" w:hAnsi="黑体" w:eastAsia="黑体"/>
                <w:color w:val="auto"/>
                <w:highlight w:val="none"/>
              </w:rPr>
            </w:pPr>
            <w:r>
              <w:rPr>
                <w:rFonts w:ascii="黑体" w:hAnsi="黑体" w:eastAsia="黑体"/>
                <w:color w:val="auto"/>
                <w:kern w:val="0"/>
                <w:sz w:val="20"/>
                <w:szCs w:val="20"/>
                <w:highlight w:val="none"/>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ABC8804">
            <w:pPr>
              <w:widowControl/>
              <w:ind w:left="-82" w:leftChars="-39" w:right="-97" w:rightChars="-46"/>
              <w:jc w:val="center"/>
              <w:rPr>
                <w:rFonts w:ascii="黑体" w:hAnsi="黑体" w:eastAsia="黑体"/>
                <w:color w:val="auto"/>
                <w:highlight w:val="none"/>
              </w:rPr>
            </w:pPr>
            <w:r>
              <w:rPr>
                <w:rFonts w:ascii="黑体" w:hAnsi="黑体" w:eastAsia="黑体"/>
                <w:color w:val="auto"/>
                <w:kern w:val="0"/>
                <w:sz w:val="20"/>
                <w:szCs w:val="20"/>
                <w:highlight w:val="none"/>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854759">
            <w:pPr>
              <w:widowControl/>
              <w:ind w:left="-118" w:leftChars="-56" w:right="-118" w:rightChars="-56"/>
              <w:jc w:val="center"/>
              <w:rPr>
                <w:rFonts w:ascii="黑体" w:hAnsi="黑体" w:eastAsia="黑体"/>
                <w:color w:val="auto"/>
                <w:kern w:val="0"/>
                <w:sz w:val="20"/>
                <w:szCs w:val="20"/>
                <w:highlight w:val="none"/>
              </w:rPr>
            </w:pPr>
            <w:r>
              <w:rPr>
                <w:rFonts w:ascii="黑体" w:hAnsi="黑体" w:eastAsia="黑体"/>
                <w:color w:val="auto"/>
                <w:kern w:val="0"/>
                <w:sz w:val="20"/>
                <w:szCs w:val="20"/>
                <w:highlight w:val="none"/>
              </w:rPr>
              <w:t>尚未</w:t>
            </w:r>
          </w:p>
          <w:p w14:paraId="02C1A69A">
            <w:pPr>
              <w:widowControl/>
              <w:ind w:left="-118" w:leftChars="-56" w:right="-118" w:rightChars="-56"/>
              <w:jc w:val="center"/>
              <w:rPr>
                <w:rFonts w:ascii="黑体" w:hAnsi="黑体" w:eastAsia="黑体"/>
                <w:color w:val="auto"/>
                <w:highlight w:val="none"/>
              </w:rPr>
            </w:pPr>
            <w:r>
              <w:rPr>
                <w:rFonts w:ascii="黑体" w:hAnsi="黑体" w:eastAsia="黑体"/>
                <w:color w:val="auto"/>
                <w:kern w:val="0"/>
                <w:sz w:val="20"/>
                <w:szCs w:val="20"/>
                <w:highlight w:val="none"/>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0F81365">
            <w:pPr>
              <w:widowControl/>
              <w:spacing w:line="320" w:lineRule="exact"/>
              <w:jc w:val="center"/>
              <w:rPr>
                <w:rFonts w:ascii="黑体" w:hAnsi="黑体" w:eastAsia="黑体"/>
                <w:color w:val="auto"/>
                <w:kern w:val="0"/>
                <w:sz w:val="20"/>
                <w:szCs w:val="20"/>
                <w:highlight w:val="none"/>
              </w:rPr>
            </w:pPr>
            <w:r>
              <w:rPr>
                <w:rFonts w:ascii="黑体" w:hAnsi="黑体" w:eastAsia="黑体"/>
                <w:color w:val="auto"/>
                <w:kern w:val="0"/>
                <w:sz w:val="20"/>
                <w:szCs w:val="20"/>
                <w:highlight w:val="none"/>
              </w:rPr>
              <w:t>总</w:t>
            </w:r>
          </w:p>
          <w:p w14:paraId="751F4B9A">
            <w:pPr>
              <w:widowControl/>
              <w:spacing w:line="320" w:lineRule="exact"/>
              <w:jc w:val="center"/>
              <w:rPr>
                <w:rFonts w:ascii="黑体" w:hAnsi="黑体" w:eastAsia="黑体"/>
                <w:color w:val="auto"/>
                <w:highlight w:val="none"/>
              </w:rPr>
            </w:pPr>
            <w:r>
              <w:rPr>
                <w:rFonts w:ascii="黑体" w:hAnsi="黑体" w:eastAsia="黑体"/>
                <w:color w:val="auto"/>
                <w:kern w:val="0"/>
                <w:sz w:val="20"/>
                <w:szCs w:val="20"/>
                <w:highlight w:val="none"/>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C8549C">
            <w:pPr>
              <w:widowControl/>
              <w:jc w:val="center"/>
              <w:rPr>
                <w:rFonts w:ascii="黑体" w:hAnsi="黑体" w:eastAsia="黑体"/>
                <w:color w:val="auto"/>
                <w:highlight w:val="none"/>
              </w:rPr>
            </w:pPr>
            <w:r>
              <w:rPr>
                <w:rFonts w:ascii="黑体" w:hAnsi="黑体" w:eastAsia="黑体"/>
                <w:color w:val="auto"/>
                <w:kern w:val="0"/>
                <w:sz w:val="20"/>
                <w:szCs w:val="20"/>
                <w:highlight w:val="none"/>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B7E912">
            <w:pPr>
              <w:widowControl/>
              <w:jc w:val="center"/>
              <w:rPr>
                <w:rFonts w:ascii="黑体" w:hAnsi="黑体" w:eastAsia="黑体"/>
                <w:color w:val="auto"/>
                <w:highlight w:val="none"/>
              </w:rPr>
            </w:pPr>
            <w:bookmarkStart w:id="9" w:name="_Hlk67039688"/>
            <w:r>
              <w:rPr>
                <w:rFonts w:ascii="黑体" w:hAnsi="黑体" w:eastAsia="黑体"/>
                <w:color w:val="auto"/>
                <w:kern w:val="0"/>
                <w:sz w:val="20"/>
                <w:szCs w:val="20"/>
                <w:highlight w:val="none"/>
              </w:rPr>
              <w:t>复议后起诉</w:t>
            </w:r>
            <w:bookmarkEnd w:id="9"/>
          </w:p>
        </w:tc>
      </w:tr>
      <w:tr w14:paraId="30DBAF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ABEFAC">
            <w:pPr>
              <w:rPr>
                <w:rFonts w:ascii="黑体" w:hAnsi="黑体" w:eastAsia="黑体"/>
                <w:color w:val="auto"/>
                <w:sz w:val="24"/>
                <w:highlight w:val="none"/>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67F3B4C">
            <w:pPr>
              <w:rPr>
                <w:rFonts w:ascii="黑体" w:hAnsi="黑体" w:eastAsia="黑体"/>
                <w:color w:val="auto"/>
                <w:sz w:val="24"/>
                <w:highlight w:val="none"/>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191A5C">
            <w:pPr>
              <w:rPr>
                <w:rFonts w:ascii="黑体" w:hAnsi="黑体" w:eastAsia="黑体"/>
                <w:color w:val="auto"/>
                <w:sz w:val="24"/>
                <w:highlight w:val="none"/>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DCC0E02">
            <w:pPr>
              <w:rPr>
                <w:rFonts w:ascii="黑体" w:hAnsi="黑体" w:eastAsia="黑体"/>
                <w:color w:val="auto"/>
                <w:sz w:val="24"/>
                <w:highlight w:val="none"/>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B35B31">
            <w:pPr>
              <w:rPr>
                <w:rFonts w:ascii="黑体" w:hAnsi="黑体" w:eastAsia="黑体"/>
                <w:color w:val="auto"/>
                <w:sz w:val="24"/>
                <w:highlight w:val="none"/>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2047318">
            <w:pPr>
              <w:widowControl/>
              <w:ind w:left="-105" w:leftChars="-50" w:right="-126" w:rightChars="-60"/>
              <w:jc w:val="center"/>
              <w:rPr>
                <w:rFonts w:ascii="黑体" w:hAnsi="黑体" w:eastAsia="黑体"/>
                <w:color w:val="auto"/>
                <w:highlight w:val="none"/>
              </w:rPr>
            </w:pPr>
            <w:r>
              <w:rPr>
                <w:rFonts w:ascii="黑体" w:hAnsi="黑体" w:eastAsia="黑体"/>
                <w:color w:val="auto"/>
                <w:kern w:val="0"/>
                <w:sz w:val="20"/>
                <w:szCs w:val="20"/>
                <w:highlight w:val="none"/>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A91C45F">
            <w:pPr>
              <w:widowControl/>
              <w:ind w:left="-86" w:leftChars="-41" w:right="-88" w:rightChars="-42"/>
              <w:jc w:val="center"/>
              <w:rPr>
                <w:rFonts w:ascii="黑体" w:hAnsi="黑体" w:eastAsia="黑体"/>
                <w:color w:val="auto"/>
                <w:highlight w:val="none"/>
              </w:rPr>
            </w:pPr>
            <w:r>
              <w:rPr>
                <w:rFonts w:ascii="黑体" w:hAnsi="黑体" w:eastAsia="黑体"/>
                <w:color w:val="auto"/>
                <w:kern w:val="0"/>
                <w:sz w:val="20"/>
                <w:szCs w:val="20"/>
                <w:highlight w:val="none"/>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28B499">
            <w:pPr>
              <w:widowControl/>
              <w:ind w:left="-126" w:leftChars="-60" w:right="-136" w:rightChars="-65"/>
              <w:jc w:val="center"/>
              <w:rPr>
                <w:rFonts w:ascii="黑体" w:hAnsi="黑体" w:eastAsia="黑体"/>
                <w:color w:val="auto"/>
                <w:kern w:val="0"/>
                <w:sz w:val="20"/>
                <w:szCs w:val="20"/>
                <w:highlight w:val="none"/>
              </w:rPr>
            </w:pPr>
            <w:r>
              <w:rPr>
                <w:rFonts w:ascii="黑体" w:hAnsi="黑体" w:eastAsia="黑体"/>
                <w:color w:val="auto"/>
                <w:kern w:val="0"/>
                <w:sz w:val="20"/>
                <w:szCs w:val="20"/>
                <w:highlight w:val="none"/>
              </w:rPr>
              <w:t>其他</w:t>
            </w:r>
          </w:p>
          <w:p w14:paraId="24295214">
            <w:pPr>
              <w:widowControl/>
              <w:ind w:left="-126" w:leftChars="-60" w:right="-136" w:rightChars="-65"/>
              <w:jc w:val="center"/>
              <w:rPr>
                <w:rFonts w:ascii="黑体" w:hAnsi="黑体" w:eastAsia="黑体"/>
                <w:color w:val="auto"/>
                <w:highlight w:val="none"/>
              </w:rPr>
            </w:pPr>
            <w:r>
              <w:rPr>
                <w:rFonts w:ascii="黑体" w:hAnsi="黑体" w:eastAsia="黑体"/>
                <w:color w:val="auto"/>
                <w:kern w:val="0"/>
                <w:sz w:val="20"/>
                <w:szCs w:val="20"/>
                <w:highlight w:val="none"/>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A79078">
            <w:pPr>
              <w:widowControl/>
              <w:ind w:left="-164" w:leftChars="-78" w:right="-153" w:rightChars="-73"/>
              <w:jc w:val="center"/>
              <w:rPr>
                <w:rFonts w:ascii="黑体" w:hAnsi="黑体" w:eastAsia="黑体"/>
                <w:color w:val="auto"/>
                <w:kern w:val="0"/>
                <w:sz w:val="20"/>
                <w:szCs w:val="20"/>
                <w:highlight w:val="none"/>
              </w:rPr>
            </w:pPr>
            <w:r>
              <w:rPr>
                <w:rFonts w:ascii="黑体" w:hAnsi="黑体" w:eastAsia="黑体"/>
                <w:color w:val="auto"/>
                <w:kern w:val="0"/>
                <w:sz w:val="20"/>
                <w:szCs w:val="20"/>
                <w:highlight w:val="none"/>
              </w:rPr>
              <w:t>尚未</w:t>
            </w:r>
          </w:p>
          <w:p w14:paraId="09969D87">
            <w:pPr>
              <w:widowControl/>
              <w:ind w:left="-164" w:leftChars="-78" w:right="-153" w:rightChars="-73"/>
              <w:jc w:val="center"/>
              <w:rPr>
                <w:rFonts w:ascii="黑体" w:hAnsi="黑体" w:eastAsia="黑体"/>
                <w:color w:val="auto"/>
                <w:highlight w:val="none"/>
              </w:rPr>
            </w:pPr>
            <w:r>
              <w:rPr>
                <w:rFonts w:ascii="黑体" w:hAnsi="黑体" w:eastAsia="黑体"/>
                <w:color w:val="auto"/>
                <w:kern w:val="0"/>
                <w:sz w:val="20"/>
                <w:szCs w:val="20"/>
                <w:highlight w:val="none"/>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9CEE01">
            <w:pPr>
              <w:widowControl/>
              <w:jc w:val="center"/>
              <w:rPr>
                <w:rFonts w:ascii="黑体" w:hAnsi="黑体" w:eastAsia="黑体"/>
                <w:color w:val="auto"/>
                <w:highlight w:val="none"/>
              </w:rPr>
            </w:pPr>
            <w:r>
              <w:rPr>
                <w:rFonts w:ascii="黑体" w:hAnsi="黑体" w:eastAsia="黑体"/>
                <w:color w:val="auto"/>
                <w:kern w:val="0"/>
                <w:sz w:val="20"/>
                <w:szCs w:val="20"/>
                <w:highlight w:val="none"/>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69DDF90">
            <w:pPr>
              <w:widowControl/>
              <w:ind w:left="-99" w:leftChars="-47" w:right="-78" w:rightChars="-37"/>
              <w:jc w:val="center"/>
              <w:rPr>
                <w:rFonts w:ascii="黑体" w:hAnsi="黑体" w:eastAsia="黑体"/>
                <w:color w:val="auto"/>
                <w:highlight w:val="none"/>
              </w:rPr>
            </w:pPr>
            <w:r>
              <w:rPr>
                <w:rFonts w:ascii="黑体" w:hAnsi="黑体" w:eastAsia="黑体"/>
                <w:color w:val="auto"/>
                <w:kern w:val="0"/>
                <w:sz w:val="20"/>
                <w:szCs w:val="20"/>
                <w:highlight w:val="none"/>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83D058">
            <w:pPr>
              <w:widowControl/>
              <w:ind w:left="-136" w:leftChars="-65" w:right="-124" w:rightChars="-59"/>
              <w:jc w:val="center"/>
              <w:rPr>
                <w:rFonts w:ascii="黑体" w:hAnsi="黑体" w:eastAsia="黑体"/>
                <w:color w:val="auto"/>
                <w:kern w:val="0"/>
                <w:sz w:val="20"/>
                <w:szCs w:val="20"/>
                <w:highlight w:val="none"/>
              </w:rPr>
            </w:pPr>
            <w:r>
              <w:rPr>
                <w:rFonts w:ascii="黑体" w:hAnsi="黑体" w:eastAsia="黑体"/>
                <w:color w:val="auto"/>
                <w:kern w:val="0"/>
                <w:sz w:val="20"/>
                <w:szCs w:val="20"/>
                <w:highlight w:val="none"/>
              </w:rPr>
              <w:t>结果</w:t>
            </w:r>
          </w:p>
          <w:p w14:paraId="2E87C151">
            <w:pPr>
              <w:widowControl/>
              <w:ind w:left="-136" w:leftChars="-65" w:right="-124" w:rightChars="-59"/>
              <w:jc w:val="center"/>
              <w:rPr>
                <w:rFonts w:ascii="黑体" w:hAnsi="黑体" w:eastAsia="黑体"/>
                <w:color w:val="auto"/>
                <w:highlight w:val="none"/>
              </w:rPr>
            </w:pPr>
            <w:r>
              <w:rPr>
                <w:rFonts w:ascii="黑体" w:hAnsi="黑体" w:eastAsia="黑体"/>
                <w:color w:val="auto"/>
                <w:kern w:val="0"/>
                <w:sz w:val="20"/>
                <w:szCs w:val="20"/>
                <w:highlight w:val="none"/>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86948B4">
            <w:pPr>
              <w:widowControl/>
              <w:ind w:left="-173" w:leftChars="-83" w:right="-134" w:rightChars="-64" w:hanging="1"/>
              <w:jc w:val="center"/>
              <w:rPr>
                <w:rFonts w:ascii="黑体" w:hAnsi="黑体" w:eastAsia="黑体"/>
                <w:color w:val="auto"/>
                <w:kern w:val="0"/>
                <w:sz w:val="20"/>
                <w:szCs w:val="20"/>
                <w:highlight w:val="none"/>
              </w:rPr>
            </w:pPr>
            <w:r>
              <w:rPr>
                <w:rFonts w:ascii="黑体" w:hAnsi="黑体" w:eastAsia="黑体"/>
                <w:color w:val="auto"/>
                <w:kern w:val="0"/>
                <w:sz w:val="20"/>
                <w:szCs w:val="20"/>
                <w:highlight w:val="none"/>
              </w:rPr>
              <w:t>其他</w:t>
            </w:r>
          </w:p>
          <w:p w14:paraId="654843E9">
            <w:pPr>
              <w:widowControl/>
              <w:ind w:left="-173" w:leftChars="-83" w:right="-134" w:rightChars="-64" w:hanging="1"/>
              <w:jc w:val="center"/>
              <w:rPr>
                <w:rFonts w:ascii="黑体" w:hAnsi="黑体" w:eastAsia="黑体"/>
                <w:color w:val="auto"/>
                <w:highlight w:val="none"/>
              </w:rPr>
            </w:pPr>
            <w:r>
              <w:rPr>
                <w:rFonts w:ascii="黑体" w:hAnsi="黑体" w:eastAsia="黑体"/>
                <w:color w:val="auto"/>
                <w:kern w:val="0"/>
                <w:sz w:val="20"/>
                <w:szCs w:val="20"/>
                <w:highlight w:val="none"/>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90B08C7">
            <w:pPr>
              <w:widowControl/>
              <w:ind w:left="-67" w:leftChars="-33" w:right="-105" w:rightChars="-50" w:hanging="2" w:hangingChars="1"/>
              <w:jc w:val="center"/>
              <w:rPr>
                <w:rFonts w:ascii="黑体" w:hAnsi="黑体" w:eastAsia="黑体"/>
                <w:color w:val="auto"/>
                <w:highlight w:val="none"/>
              </w:rPr>
            </w:pPr>
            <w:r>
              <w:rPr>
                <w:rFonts w:ascii="黑体" w:hAnsi="黑体" w:eastAsia="黑体"/>
                <w:color w:val="auto"/>
                <w:kern w:val="0"/>
                <w:sz w:val="20"/>
                <w:szCs w:val="20"/>
                <w:highlight w:val="none"/>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E73B57">
            <w:pPr>
              <w:widowControl/>
              <w:jc w:val="center"/>
              <w:rPr>
                <w:rFonts w:ascii="黑体" w:hAnsi="黑体" w:eastAsia="黑体"/>
                <w:color w:val="auto"/>
                <w:highlight w:val="none"/>
              </w:rPr>
            </w:pPr>
            <w:r>
              <w:rPr>
                <w:rFonts w:ascii="黑体" w:hAnsi="黑体" w:eastAsia="黑体"/>
                <w:color w:val="auto"/>
                <w:kern w:val="0"/>
                <w:sz w:val="20"/>
                <w:szCs w:val="20"/>
                <w:highlight w:val="none"/>
              </w:rPr>
              <w:t>总计</w:t>
            </w:r>
          </w:p>
        </w:tc>
      </w:tr>
      <w:tr w14:paraId="24A6D0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847F33">
            <w:pPr>
              <w:widowControl/>
              <w:spacing w:after="180"/>
              <w:jc w:val="center"/>
              <w:rPr>
                <w:rFonts w:hint="eastAsia" w:ascii="Times New Roman" w:hAnsi="Times New Roman" w:eastAsiaTheme="minorEastAsia"/>
                <w:color w:val="auto"/>
                <w:highlight w:val="none"/>
                <w:lang w:val="en-US" w:eastAsia="zh-CN"/>
              </w:rPr>
            </w:pPr>
            <w:r>
              <w:rPr>
                <w:rFonts w:hint="eastAsia" w:ascii="Times New Roman" w:hAnsi="Times New Roman"/>
                <w:color w:val="auto"/>
                <w:highlight w:val="none"/>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CBC1108">
            <w:pPr>
              <w:widowControl/>
              <w:spacing w:after="180"/>
              <w:jc w:val="center"/>
              <w:rPr>
                <w:rFonts w:hint="eastAsia" w:ascii="Times New Roman" w:hAnsi="Times New Roman" w:eastAsiaTheme="minorEastAsia"/>
                <w:color w:val="auto"/>
                <w:highlight w:val="none"/>
                <w:lang w:val="en-US" w:eastAsia="zh-CN"/>
              </w:rPr>
            </w:pPr>
            <w:r>
              <w:rPr>
                <w:rFonts w:hint="eastAsia" w:ascii="Times New Roman" w:hAnsi="Times New Roman"/>
                <w:color w:val="auto"/>
                <w:highlight w:val="none"/>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3538BAF7">
            <w:pPr>
              <w:widowControl/>
              <w:spacing w:after="180"/>
              <w:jc w:val="center"/>
              <w:rPr>
                <w:rFonts w:hint="eastAsia" w:ascii="Times New Roman" w:hAnsi="Times New Roman" w:eastAsiaTheme="minorEastAsia"/>
                <w:color w:val="auto"/>
                <w:highlight w:val="none"/>
                <w:lang w:val="en-US" w:eastAsia="zh-CN"/>
              </w:rPr>
            </w:pPr>
            <w:r>
              <w:rPr>
                <w:rFonts w:hint="eastAsia" w:ascii="Times New Roman" w:hAnsi="Times New Roman"/>
                <w:color w:val="auto"/>
                <w:highlight w:val="none"/>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50E4BF5">
            <w:pPr>
              <w:widowControl/>
              <w:spacing w:after="180"/>
              <w:jc w:val="center"/>
              <w:rPr>
                <w:rFonts w:hint="eastAsia" w:ascii="Times New Roman" w:hAnsi="Times New Roman" w:eastAsiaTheme="minorEastAsia"/>
                <w:color w:val="auto"/>
                <w:highlight w:val="none"/>
                <w:lang w:val="en-US" w:eastAsia="zh-CN"/>
              </w:rPr>
            </w:pPr>
            <w:r>
              <w:rPr>
                <w:rFonts w:hint="eastAsia" w:ascii="Times New Roman" w:hAnsi="Times New Roman"/>
                <w:color w:val="auto"/>
                <w:highlight w:val="none"/>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2429297">
            <w:pPr>
              <w:widowControl/>
              <w:spacing w:after="180"/>
              <w:jc w:val="center"/>
              <w:rPr>
                <w:rFonts w:hint="eastAsia" w:ascii="Times New Roman" w:hAnsi="Times New Roman" w:eastAsiaTheme="minorEastAsia"/>
                <w:color w:val="auto"/>
                <w:highlight w:val="none"/>
                <w:lang w:val="en-US" w:eastAsia="zh-CN"/>
              </w:rPr>
            </w:pPr>
            <w:r>
              <w:rPr>
                <w:rFonts w:hint="eastAsia" w:ascii="Times New Roman" w:hAnsi="Times New Roman"/>
                <w:color w:val="auto"/>
                <w:highlight w:val="none"/>
                <w:lang w:val="en-US" w:eastAsia="zh-CN"/>
              </w:rPr>
              <w:t>1</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82EFA40">
            <w:pPr>
              <w:widowControl/>
              <w:spacing w:after="180"/>
              <w:jc w:val="center"/>
              <w:rPr>
                <w:rFonts w:hint="eastAsia" w:ascii="Times New Roman" w:hAnsi="Times New Roman" w:eastAsiaTheme="minorEastAsia"/>
                <w:color w:val="auto"/>
                <w:highlight w:val="none"/>
                <w:lang w:val="en-US" w:eastAsia="zh-CN"/>
              </w:rPr>
            </w:pPr>
            <w:r>
              <w:rPr>
                <w:rFonts w:hint="eastAsia" w:ascii="Times New Roman" w:hAnsi="Times New Roman"/>
                <w:color w:val="auto"/>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668B1F">
            <w:pPr>
              <w:widowControl/>
              <w:spacing w:after="180"/>
              <w:jc w:val="center"/>
              <w:rPr>
                <w:rFonts w:hint="eastAsia" w:ascii="Times New Roman" w:hAnsi="Times New Roman" w:eastAsiaTheme="minorEastAsia"/>
                <w:color w:val="auto"/>
                <w:highlight w:val="none"/>
                <w:lang w:val="en-US" w:eastAsia="zh-CN"/>
              </w:rPr>
            </w:pPr>
            <w:r>
              <w:rPr>
                <w:rFonts w:hint="eastAsia" w:ascii="Times New Roman" w:hAnsi="Times New Roman"/>
                <w:color w:val="auto"/>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AC69BD7">
            <w:pPr>
              <w:widowControl/>
              <w:spacing w:after="180"/>
              <w:jc w:val="center"/>
              <w:rPr>
                <w:rFonts w:hint="eastAsia" w:ascii="Times New Roman" w:hAnsi="Times New Roman" w:eastAsiaTheme="minorEastAsia"/>
                <w:color w:val="auto"/>
                <w:highlight w:val="none"/>
                <w:lang w:val="en-US" w:eastAsia="zh-CN"/>
              </w:rPr>
            </w:pPr>
            <w:r>
              <w:rPr>
                <w:rFonts w:hint="eastAsia" w:ascii="Times New Roman" w:hAnsi="Times New Roman"/>
                <w:color w:val="auto"/>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DA1B33C">
            <w:pPr>
              <w:widowControl/>
              <w:spacing w:after="180"/>
              <w:jc w:val="center"/>
              <w:rPr>
                <w:rFonts w:hint="eastAsia" w:ascii="Times New Roman" w:hAnsi="Times New Roman" w:eastAsiaTheme="minorEastAsia"/>
                <w:color w:val="auto"/>
                <w:highlight w:val="none"/>
                <w:lang w:val="en-US" w:eastAsia="zh-CN"/>
              </w:rPr>
            </w:pPr>
            <w:r>
              <w:rPr>
                <w:rFonts w:hint="eastAsia" w:ascii="Times New Roman" w:hAnsi="Times New Roman"/>
                <w:color w:val="auto"/>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F2FF8E1">
            <w:pPr>
              <w:widowControl/>
              <w:spacing w:after="180"/>
              <w:jc w:val="center"/>
              <w:rPr>
                <w:rFonts w:hint="eastAsia" w:ascii="Times New Roman" w:hAnsi="Times New Roman" w:eastAsiaTheme="minorEastAsia"/>
                <w:color w:val="auto"/>
                <w:highlight w:val="none"/>
                <w:lang w:val="en-US" w:eastAsia="zh-CN"/>
              </w:rPr>
            </w:pPr>
            <w:r>
              <w:rPr>
                <w:rFonts w:hint="eastAsia" w:ascii="Times New Roman" w:hAnsi="Times New Roman"/>
                <w:color w:val="auto"/>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1B5F4B1">
            <w:pPr>
              <w:widowControl/>
              <w:spacing w:after="180"/>
              <w:jc w:val="center"/>
              <w:rPr>
                <w:rFonts w:hint="eastAsia" w:ascii="Times New Roman" w:hAnsi="Times New Roman" w:eastAsiaTheme="minorEastAsia"/>
                <w:color w:val="auto"/>
                <w:highlight w:val="none"/>
                <w:lang w:val="en-US" w:eastAsia="zh-CN"/>
              </w:rPr>
            </w:pPr>
            <w:r>
              <w:rPr>
                <w:rFonts w:hint="eastAsia" w:ascii="Times New Roman" w:hAnsi="Times New Roman"/>
                <w:color w:val="auto"/>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F92EEFF">
            <w:pPr>
              <w:widowControl/>
              <w:spacing w:after="180"/>
              <w:jc w:val="center"/>
              <w:rPr>
                <w:rFonts w:hint="eastAsia" w:ascii="Times New Roman" w:hAnsi="Times New Roman" w:eastAsiaTheme="minorEastAsia"/>
                <w:color w:val="auto"/>
                <w:highlight w:val="none"/>
                <w:lang w:val="en-US" w:eastAsia="zh-CN"/>
              </w:rPr>
            </w:pPr>
            <w:r>
              <w:rPr>
                <w:rFonts w:hint="eastAsia" w:ascii="Times New Roman" w:hAnsi="Times New Roman"/>
                <w:color w:val="auto"/>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84C8F8">
            <w:pPr>
              <w:widowControl/>
              <w:spacing w:after="180"/>
              <w:jc w:val="center"/>
              <w:rPr>
                <w:rFonts w:hint="eastAsia" w:ascii="Times New Roman" w:hAnsi="Times New Roman" w:eastAsiaTheme="minorEastAsia"/>
                <w:color w:val="auto"/>
                <w:highlight w:val="none"/>
                <w:lang w:val="en-US" w:eastAsia="zh-CN"/>
              </w:rPr>
            </w:pPr>
            <w:r>
              <w:rPr>
                <w:rFonts w:hint="eastAsia" w:ascii="Times New Roman" w:hAnsi="Times New Roman"/>
                <w:color w:val="auto"/>
                <w:highlight w:val="none"/>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AA58CAF">
            <w:pPr>
              <w:widowControl/>
              <w:spacing w:after="180"/>
              <w:jc w:val="center"/>
              <w:rPr>
                <w:rFonts w:hint="eastAsia" w:ascii="Times New Roman" w:hAnsi="Times New Roman" w:eastAsiaTheme="minorEastAsia"/>
                <w:color w:val="auto"/>
                <w:highlight w:val="none"/>
                <w:lang w:val="en-US" w:eastAsia="zh-CN"/>
              </w:rPr>
            </w:pPr>
            <w:r>
              <w:rPr>
                <w:rFonts w:hint="eastAsia" w:ascii="Times New Roman" w:hAnsi="Times New Roman"/>
                <w:color w:val="auto"/>
                <w:highlight w:val="none"/>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04384F3A">
            <w:pPr>
              <w:widowControl/>
              <w:spacing w:after="180"/>
              <w:jc w:val="center"/>
              <w:rPr>
                <w:rFonts w:hint="eastAsia" w:ascii="Times New Roman" w:hAnsi="Times New Roman" w:eastAsiaTheme="minorEastAsia"/>
                <w:color w:val="auto"/>
                <w:highlight w:val="none"/>
                <w:lang w:val="en-US" w:eastAsia="zh-CN"/>
              </w:rPr>
            </w:pPr>
            <w:r>
              <w:rPr>
                <w:rFonts w:hint="eastAsia" w:ascii="Times New Roman" w:hAnsi="Times New Roman"/>
                <w:color w:val="auto"/>
                <w:highlight w:val="none"/>
                <w:lang w:val="en-US" w:eastAsia="zh-CN"/>
              </w:rPr>
              <w:t>0</w:t>
            </w:r>
          </w:p>
        </w:tc>
      </w:tr>
    </w:tbl>
    <w:p w14:paraId="3CC48264">
      <w:pPr>
        <w:widowControl/>
        <w:jc w:val="left"/>
        <w:rPr>
          <w:rFonts w:hint="eastAsia" w:ascii="仿宋_GB2312" w:hAnsi="Calibri" w:eastAsia="仿宋_GB2312" w:cs="Calibri"/>
          <w:color w:val="auto"/>
          <w:kern w:val="0"/>
          <w:szCs w:val="21"/>
          <w:highlight w:val="none"/>
          <w:lang w:val="en-US" w:eastAsia="zh-CN"/>
        </w:rPr>
      </w:pPr>
    </w:p>
    <w:p w14:paraId="3AE2B3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02" w:firstLineChars="200"/>
        <w:jc w:val="both"/>
        <w:textAlignment w:val="auto"/>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pPr>
      <w:r>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t>五、政府信息公开工作存在的主要问题及改进情况</w:t>
      </w:r>
    </w:p>
    <w:p w14:paraId="40E9AD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eastAsia"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2025年，我局政务公开工作围绕中心、服务大局，在提升城市管理透明度和公信力方面发挥了积极作用。同时，当前工作仍存在一些需要加强的环节：政务公开与业务工作的融合深度不够；依申请公开工作的标准化、规范化水平仍需持续提高。为切实推动政务公开工作提质增效，下一步我局将重点抓好以下几方面：</w:t>
      </w:r>
    </w:p>
    <w:p w14:paraId="72C4C9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eastAsia"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（1）促进政务公开与业务深度融合。各业务科室指定专人负责对接政务公开工作，围绕城市管理业务和群众关切，动态拓展和细化公开内容，提升公开信息的针对性。</w:t>
      </w:r>
    </w:p>
    <w:p w14:paraId="028F3C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default"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（2）规范依申请公开回复程序。制定统一规范的依申请公开办理规程，明确接收、转办、审核、回复、归档等全流程标准，确保程序严谨、办理高效。</w:t>
      </w:r>
    </w:p>
    <w:p w14:paraId="347F1C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default"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（3）加强政务公开队伍专业化建设。定期对城市管理系统政务公开工作人员和科室联络员开展业务指导和培训，推动政务公开工作提质增效。</w:t>
      </w:r>
    </w:p>
    <w:p w14:paraId="6720FB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02" w:firstLineChars="200"/>
        <w:jc w:val="both"/>
        <w:textAlignment w:val="auto"/>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pPr>
      <w:r>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t>六、其他需要报告的事项</w:t>
      </w:r>
    </w:p>
    <w:p w14:paraId="4D0340A5">
      <w:pPr>
        <w:keepNext w:val="0"/>
        <w:keepLines w:val="0"/>
        <w:pageBreakBefore w:val="0"/>
        <w:tabs>
          <w:tab w:val="left" w:pos="1597"/>
        </w:tabs>
        <w:kinsoku/>
        <w:wordWrap/>
        <w:overflowPunct/>
        <w:topLinePunct w:val="0"/>
        <w:autoSpaceDE/>
        <w:autoSpaceDN/>
        <w:bidi w:val="0"/>
        <w:adjustRightInd/>
        <w:snapToGrid/>
        <w:spacing w:line="540" w:lineRule="exact"/>
        <w:ind w:firstLine="602" w:firstLineChars="200"/>
        <w:jc w:val="left"/>
        <w:textAlignment w:val="auto"/>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（1）依据《政府信息公开信息处理费管理办法》收取信息处理费的情况：</w:t>
      </w:r>
    </w:p>
    <w:p w14:paraId="6369231F">
      <w:pPr>
        <w:keepNext w:val="0"/>
        <w:keepLines w:val="0"/>
        <w:pageBreakBefore w:val="0"/>
        <w:tabs>
          <w:tab w:val="left" w:pos="1597"/>
        </w:tabs>
        <w:kinsoku/>
        <w:wordWrap/>
        <w:overflowPunct/>
        <w:topLinePunct w:val="0"/>
        <w:autoSpaceDE/>
        <w:autoSpaceDN/>
        <w:bidi w:val="0"/>
        <w:adjustRightInd/>
        <w:snapToGrid/>
        <w:spacing w:line="540" w:lineRule="exact"/>
        <w:ind w:firstLine="602" w:firstLineChars="200"/>
        <w:jc w:val="left"/>
        <w:textAlignment w:val="auto"/>
        <w:rPr>
          <w:rStyle w:val="8"/>
          <w:rFonts w:hint="default" w:ascii="方正仿宋简体" w:hAnsi="方正仿宋简体" w:eastAsia="方正仿宋简体" w:cs="方正仿宋简体"/>
          <w:b/>
          <w:i w:val="0"/>
          <w:caps w:val="0"/>
          <w:color w:val="auto"/>
          <w:spacing w:val="0"/>
          <w:sz w:val="30"/>
          <w:szCs w:val="30"/>
          <w:highlight w:val="none"/>
          <w:u w:val="none"/>
          <w:lang w:val="en-US" w:eastAsia="zh-CN"/>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依据《政府信息公开信息处理费管理办法》中的收费标准，济宁市城市管理局2025年度没有产生信息公开处理费。</w:t>
      </w:r>
    </w:p>
    <w:p w14:paraId="6EE2FB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5"/>
        <w:jc w:val="left"/>
        <w:textAlignment w:val="auto"/>
        <w:rPr>
          <w:rStyle w:val="8"/>
          <w:rFonts w:hint="eastAsia" w:ascii="方正仿宋简体" w:hAnsi="方正仿宋简体" w:eastAsia="方正仿宋简体" w:cs="方正仿宋简体"/>
          <w:i w:val="0"/>
          <w:caps w:val="0"/>
          <w:color w:val="auto"/>
          <w:spacing w:val="0"/>
          <w:kern w:val="2"/>
          <w:sz w:val="30"/>
          <w:szCs w:val="30"/>
          <w:highlight w:val="none"/>
          <w:u w:val="none"/>
          <w:lang w:val="en-US" w:eastAsia="zh-CN" w:bidi="ar-SA"/>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（2）</w:t>
      </w:r>
      <w:r>
        <w:rPr>
          <w:rStyle w:val="8"/>
          <w:rFonts w:hint="eastAsia" w:ascii="方正仿宋简体" w:hAnsi="方正仿宋简体" w:eastAsia="方正仿宋简体" w:cs="方正仿宋简体"/>
          <w:i w:val="0"/>
          <w:caps w:val="0"/>
          <w:color w:val="auto"/>
          <w:spacing w:val="0"/>
          <w:kern w:val="2"/>
          <w:sz w:val="30"/>
          <w:szCs w:val="30"/>
          <w:highlight w:val="none"/>
          <w:u w:val="none"/>
          <w:lang w:val="en-US" w:eastAsia="zh-CN" w:bidi="ar-SA"/>
        </w:rPr>
        <w:t>市城市管理局落实上级年度政务公开工作要点情况：</w:t>
      </w:r>
    </w:p>
    <w:p w14:paraId="48F304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5"/>
        <w:jc w:val="left"/>
        <w:textAlignment w:val="auto"/>
        <w:rPr>
          <w:rStyle w:val="8"/>
          <w:rFonts w:hint="default" w:ascii="方正仿宋简体" w:hAnsi="方正仿宋简体" w:eastAsia="方正仿宋简体" w:cs="方正仿宋简体"/>
          <w:i w:val="0"/>
          <w:caps w:val="0"/>
          <w:color w:val="auto"/>
          <w:spacing w:val="0"/>
          <w:kern w:val="2"/>
          <w:sz w:val="30"/>
          <w:szCs w:val="30"/>
          <w:highlight w:val="none"/>
          <w:u w:val="none"/>
          <w:lang w:val="en-US" w:eastAsia="zh-CN" w:bidi="ar-SA"/>
        </w:rPr>
      </w:pPr>
      <w:r>
        <w:rPr>
          <w:rStyle w:val="8"/>
          <w:rFonts w:hint="eastAsia" w:ascii="方正仿宋简体" w:hAnsi="方正仿宋简体" w:eastAsia="方正仿宋简体" w:cs="方正仿宋简体"/>
          <w:i w:val="0"/>
          <w:caps w:val="0"/>
          <w:color w:val="auto"/>
          <w:spacing w:val="0"/>
          <w:kern w:val="2"/>
          <w:sz w:val="30"/>
          <w:szCs w:val="30"/>
          <w:highlight w:val="none"/>
          <w:u w:val="none"/>
          <w:lang w:val="en-US" w:eastAsia="zh-CN" w:bidi="ar-SA"/>
        </w:rPr>
        <w:t>市城市管理局认真落实《2025年山东省政务公开工作要点》</w:t>
      </w:r>
      <w:bookmarkStart w:id="10" w:name="_GoBack"/>
      <w:bookmarkEnd w:id="10"/>
      <w:r>
        <w:rPr>
          <w:rStyle w:val="8"/>
          <w:rFonts w:hint="eastAsia" w:ascii="方正仿宋简体" w:hAnsi="方正仿宋简体" w:eastAsia="方正仿宋简体" w:cs="方正仿宋简体"/>
          <w:i w:val="0"/>
          <w:caps w:val="0"/>
          <w:color w:val="auto"/>
          <w:spacing w:val="0"/>
          <w:kern w:val="2"/>
          <w:sz w:val="30"/>
          <w:szCs w:val="30"/>
          <w:highlight w:val="none"/>
          <w:u w:val="none"/>
          <w:lang w:val="en-US" w:eastAsia="zh-CN" w:bidi="ar-SA"/>
        </w:rPr>
        <w:t>，聚焦市政设施、市容环境等重点领域，深化信息公开，政务公开专栏发布信息98条。严格落实行政执法公示制度，公开行政执法主体资格清单、执法岗位信息等内容。扎实推进口袋公园建设等重点任务承诺事项公开。组织开展多次“政府开放日”活动，提升公众参与实效。</w:t>
      </w:r>
    </w:p>
    <w:p w14:paraId="7D5616DE">
      <w:pPr>
        <w:keepNext w:val="0"/>
        <w:keepLines w:val="0"/>
        <w:pageBreakBefore w:val="0"/>
        <w:tabs>
          <w:tab w:val="left" w:pos="1597"/>
        </w:tabs>
        <w:kinsoku/>
        <w:wordWrap/>
        <w:overflowPunct/>
        <w:topLinePunct w:val="0"/>
        <w:autoSpaceDE/>
        <w:autoSpaceDN/>
        <w:bidi w:val="0"/>
        <w:adjustRightInd/>
        <w:snapToGrid/>
        <w:spacing w:line="540" w:lineRule="exact"/>
        <w:ind w:firstLine="602" w:firstLineChars="200"/>
        <w:jc w:val="left"/>
        <w:textAlignment w:val="auto"/>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（3）</w:t>
      </w:r>
      <w:r>
        <w:rPr>
          <w:rStyle w:val="8"/>
          <w:rFonts w:hint="eastAsia" w:ascii="方正仿宋简体" w:hAnsi="方正仿宋简体" w:eastAsia="方正仿宋简体" w:cs="方正仿宋简体"/>
          <w:i w:val="0"/>
          <w:caps w:val="0"/>
          <w:color w:val="auto"/>
          <w:spacing w:val="0"/>
          <w:kern w:val="2"/>
          <w:sz w:val="30"/>
          <w:szCs w:val="30"/>
          <w:highlight w:val="none"/>
          <w:u w:val="none"/>
          <w:lang w:val="en-US" w:eastAsia="zh-CN" w:bidi="ar-SA"/>
        </w:rPr>
        <w:t>市城市管理局</w:t>
      </w:r>
      <w:r>
        <w:rPr>
          <w:rFonts w:hint="eastAsia" w:ascii="方正仿宋简体" w:hAnsi="方正仿宋简体" w:eastAsia="方正仿宋简体" w:cs="方正仿宋简体"/>
          <w:b/>
          <w:bCs/>
          <w:color w:val="auto"/>
          <w:kern w:val="2"/>
          <w:sz w:val="30"/>
          <w:szCs w:val="30"/>
          <w:highlight w:val="none"/>
          <w:lang w:val="en-US" w:eastAsia="zh-CN" w:bidi="ar-SA"/>
        </w:rPr>
        <w:t>人大代表建议和政协提案办理结果公开情况：</w:t>
      </w:r>
    </w:p>
    <w:p w14:paraId="42418B56">
      <w:pPr>
        <w:keepNext w:val="0"/>
        <w:keepLines w:val="0"/>
        <w:pageBreakBefore w:val="0"/>
        <w:tabs>
          <w:tab w:val="left" w:pos="1597"/>
        </w:tabs>
        <w:kinsoku/>
        <w:wordWrap/>
        <w:overflowPunct/>
        <w:topLinePunct w:val="0"/>
        <w:autoSpaceDE/>
        <w:autoSpaceDN/>
        <w:bidi w:val="0"/>
        <w:adjustRightInd/>
        <w:snapToGrid/>
        <w:spacing w:line="540" w:lineRule="exact"/>
        <w:ind w:firstLine="602" w:firstLineChars="200"/>
        <w:jc w:val="left"/>
        <w:textAlignment w:val="auto"/>
        <w:rPr>
          <w:rStyle w:val="8"/>
          <w:rFonts w:hint="eastAsia" w:ascii="方正仿宋简体" w:hAnsi="方正仿宋简体" w:eastAsia="方正仿宋简体" w:cs="方正仿宋简体"/>
          <w:b/>
          <w:i w:val="0"/>
          <w:caps w:val="0"/>
          <w:color w:val="auto"/>
          <w:spacing w:val="0"/>
          <w:sz w:val="30"/>
          <w:szCs w:val="30"/>
          <w:highlight w:val="none"/>
          <w:u w:val="none"/>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2025年，市城市管理局共收到人大代表建议7件（主办1件，分办3件，协办3件），政协提案19件（主办1件，分办15件，协办3件），已全部办理完毕</w:t>
      </w:r>
      <w:r>
        <w:rPr>
          <w:rStyle w:val="8"/>
          <w:rFonts w:hint="eastAsia" w:ascii="方正仿宋简体" w:hAnsi="方正仿宋简体" w:eastAsia="方正仿宋简体" w:cs="方正仿宋简体"/>
          <w:b/>
          <w:i w:val="0"/>
          <w:caps w:val="0"/>
          <w:color w:val="auto"/>
          <w:spacing w:val="0"/>
          <w:sz w:val="30"/>
          <w:szCs w:val="30"/>
          <w:highlight w:val="none"/>
          <w:u w:val="none"/>
        </w:rPr>
        <w:t>。我局高度重视人大建议和政协提案办理</w:t>
      </w: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工作</w:t>
      </w:r>
      <w:r>
        <w:rPr>
          <w:rStyle w:val="8"/>
          <w:rFonts w:hint="eastAsia" w:ascii="方正仿宋简体" w:hAnsi="方正仿宋简体" w:eastAsia="方正仿宋简体" w:cs="方正仿宋简体"/>
          <w:b/>
          <w:i w:val="0"/>
          <w:caps w:val="0"/>
          <w:color w:val="auto"/>
          <w:spacing w:val="0"/>
          <w:sz w:val="30"/>
          <w:szCs w:val="30"/>
          <w:highlight w:val="none"/>
          <w:u w:val="none"/>
        </w:rPr>
        <w:t>，将其作为及时掌握社情民意的重要渠道，延续了以往“主要领导负总责、分管领导具体抓、承办科室具体办、落实专人全程盯”的工作机制，由办公室会同局属各单位、机关各科室具体承办。办公室明确1名同志担任联络员，严格按照规定进行答复。</w:t>
      </w:r>
    </w:p>
    <w:p w14:paraId="0153FEA0">
      <w:pPr>
        <w:keepNext w:val="0"/>
        <w:keepLines w:val="0"/>
        <w:pageBreakBefore w:val="0"/>
        <w:tabs>
          <w:tab w:val="left" w:pos="1597"/>
        </w:tabs>
        <w:kinsoku/>
        <w:wordWrap/>
        <w:overflowPunct/>
        <w:topLinePunct w:val="0"/>
        <w:autoSpaceDE/>
        <w:autoSpaceDN/>
        <w:bidi w:val="0"/>
        <w:adjustRightInd/>
        <w:snapToGrid/>
        <w:spacing w:line="540" w:lineRule="exact"/>
        <w:ind w:firstLine="602" w:firstLineChars="200"/>
        <w:jc w:val="left"/>
        <w:textAlignment w:val="auto"/>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（4）本行政机关年度政务公开工作创新情况：</w:t>
      </w:r>
    </w:p>
    <w:p w14:paraId="47DE94A7">
      <w:pPr>
        <w:keepNext w:val="0"/>
        <w:keepLines w:val="0"/>
        <w:pageBreakBefore w:val="0"/>
        <w:tabs>
          <w:tab w:val="left" w:pos="1597"/>
        </w:tabs>
        <w:kinsoku/>
        <w:wordWrap/>
        <w:overflowPunct/>
        <w:topLinePunct w:val="0"/>
        <w:autoSpaceDE/>
        <w:autoSpaceDN/>
        <w:bidi w:val="0"/>
        <w:adjustRightInd/>
        <w:snapToGrid/>
        <w:spacing w:line="540" w:lineRule="exact"/>
        <w:ind w:firstLine="602" w:firstLineChars="200"/>
        <w:jc w:val="left"/>
        <w:textAlignment w:val="auto"/>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2025年，市城市管理局在官方微信公众号开设“城市管理进社区”及“城市管理品质提升年行动”专栏，共发布53期内容，集中展现城市管理精细化、规范化推进成效，切实增强了市民对城管工作的理解与支持。</w:t>
      </w:r>
    </w:p>
    <w:p w14:paraId="0A2E3FBA">
      <w:pPr>
        <w:keepNext w:val="0"/>
        <w:keepLines w:val="0"/>
        <w:pageBreakBefore w:val="0"/>
        <w:tabs>
          <w:tab w:val="left" w:pos="1597"/>
        </w:tabs>
        <w:kinsoku/>
        <w:wordWrap/>
        <w:overflowPunct/>
        <w:topLinePunct w:val="0"/>
        <w:autoSpaceDE/>
        <w:autoSpaceDN/>
        <w:bidi w:val="0"/>
        <w:adjustRightInd/>
        <w:snapToGrid/>
        <w:spacing w:line="540" w:lineRule="exact"/>
        <w:ind w:firstLine="602" w:firstLineChars="200"/>
        <w:jc w:val="left"/>
        <w:textAlignment w:val="auto"/>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另外，我局以“济城明政”政务公开品牌为引领，推出系列精彩纷呈的“政府开放日”活动。从技能竞赛的执法情景模拟展示，到百花公园的绿化条例专题宣贯，从商户座谈会上的治理难题共商，到“小小城管员”的沉浸式体验，多元活动形式不仅让政务公开更接地气，更搭建起一座倾听民声、汇聚民智的 “连心桥”，彰显了城市管理工作的温度。</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MTNjN2QyN2QyZGEyYjA4OWRlMmY0ZjFhMmI3ZDQifQ=="/>
  </w:docVars>
  <w:rsids>
    <w:rsidRoot w:val="00000000"/>
    <w:rsid w:val="00375761"/>
    <w:rsid w:val="005A2D64"/>
    <w:rsid w:val="00CF635A"/>
    <w:rsid w:val="00FF1D0A"/>
    <w:rsid w:val="033753ED"/>
    <w:rsid w:val="037602F0"/>
    <w:rsid w:val="03991DF6"/>
    <w:rsid w:val="04EC08C2"/>
    <w:rsid w:val="0623601E"/>
    <w:rsid w:val="08F72A39"/>
    <w:rsid w:val="0BDA7B09"/>
    <w:rsid w:val="0C7665A5"/>
    <w:rsid w:val="0DCA3BEA"/>
    <w:rsid w:val="0E3F35E3"/>
    <w:rsid w:val="0F302560"/>
    <w:rsid w:val="10CA43F1"/>
    <w:rsid w:val="1167766E"/>
    <w:rsid w:val="137E4637"/>
    <w:rsid w:val="13FF24CD"/>
    <w:rsid w:val="141C5C5D"/>
    <w:rsid w:val="14281D83"/>
    <w:rsid w:val="16B9335B"/>
    <w:rsid w:val="17AF1416"/>
    <w:rsid w:val="19B968F6"/>
    <w:rsid w:val="1AC90ACB"/>
    <w:rsid w:val="1ADC4B9E"/>
    <w:rsid w:val="1B0740FD"/>
    <w:rsid w:val="1CB347A4"/>
    <w:rsid w:val="1E8474D2"/>
    <w:rsid w:val="1FBF453A"/>
    <w:rsid w:val="202D72A4"/>
    <w:rsid w:val="21E32E28"/>
    <w:rsid w:val="226338A3"/>
    <w:rsid w:val="22C17101"/>
    <w:rsid w:val="230A758A"/>
    <w:rsid w:val="234C3A3A"/>
    <w:rsid w:val="259C09C5"/>
    <w:rsid w:val="279D566D"/>
    <w:rsid w:val="27DC0EF4"/>
    <w:rsid w:val="2AE87872"/>
    <w:rsid w:val="2B5C443E"/>
    <w:rsid w:val="2B5D4BE5"/>
    <w:rsid w:val="2B9F159F"/>
    <w:rsid w:val="2DA74B8C"/>
    <w:rsid w:val="2E530C6F"/>
    <w:rsid w:val="2FAD0853"/>
    <w:rsid w:val="3088782E"/>
    <w:rsid w:val="32A468A4"/>
    <w:rsid w:val="33332E1D"/>
    <w:rsid w:val="342325A9"/>
    <w:rsid w:val="34B43864"/>
    <w:rsid w:val="38B967A9"/>
    <w:rsid w:val="38BB3E71"/>
    <w:rsid w:val="39555104"/>
    <w:rsid w:val="3A946AAD"/>
    <w:rsid w:val="3B7E2BAF"/>
    <w:rsid w:val="3EAC0D70"/>
    <w:rsid w:val="3F8A67CD"/>
    <w:rsid w:val="3FE147F1"/>
    <w:rsid w:val="42C677D6"/>
    <w:rsid w:val="42CD39C2"/>
    <w:rsid w:val="44881A99"/>
    <w:rsid w:val="475578CD"/>
    <w:rsid w:val="48E1458E"/>
    <w:rsid w:val="4D467EC5"/>
    <w:rsid w:val="4EBB5B4A"/>
    <w:rsid w:val="4F714FA1"/>
    <w:rsid w:val="4FE07AD2"/>
    <w:rsid w:val="52C65078"/>
    <w:rsid w:val="54AB3A77"/>
    <w:rsid w:val="597C0DDC"/>
    <w:rsid w:val="5A152718"/>
    <w:rsid w:val="5ADB4CD7"/>
    <w:rsid w:val="5C340AAE"/>
    <w:rsid w:val="5DE60909"/>
    <w:rsid w:val="5E840D05"/>
    <w:rsid w:val="608F1AF0"/>
    <w:rsid w:val="60AA0540"/>
    <w:rsid w:val="60C61220"/>
    <w:rsid w:val="61851232"/>
    <w:rsid w:val="61CE3B8D"/>
    <w:rsid w:val="61DF66CD"/>
    <w:rsid w:val="627D7201"/>
    <w:rsid w:val="634B3FF6"/>
    <w:rsid w:val="63A66B70"/>
    <w:rsid w:val="66EC3F37"/>
    <w:rsid w:val="66F82B66"/>
    <w:rsid w:val="67637A51"/>
    <w:rsid w:val="67BB34C6"/>
    <w:rsid w:val="67C07635"/>
    <w:rsid w:val="686722C9"/>
    <w:rsid w:val="68751AA8"/>
    <w:rsid w:val="68E258A1"/>
    <w:rsid w:val="69864A30"/>
    <w:rsid w:val="6A0840EA"/>
    <w:rsid w:val="6B0777A4"/>
    <w:rsid w:val="6BA24D19"/>
    <w:rsid w:val="6BBFF873"/>
    <w:rsid w:val="6BF670AD"/>
    <w:rsid w:val="6CA22ED0"/>
    <w:rsid w:val="6E573F95"/>
    <w:rsid w:val="6EE42C42"/>
    <w:rsid w:val="6FFD045F"/>
    <w:rsid w:val="703219A0"/>
    <w:rsid w:val="70447EF8"/>
    <w:rsid w:val="7059091C"/>
    <w:rsid w:val="730244EC"/>
    <w:rsid w:val="73B07597"/>
    <w:rsid w:val="73F43927"/>
    <w:rsid w:val="788136BC"/>
    <w:rsid w:val="796E1A86"/>
    <w:rsid w:val="7A0F2E64"/>
    <w:rsid w:val="7BB332A1"/>
    <w:rsid w:val="7C705F10"/>
    <w:rsid w:val="7F472610"/>
    <w:rsid w:val="B7DFCE35"/>
    <w:rsid w:val="D2DAA82F"/>
    <w:rsid w:val="DFFF5816"/>
    <w:rsid w:val="EFFD8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left="0" w:firstLine="420"/>
    </w:pPr>
    <w:rPr>
      <w:rFonts w:ascii="仿宋_GB2312" w:eastAsia="仿宋_GB2312" w:cs="仿宋_GB2312"/>
      <w:sz w:val="32"/>
      <w:szCs w:val="32"/>
    </w:rPr>
  </w:style>
  <w:style w:type="character" w:styleId="8">
    <w:name w:val="Strong"/>
    <w:basedOn w:val="7"/>
    <w:qFormat/>
    <w:uiPriority w:val="0"/>
    <w:rPr>
      <w:b/>
    </w:rPr>
  </w:style>
  <w:style w:type="character" w:styleId="9">
    <w:name w:val="FollowedHyperlink"/>
    <w:basedOn w:val="7"/>
    <w:qFormat/>
    <w:uiPriority w:val="0"/>
    <w:rPr>
      <w:color w:val="800080"/>
      <w:u w:val="single"/>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1577</Words>
  <Characters>1659</Characters>
  <Lines>0</Lines>
  <Paragraphs>0</Paragraphs>
  <TotalTime>30</TotalTime>
  <ScaleCrop>false</ScaleCrop>
  <LinksUpToDate>false</LinksUpToDate>
  <CharactersWithSpaces>1659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2023-02-01T12:13:00Z</dcterms:created>
  <dc:creator>cgjjz</dc:creator>
  <cp:lastModifiedBy>李开辉</cp:lastModifiedBy>
  <cp:lastPrinted>2023-02-14T15:06:00Z</cp:lastPrinted>
  <dcterms:modified xsi:type="dcterms:W3CDTF">2026-01-30T01:19:04Z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978932FFEDDF453A85A735094F9801AC_13</vt:lpwstr>
  </property>
  <property fmtid="{D5CDD505-2E9C-101B-9397-08002B2CF9AE}" pid="4" name="KSOTemplateDocerSaveRecord">
    <vt:lpwstr>eyJoZGlkIjoiNDZkYTg5YzhmMzQ2MGMwMGIwZmYwNTRkODhkZGM4ODkiLCJ1c2VySWQiOiIxNjcxMjYwNjY3In0=</vt:lpwstr>
  </property>
</Properties>
</file>