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ascii="方正小标宋简体" w:eastAsia="方正小标宋简体"/>
          <w:b/>
          <w:color w:val="000000" w:themeColor="text1"/>
          <w:sz w:val="44"/>
          <w:szCs w:val="44"/>
          <w:lang w:val="en-US" w:eastAsia="zh-CN"/>
          <w14:textFill>
            <w14:solidFill>
              <w14:schemeClr w14:val="tx1"/>
            </w14:solidFill>
          </w14:textFill>
        </w:rPr>
      </w:pPr>
      <w:r>
        <w:rPr>
          <w:rFonts w:hint="eastAsia" w:ascii="方正小标宋简体" w:eastAsia="方正小标宋简体"/>
          <w:b/>
          <w:color w:val="000000" w:themeColor="text1"/>
          <w:sz w:val="44"/>
          <w:szCs w:val="44"/>
          <w:lang w:val="en-US" w:eastAsia="zh-CN"/>
          <w14:textFill>
            <w14:solidFill>
              <w14:schemeClr w14:val="tx1"/>
            </w14:solidFill>
          </w14:textFill>
        </w:rPr>
        <w:t>济宁市交通运输局</w:t>
      </w:r>
    </w:p>
    <w:p>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2021年政府信息公开工作年度报告</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eastAsia="方正仿宋简体"/>
          <w:b/>
          <w:color w:val="000000" w:themeColor="text1"/>
          <w:sz w:val="32"/>
          <w:szCs w:val="32"/>
          <w:lang w:val="en-US" w:eastAsia="zh-CN"/>
          <w14:textFill>
            <w14:solidFill>
              <w14:schemeClr w14:val="tx1"/>
            </w14:solidFill>
          </w14:textFill>
        </w:rPr>
        <w:t>济宁市交通运输局</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本报告所列数据的统计期限自2021年1月1日起至2021年12月31日止。本报告电子版可在“中国·济宁”政府门户网站（http://www.jining.gov.cn/）查阅或下载。如对本报告有疑问，请与</w:t>
      </w:r>
      <w:r>
        <w:rPr>
          <w:rFonts w:hint="eastAsia" w:ascii="方正仿宋简体" w:eastAsia="方正仿宋简体"/>
          <w:b/>
          <w:color w:val="000000" w:themeColor="text1"/>
          <w:sz w:val="32"/>
          <w:szCs w:val="32"/>
          <w:lang w:val="en-US" w:eastAsia="zh-CN"/>
          <w14:textFill>
            <w14:solidFill>
              <w14:schemeClr w14:val="tx1"/>
            </w14:solidFill>
          </w14:textFill>
        </w:rPr>
        <w:t>济宁市交通运输局</w:t>
      </w:r>
      <w:r>
        <w:rPr>
          <w:rFonts w:hint="eastAsia" w:ascii="方正仿宋简体" w:eastAsia="方正仿宋简体"/>
          <w:b/>
          <w:color w:val="000000" w:themeColor="text1"/>
          <w:sz w:val="32"/>
          <w:szCs w:val="32"/>
          <w14:textFill>
            <w14:solidFill>
              <w14:schemeClr w14:val="tx1"/>
            </w14:solidFill>
          </w14:textFill>
        </w:rPr>
        <w:t>联系（地址：济宁市太白湖新区省运会综合指挥中心，联系电话：0537-2357675）。</w:t>
      </w:r>
    </w:p>
    <w:p>
      <w:pPr>
        <w:spacing w:line="590" w:lineRule="exact"/>
        <w:ind w:right="-100" w:rightChars="-50" w:firstLine="643" w:firstLineChars="200"/>
        <w:rPr>
          <w:rFonts w:ascii="方正黑体简体" w:eastAsia="方正黑体简体"/>
          <w:b/>
          <w:color w:val="000000" w:themeColor="text1"/>
          <w:sz w:val="32"/>
          <w:szCs w:val="32"/>
          <w14:textFill>
            <w14:solidFill>
              <w14:schemeClr w14:val="tx1"/>
            </w14:solidFill>
          </w14:textFill>
        </w:rPr>
      </w:pPr>
      <w:r>
        <w:rPr>
          <w:rFonts w:hint="eastAsia" w:ascii="方正黑体简体" w:eastAsia="方正黑体简体"/>
          <w:b/>
          <w:color w:val="000000" w:themeColor="text1"/>
          <w:sz w:val="32"/>
          <w:szCs w:val="32"/>
          <w14:textFill>
            <w14:solidFill>
              <w14:schemeClr w14:val="tx1"/>
            </w14:solidFill>
          </w14:textFill>
        </w:rPr>
        <w:t>一、总体情况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2021年，济宁市交通运输局坚持以习近平新时代中国特色社会主义思想为指导，全面贯彻党的十九大和十九届二中、三中、四中、五中、六中全会精神，深入落实党中央、国务院关于全面推进政务公开工作的决策部署，准确把握新时代政府信息公开工作特点和要求，完善工作机制、加大公开力度，助力深化“放管服”改革、优化营商环境，提高依法行政和政务服务水平，为推动交通运输治理体系和治理能力现代化建设发挥积极作用。</w:t>
      </w:r>
    </w:p>
    <w:p>
      <w:pPr>
        <w:spacing w:line="590" w:lineRule="exact"/>
        <w:ind w:right="-10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t>202</w:t>
      </w:r>
      <w:r>
        <w:rPr>
          <w:rFonts w:hint="eastAsia" w:ascii="方正仿宋简体" w:eastAsia="方正仿宋简体"/>
          <w:b/>
          <w:color w:val="000000" w:themeColor="text1"/>
          <w:sz w:val="32"/>
          <w:szCs w:val="32"/>
          <w:lang w:val="en-US" w:eastAsia="zh-CN"/>
          <w14:textFill>
            <w14:solidFill>
              <w14:schemeClr w14:val="tx1"/>
            </w14:solidFill>
          </w14:textFill>
        </w:rPr>
        <w:t>1</w:t>
      </w:r>
      <w:r>
        <w:rPr>
          <w:rFonts w:hint="default" w:ascii="方正仿宋简体" w:eastAsia="方正仿宋简体"/>
          <w:b/>
          <w:color w:val="000000" w:themeColor="text1"/>
          <w:sz w:val="32"/>
          <w:szCs w:val="32"/>
          <w:lang w:val="en-US" w:eastAsia="zh-CN"/>
          <w14:textFill>
            <w14:solidFill>
              <w14:schemeClr w14:val="tx1"/>
            </w14:solidFill>
          </w14:textFill>
        </w:rPr>
        <w:t>年，市交通运输局通过政府信息公开平台主动公开政</w:t>
      </w:r>
      <w:r>
        <w:rPr>
          <w:rFonts w:hint="default" w:ascii="方正仿宋简体" w:eastAsia="方正仿宋简体"/>
          <w:b/>
          <w:color w:val="auto"/>
          <w:sz w:val="32"/>
          <w:szCs w:val="32"/>
          <w:lang w:val="en-US" w:eastAsia="zh-CN"/>
        </w:rPr>
        <w:t>府信息</w:t>
      </w:r>
      <w:r>
        <w:rPr>
          <w:rFonts w:hint="eastAsia" w:ascii="方正仿宋简体" w:eastAsia="方正仿宋简体"/>
          <w:b/>
          <w:color w:val="auto"/>
          <w:sz w:val="32"/>
          <w:szCs w:val="32"/>
          <w:lang w:val="en-US" w:eastAsia="zh-CN"/>
        </w:rPr>
        <w:t>168</w:t>
      </w:r>
      <w:r>
        <w:rPr>
          <w:rFonts w:hint="default" w:ascii="方正仿宋简体" w:eastAsia="方正仿宋简体"/>
          <w:b/>
          <w:color w:val="auto"/>
          <w:sz w:val="32"/>
          <w:szCs w:val="32"/>
          <w:lang w:val="en-US" w:eastAsia="zh-CN"/>
        </w:rPr>
        <w:t>条，</w:t>
      </w:r>
      <w:r>
        <w:rPr>
          <w:rFonts w:hint="eastAsia" w:ascii="方正仿宋简体" w:eastAsia="方正仿宋简体"/>
          <w:b/>
          <w:color w:val="auto"/>
          <w:sz w:val="32"/>
          <w:szCs w:val="32"/>
          <w:lang w:val="en-US" w:eastAsia="zh-CN"/>
        </w:rPr>
        <w:t>局门户网站主动公开信息108</w:t>
      </w:r>
      <w:r>
        <w:rPr>
          <w:rFonts w:hint="eastAsia" w:ascii="方正仿宋简体" w:eastAsia="方正仿宋简体"/>
          <w:b/>
          <w:color w:val="000000" w:themeColor="text1"/>
          <w:sz w:val="32"/>
          <w:szCs w:val="32"/>
          <w:lang w:val="en-US" w:eastAsia="zh-CN"/>
          <w14:textFill>
            <w14:solidFill>
              <w14:schemeClr w14:val="tx1"/>
            </w14:solidFill>
          </w14:textFill>
        </w:rPr>
        <w:t>条，“济宁交通”政务微信发布信息195条。</w:t>
      </w:r>
      <w:r>
        <w:rPr>
          <w:rFonts w:hint="default" w:ascii="方正仿宋简体" w:eastAsia="方正仿宋简体"/>
          <w:b/>
          <w:color w:val="000000" w:themeColor="text1"/>
          <w:sz w:val="32"/>
          <w:szCs w:val="32"/>
          <w:lang w:val="en-US" w:eastAsia="zh-CN"/>
          <w14:textFill>
            <w14:solidFill>
              <w14:schemeClr w14:val="tx1"/>
            </w14:solidFill>
          </w14:textFill>
        </w:rPr>
        <w:t>共承办市人大代表建议30件，市政协委员提案25件，内容涉及交通基础设施建设、行业管理、公交一体化建设等事关经济社会发展和群众关注的热点难点问题。每件建议、提案，</w:t>
      </w:r>
      <w:r>
        <w:rPr>
          <w:rFonts w:hint="eastAsia" w:ascii="方正仿宋简体" w:eastAsia="方正仿宋简体"/>
          <w:b/>
          <w:color w:val="000000" w:themeColor="text1"/>
          <w:sz w:val="32"/>
          <w:szCs w:val="32"/>
          <w:lang w:val="en-US" w:eastAsia="zh-CN"/>
          <w14:textFill>
            <w14:solidFill>
              <w14:schemeClr w14:val="tx1"/>
            </w14:solidFill>
          </w14:textFill>
        </w:rPr>
        <w:t>市交通运输局</w:t>
      </w:r>
      <w:r>
        <w:rPr>
          <w:rFonts w:hint="default" w:ascii="方正仿宋简体" w:eastAsia="方正仿宋简体"/>
          <w:b/>
          <w:color w:val="000000" w:themeColor="text1"/>
          <w:sz w:val="32"/>
          <w:szCs w:val="32"/>
          <w:lang w:val="en-US" w:eastAsia="zh-CN"/>
          <w14:textFill>
            <w14:solidFill>
              <w14:schemeClr w14:val="tx1"/>
            </w14:solidFill>
          </w14:textFill>
        </w:rPr>
        <w:t>已于6月上旬全部办复，做到了件件有着落，件件有回音，代表和委员满意和基本满意率达到100%。积极依托新闻媒体推进政务公开工作，联合发布新闻发布会5次，出席新闻办新闻发布活动5次，主要负责同志出席新闻发布会2次。</w:t>
      </w:r>
    </w:p>
    <w:p>
      <w:pPr>
        <w:spacing w:line="590" w:lineRule="exact"/>
        <w:ind w:right="-100" w:rightChars="-50" w:firstLine="643" w:firstLineChars="200"/>
        <w:rPr>
          <w:rFonts w:hint="eastAsia" w:ascii="方正楷体简体" w:hAnsi="方正楷体简体" w:eastAsia="方正楷体简体" w:cs="方正楷体简体"/>
          <w:b/>
          <w:color w:val="000000" w:themeColor="text1"/>
          <w:sz w:val="32"/>
          <w:szCs w:val="32"/>
          <w:lang w:val="en-US" w:eastAsia="zh-CN"/>
          <w14:textFill>
            <w14:solidFill>
              <w14:schemeClr w14:val="tx1"/>
            </w14:solidFill>
          </w14:textFill>
        </w:rPr>
      </w:pPr>
      <w:r>
        <w:rPr>
          <w:rFonts w:hint="eastAsia" w:ascii="方正楷体简体" w:hAnsi="方正楷体简体" w:eastAsia="方正楷体简体" w:cs="方正楷体简体"/>
          <w:b/>
          <w:color w:val="000000" w:themeColor="text1"/>
          <w:sz w:val="32"/>
          <w:szCs w:val="32"/>
          <w:lang w:val="en-US" w:eastAsia="zh-CN"/>
          <w14:textFill>
            <w14:solidFill>
              <w14:schemeClr w14:val="tx1"/>
            </w14:solidFill>
          </w14:textFill>
        </w:rPr>
        <w:t>（一）大力推进主动公开</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t>坚持“以公开为常态，不公开为例外”原则，以政府网站为主渠道，充分发挥政务新媒体作用，大力推进政府信息主动公开。及时公开各类政策文件，</w:t>
      </w:r>
      <w:r>
        <w:rPr>
          <w:rFonts w:hint="eastAsia" w:ascii="方正仿宋简体" w:eastAsia="方正仿宋简体"/>
          <w:b/>
          <w:color w:val="000000" w:themeColor="text1"/>
          <w:sz w:val="32"/>
          <w:szCs w:val="32"/>
          <w:lang w:val="en-US" w:eastAsia="zh-CN"/>
          <w14:textFill>
            <w14:solidFill>
              <w14:schemeClr w14:val="tx1"/>
            </w14:solidFill>
          </w14:textFill>
        </w:rPr>
        <w:t>对《全市交通运输系统开展学习雷锋精神，争做最美交通人活动实施方案》《2021年深化全国文明城市创建工作方案》等政策性文件，通过文字解读、“一图读懂”、主要负责人问答式解读等多种形式进行了解读，解读形式进一步丰富，便于群众进一步知晓和理解相关政策。按要求公开各类规范性文件，对《济宁市危险货物道路运输安全管理办法》《济宁市“车货总质量未超过〈公路货运车辆超限超载认定标准〉但超过公路、隧道或桥梁标明限载标准的货车违法超限运输行为”的行政处罚自由裁量权标准》等2个规范性文件进行了包括起草说明、意见征集、征集反馈、备案报告、合法性审核等流程在内的全流程公开，确保公开到位。做好重点领域信息主动公开，聚焦行政执法等领域信息，第一时间通过多种途径全面公开。</w:t>
      </w:r>
    </w:p>
    <w:p>
      <w:pPr>
        <w:spacing w:line="590" w:lineRule="exact"/>
        <w:ind w:right="-100" w:rightChars="-50"/>
        <w:rPr>
          <w:rFonts w:hint="default" w:ascii="方正仿宋简体" w:eastAsia="方正仿宋简体"/>
          <w:b/>
          <w:color w:val="000000" w:themeColor="text1"/>
          <w:sz w:val="32"/>
          <w:szCs w:val="32"/>
          <w:lang w:val="en-US" w:eastAsia="zh-CN"/>
          <w14:textFill>
            <w14:solidFill>
              <w14:schemeClr w14:val="tx1"/>
            </w14:solidFill>
          </w14:textFill>
        </w:rPr>
      </w:pPr>
      <w:r>
        <w:drawing>
          <wp:anchor distT="0" distB="0" distL="114300" distR="114300" simplePos="0" relativeHeight="251661312" behindDoc="0" locked="0" layoutInCell="1" allowOverlap="1">
            <wp:simplePos x="0" y="0"/>
            <wp:positionH relativeFrom="column">
              <wp:posOffset>2857500</wp:posOffset>
            </wp:positionH>
            <wp:positionV relativeFrom="paragraph">
              <wp:posOffset>346075</wp:posOffset>
            </wp:positionV>
            <wp:extent cx="2649220" cy="2432050"/>
            <wp:effectExtent l="0" t="0" r="2540" b="6350"/>
            <wp:wrapTopAndBottom/>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4"/>
                    <a:stretch>
                      <a:fillRect/>
                    </a:stretch>
                  </pic:blipFill>
                  <pic:spPr>
                    <a:xfrm>
                      <a:off x="0" y="0"/>
                      <a:ext cx="2649220" cy="2432050"/>
                    </a:xfrm>
                    <a:prstGeom prst="rect">
                      <a:avLst/>
                    </a:prstGeom>
                    <a:noFill/>
                    <a:ln>
                      <a:noFill/>
                    </a:ln>
                  </pic:spPr>
                </pic:pic>
              </a:graphicData>
            </a:graphic>
          </wp:anchor>
        </w:drawing>
      </w:r>
      <w:r>
        <w:drawing>
          <wp:anchor distT="0" distB="0" distL="114300" distR="114300" simplePos="0" relativeHeight="251660288" behindDoc="0" locked="0" layoutInCell="1" allowOverlap="1">
            <wp:simplePos x="0" y="0"/>
            <wp:positionH relativeFrom="column">
              <wp:posOffset>-17780</wp:posOffset>
            </wp:positionH>
            <wp:positionV relativeFrom="paragraph">
              <wp:posOffset>338455</wp:posOffset>
            </wp:positionV>
            <wp:extent cx="2850515" cy="2455545"/>
            <wp:effectExtent l="0" t="0" r="14605" b="1333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2850515" cy="2455545"/>
                    </a:xfrm>
                    <a:prstGeom prst="rect">
                      <a:avLst/>
                    </a:prstGeom>
                    <a:noFill/>
                    <a:ln>
                      <a:noFill/>
                    </a:ln>
                  </pic:spPr>
                </pic:pic>
              </a:graphicData>
            </a:graphic>
          </wp:anchor>
        </w:drawing>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（二）</w:t>
      </w:r>
      <w:r>
        <w:rPr>
          <w:rFonts w:hint="eastAsia" w:ascii="方正楷体简体" w:eastAsia="方正楷体简体"/>
          <w:b/>
          <w:color w:val="000000" w:themeColor="text1"/>
          <w:sz w:val="32"/>
          <w:szCs w:val="32"/>
          <w:lang w:val="en-US" w:eastAsia="zh-CN"/>
          <w14:textFill>
            <w14:solidFill>
              <w14:schemeClr w14:val="tx1"/>
            </w14:solidFill>
          </w14:textFill>
        </w:rPr>
        <w:t>依法做好</w:t>
      </w:r>
      <w:r>
        <w:rPr>
          <w:rFonts w:hint="eastAsia" w:ascii="方正楷体简体" w:eastAsia="方正楷体简体"/>
          <w:b/>
          <w:color w:val="000000" w:themeColor="text1"/>
          <w:sz w:val="32"/>
          <w:szCs w:val="32"/>
          <w14:textFill>
            <w14:solidFill>
              <w14:schemeClr w14:val="tx1"/>
            </w14:solidFill>
          </w14:textFill>
        </w:rPr>
        <w:t>依申请公开</w:t>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组织相关人员积极参加市政府办组织的政府信息公开工作专题培训，切实提升工作人员办理政府信息公开申请的能力与水平。依照相关要求，建立完善依申请公开工作流程，明确牵头</w:t>
      </w:r>
      <w:r>
        <w:rPr>
          <w:rFonts w:hint="eastAsia" w:ascii="方正仿宋简体" w:eastAsia="方正仿宋简体"/>
          <w:b/>
          <w:color w:val="000000" w:themeColor="text1"/>
          <w:sz w:val="32"/>
          <w:szCs w:val="32"/>
          <w:lang w:val="en-US" w:eastAsia="zh-CN"/>
          <w14:textFill>
            <w14:solidFill>
              <w14:schemeClr w14:val="tx1"/>
            </w14:solidFill>
          </w14:textFill>
        </w:rPr>
        <w:t>科室</w:t>
      </w:r>
      <w:r>
        <w:rPr>
          <w:rFonts w:hint="eastAsia" w:ascii="方正仿宋简体" w:eastAsia="方正仿宋简体"/>
          <w:b/>
          <w:color w:val="000000" w:themeColor="text1"/>
          <w:sz w:val="32"/>
          <w:szCs w:val="32"/>
          <w14:textFill>
            <w14:solidFill>
              <w14:schemeClr w14:val="tx1"/>
            </w14:solidFill>
          </w14:textFill>
        </w:rPr>
        <w:t>和具体责任</w:t>
      </w:r>
      <w:r>
        <w:rPr>
          <w:rFonts w:hint="eastAsia" w:ascii="方正仿宋简体" w:eastAsia="方正仿宋简体"/>
          <w:b/>
          <w:color w:val="000000" w:themeColor="text1"/>
          <w:sz w:val="32"/>
          <w:szCs w:val="32"/>
          <w:lang w:val="en-US" w:eastAsia="zh-CN"/>
          <w14:textFill>
            <w14:solidFill>
              <w14:schemeClr w14:val="tx1"/>
            </w14:solidFill>
          </w14:textFill>
        </w:rPr>
        <w:t>科室</w:t>
      </w:r>
      <w:r>
        <w:rPr>
          <w:rFonts w:hint="eastAsia" w:ascii="方正仿宋简体" w:eastAsia="方正仿宋简体"/>
          <w:b/>
          <w:color w:val="000000" w:themeColor="text1"/>
          <w:sz w:val="32"/>
          <w:szCs w:val="32"/>
          <w14:textFill>
            <w14:solidFill>
              <w14:schemeClr w14:val="tx1"/>
            </w14:solidFill>
          </w14:textFill>
        </w:rPr>
        <w:t>工作任务。对于依申请公开中的疑难问题，及时组织相关</w:t>
      </w:r>
      <w:r>
        <w:rPr>
          <w:rFonts w:hint="eastAsia" w:ascii="方正仿宋简体" w:eastAsia="方正仿宋简体"/>
          <w:b/>
          <w:color w:val="000000" w:themeColor="text1"/>
          <w:sz w:val="32"/>
          <w:szCs w:val="32"/>
          <w:lang w:val="en-US" w:eastAsia="zh-CN"/>
          <w14:textFill>
            <w14:solidFill>
              <w14:schemeClr w14:val="tx1"/>
            </w14:solidFill>
          </w14:textFill>
        </w:rPr>
        <w:t>科室</w:t>
      </w:r>
      <w:r>
        <w:rPr>
          <w:rFonts w:hint="eastAsia" w:ascii="方正仿宋简体" w:eastAsia="方正仿宋简体"/>
          <w:b/>
          <w:color w:val="000000" w:themeColor="text1"/>
          <w:sz w:val="32"/>
          <w:szCs w:val="32"/>
          <w14:textFill>
            <w14:solidFill>
              <w14:schemeClr w14:val="tx1"/>
            </w14:solidFill>
          </w14:textFill>
        </w:rPr>
        <w:t>研讨会商，邀请司法局、法院等部门提前介入指导。202</w:t>
      </w:r>
      <w:r>
        <w:rPr>
          <w:rFonts w:hint="eastAsia" w:ascii="方正仿宋简体" w:eastAsia="方正仿宋简体"/>
          <w:b/>
          <w:color w:val="000000" w:themeColor="text1"/>
          <w:sz w:val="32"/>
          <w:szCs w:val="32"/>
          <w:lang w:val="en-US" w:eastAsia="zh-CN"/>
          <w14:textFill>
            <w14:solidFill>
              <w14:schemeClr w14:val="tx1"/>
            </w14:solidFill>
          </w14:textFill>
        </w:rPr>
        <w:t>1</w:t>
      </w:r>
      <w:r>
        <w:rPr>
          <w:rFonts w:hint="eastAsia" w:ascii="方正仿宋简体" w:eastAsia="方正仿宋简体"/>
          <w:b/>
          <w:color w:val="000000" w:themeColor="text1"/>
          <w:sz w:val="32"/>
          <w:szCs w:val="32"/>
          <w14:textFill>
            <w14:solidFill>
              <w14:schemeClr w14:val="tx1"/>
            </w14:solidFill>
          </w14:textFill>
        </w:rPr>
        <w:t>年，市</w:t>
      </w:r>
      <w:r>
        <w:rPr>
          <w:rFonts w:hint="eastAsia" w:ascii="方正仿宋简体" w:eastAsia="方正仿宋简体"/>
          <w:b/>
          <w:color w:val="000000" w:themeColor="text1"/>
          <w:sz w:val="32"/>
          <w:szCs w:val="32"/>
          <w:lang w:val="en-US" w:eastAsia="zh-CN"/>
          <w14:textFill>
            <w14:solidFill>
              <w14:schemeClr w14:val="tx1"/>
            </w14:solidFill>
          </w14:textFill>
        </w:rPr>
        <w:t>交通运输</w:t>
      </w:r>
      <w:r>
        <w:rPr>
          <w:rFonts w:hint="eastAsia" w:ascii="方正仿宋简体" w:eastAsia="方正仿宋简体"/>
          <w:b/>
          <w:color w:val="000000" w:themeColor="text1"/>
          <w:sz w:val="32"/>
          <w:szCs w:val="32"/>
          <w14:textFill>
            <w14:solidFill>
              <w14:schemeClr w14:val="tx1"/>
            </w14:solidFill>
          </w14:textFill>
        </w:rPr>
        <w:t>局</w:t>
      </w:r>
      <w:r>
        <w:rPr>
          <w:rFonts w:hint="eastAsia" w:ascii="方正仿宋简体" w:eastAsia="方正仿宋简体"/>
          <w:b/>
          <w:color w:val="000000" w:themeColor="text1"/>
          <w:sz w:val="32"/>
          <w:szCs w:val="32"/>
          <w:lang w:val="en-US" w:eastAsia="zh-CN"/>
          <w14:textFill>
            <w14:solidFill>
              <w14:schemeClr w14:val="tx1"/>
            </w14:solidFill>
          </w14:textFill>
        </w:rPr>
        <w:t>未</w:t>
      </w:r>
      <w:r>
        <w:rPr>
          <w:rFonts w:hint="eastAsia" w:ascii="方正仿宋简体" w:eastAsia="方正仿宋简体"/>
          <w:b/>
          <w:color w:val="000000" w:themeColor="text1"/>
          <w:sz w:val="32"/>
          <w:szCs w:val="32"/>
          <w14:textFill>
            <w14:solidFill>
              <w14:schemeClr w14:val="tx1"/>
            </w14:solidFill>
          </w14:textFill>
        </w:rPr>
        <w:t>收到依申请公开事项，</w:t>
      </w:r>
      <w:r>
        <w:rPr>
          <w:rFonts w:hint="eastAsia" w:ascii="方正仿宋简体" w:eastAsia="方正仿宋简体"/>
          <w:b/>
          <w:color w:val="000000" w:themeColor="text1"/>
          <w:sz w:val="32"/>
          <w:szCs w:val="32"/>
          <w:lang w:val="en-US" w:eastAsia="zh-CN"/>
          <w14:textFill>
            <w14:solidFill>
              <w14:schemeClr w14:val="tx1"/>
            </w14:solidFill>
          </w14:textFill>
        </w:rPr>
        <w:t>未</w:t>
      </w:r>
      <w:r>
        <w:rPr>
          <w:rFonts w:hint="eastAsia" w:ascii="方正仿宋简体" w:eastAsia="方正仿宋简体"/>
          <w:b/>
          <w:color w:val="000000" w:themeColor="text1"/>
          <w:sz w:val="32"/>
          <w:szCs w:val="32"/>
          <w14:textFill>
            <w14:solidFill>
              <w14:schemeClr w14:val="tx1"/>
            </w14:solidFill>
          </w14:textFill>
        </w:rPr>
        <w:t>发生行政复议、行政诉讼。</w:t>
      </w:r>
    </w:p>
    <w:p>
      <w:pPr>
        <w:numPr>
          <w:ilvl w:val="0"/>
          <w:numId w:val="1"/>
        </w:numPr>
        <w:spacing w:line="590" w:lineRule="exact"/>
        <w:ind w:right="-100" w:rightChars="-50" w:firstLine="643" w:firstLineChars="200"/>
        <w:rPr>
          <w:rFonts w:hint="eastAsia"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有效加强信息管理</w:t>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进一步完善办文程序，规范标注文件公开属性。严格规范信息采集、信息审核、信息发布程序，按照“谁公开、谁审核”“先审查、后公开”“谁发布、谁负责”的原则，严格按照国家保密制度的规定对各类政府信息进行审查，有效落实拟公开信息内容的管理责任，确保公开信息内容的真实性、完整性、准确性和安全性。</w:t>
      </w:r>
    </w:p>
    <w:p>
      <w:pPr>
        <w:numPr>
          <w:ilvl w:val="0"/>
          <w:numId w:val="1"/>
        </w:numPr>
        <w:spacing w:line="590" w:lineRule="exact"/>
        <w:ind w:left="0" w:leftChars="0" w:right="-100" w:rightChars="-50" w:firstLine="643" w:firstLineChars="200"/>
        <w:rPr>
          <w:rFonts w:hint="eastAsia"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优化公开平台建设</w:t>
      </w:r>
    </w:p>
    <w:p>
      <w:p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市</w:t>
      </w:r>
      <w:r>
        <w:rPr>
          <w:rFonts w:hint="eastAsia" w:ascii="方正仿宋简体" w:eastAsia="方正仿宋简体"/>
          <w:b/>
          <w:color w:val="000000" w:themeColor="text1"/>
          <w:sz w:val="32"/>
          <w:szCs w:val="32"/>
          <w:lang w:val="en-US" w:eastAsia="zh-CN"/>
          <w14:textFill>
            <w14:solidFill>
              <w14:schemeClr w14:val="tx1"/>
            </w14:solidFill>
          </w14:textFill>
        </w:rPr>
        <w:t>交通运输</w:t>
      </w:r>
      <w:r>
        <w:rPr>
          <w:rFonts w:hint="eastAsia" w:ascii="方正仿宋简体" w:eastAsia="方正仿宋简体"/>
          <w:b/>
          <w:color w:val="000000" w:themeColor="text1"/>
          <w:sz w:val="32"/>
          <w:szCs w:val="32"/>
          <w14:textFill>
            <w14:solidFill>
              <w14:schemeClr w14:val="tx1"/>
            </w14:solidFill>
          </w14:textFill>
        </w:rPr>
        <w:t>局政府信息公开以门户网站为主导载体，单独设置“政府信息公开”专栏，下设“政策文件”“通知公告”等十余个子栏目，最大限度方便群众查询。大力发展政务新媒体，通过</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lang w:val="en-US" w:eastAsia="zh-CN"/>
          <w14:textFill>
            <w14:solidFill>
              <w14:schemeClr w14:val="tx1"/>
            </w14:solidFill>
          </w14:textFill>
        </w:rPr>
        <w:t>济宁交通</w:t>
      </w:r>
      <w:r>
        <w:rPr>
          <w:rFonts w:hint="eastAsia" w:ascii="方正仿宋简体" w:eastAsia="方正仿宋简体"/>
          <w:b/>
          <w:color w:val="000000" w:themeColor="text1"/>
          <w:sz w:val="32"/>
          <w:szCs w:val="32"/>
          <w:lang w:eastAsia="zh-CN"/>
          <w14:textFill>
            <w14:solidFill>
              <w14:schemeClr w14:val="tx1"/>
            </w14:solidFill>
          </w14:textFill>
        </w:rPr>
        <w:t>”</w:t>
      </w:r>
      <w:r>
        <w:rPr>
          <w:rFonts w:hint="eastAsia" w:ascii="方正仿宋简体" w:eastAsia="方正仿宋简体"/>
          <w:b/>
          <w:color w:val="000000" w:themeColor="text1"/>
          <w:sz w:val="32"/>
          <w:szCs w:val="32"/>
          <w:lang w:val="en-US" w:eastAsia="zh-CN"/>
          <w14:textFill>
            <w14:solidFill>
              <w14:schemeClr w14:val="tx1"/>
            </w14:solidFill>
          </w14:textFill>
        </w:rPr>
        <w:t>政务</w:t>
      </w:r>
      <w:r>
        <w:rPr>
          <w:rFonts w:hint="eastAsia" w:ascii="方正仿宋简体" w:eastAsia="方正仿宋简体"/>
          <w:b/>
          <w:color w:val="000000" w:themeColor="text1"/>
          <w:sz w:val="32"/>
          <w:szCs w:val="32"/>
          <w14:textFill>
            <w14:solidFill>
              <w14:schemeClr w14:val="tx1"/>
            </w14:solidFill>
          </w14:textFill>
        </w:rPr>
        <w:t>持续发布</w:t>
      </w:r>
      <w:r>
        <w:rPr>
          <w:rFonts w:hint="eastAsia" w:ascii="方正仿宋简体" w:eastAsia="方正仿宋简体"/>
          <w:b/>
          <w:color w:val="000000" w:themeColor="text1"/>
          <w:sz w:val="32"/>
          <w:szCs w:val="32"/>
          <w:lang w:val="en-US" w:eastAsia="zh-CN"/>
          <w14:textFill>
            <w14:solidFill>
              <w14:schemeClr w14:val="tx1"/>
            </w14:solidFill>
          </w14:textFill>
        </w:rPr>
        <w:t>交通运输</w:t>
      </w:r>
      <w:r>
        <w:rPr>
          <w:rFonts w:hint="eastAsia" w:ascii="方正仿宋简体" w:eastAsia="方正仿宋简体"/>
          <w:b/>
          <w:color w:val="000000" w:themeColor="text1"/>
          <w:sz w:val="32"/>
          <w:szCs w:val="32"/>
          <w14:textFill>
            <w14:solidFill>
              <w14:schemeClr w14:val="tx1"/>
            </w14:solidFill>
          </w14:textFill>
        </w:rPr>
        <w:t>信息，回应公众关切。“</w:t>
      </w:r>
      <w:r>
        <w:rPr>
          <w:rFonts w:hint="eastAsia" w:ascii="方正仿宋简体" w:eastAsia="方正仿宋简体"/>
          <w:b/>
          <w:color w:val="000000" w:themeColor="text1"/>
          <w:sz w:val="32"/>
          <w:szCs w:val="32"/>
          <w:lang w:val="en-US" w:eastAsia="zh-CN"/>
          <w14:textFill>
            <w14:solidFill>
              <w14:schemeClr w14:val="tx1"/>
            </w14:solidFill>
          </w14:textFill>
        </w:rPr>
        <w:t>济宁交通</w:t>
      </w:r>
      <w:r>
        <w:rPr>
          <w:rFonts w:hint="eastAsia" w:ascii="方正仿宋简体" w:eastAsia="方正仿宋简体"/>
          <w:b/>
          <w:color w:val="000000" w:themeColor="text1"/>
          <w:sz w:val="32"/>
          <w:szCs w:val="32"/>
          <w14:textFill>
            <w14:solidFill>
              <w14:schemeClr w14:val="tx1"/>
            </w14:solidFill>
          </w14:textFill>
        </w:rPr>
        <w:t>”微信公众号粉丝超过</w:t>
      </w:r>
      <w:r>
        <w:rPr>
          <w:rFonts w:hint="eastAsia" w:ascii="方正仿宋简体" w:eastAsia="方正仿宋简体"/>
          <w:b/>
          <w:color w:val="000000" w:themeColor="text1"/>
          <w:sz w:val="32"/>
          <w:szCs w:val="32"/>
          <w:lang w:val="en-US" w:eastAsia="zh-CN"/>
          <w14:textFill>
            <w14:solidFill>
              <w14:schemeClr w14:val="tx1"/>
            </w14:solidFill>
          </w14:textFill>
        </w:rPr>
        <w:t>16600</w:t>
      </w:r>
      <w:r>
        <w:rPr>
          <w:rFonts w:hint="eastAsia" w:ascii="方正仿宋简体" w:eastAsia="方正仿宋简体"/>
          <w:b/>
          <w:color w:val="000000" w:themeColor="text1"/>
          <w:sz w:val="32"/>
          <w:szCs w:val="32"/>
          <w14:textFill>
            <w14:solidFill>
              <w14:schemeClr w14:val="tx1"/>
            </w14:solidFill>
          </w14:textFill>
        </w:rPr>
        <w:t>人，大幅提升</w:t>
      </w:r>
      <w:r>
        <w:rPr>
          <w:rFonts w:hint="eastAsia" w:ascii="方正仿宋简体" w:eastAsia="方正仿宋简体"/>
          <w:b/>
          <w:color w:val="000000" w:themeColor="text1"/>
          <w:sz w:val="32"/>
          <w:szCs w:val="32"/>
          <w:lang w:val="en-US" w:eastAsia="zh-CN"/>
          <w14:textFill>
            <w14:solidFill>
              <w14:schemeClr w14:val="tx1"/>
            </w14:solidFill>
          </w14:textFill>
        </w:rPr>
        <w:t>交通运输系统</w:t>
      </w:r>
      <w:r>
        <w:rPr>
          <w:rFonts w:hint="eastAsia" w:ascii="方正仿宋简体" w:eastAsia="方正仿宋简体"/>
          <w:b/>
          <w:color w:val="000000" w:themeColor="text1"/>
          <w:sz w:val="32"/>
          <w:szCs w:val="32"/>
          <w14:textFill>
            <w14:solidFill>
              <w14:schemeClr w14:val="tx1"/>
            </w14:solidFill>
          </w14:textFill>
        </w:rPr>
        <w:t>政策信息的公众知晓率。</w:t>
      </w:r>
    </w:p>
    <w:p>
      <w:pPr>
        <w:spacing w:line="590" w:lineRule="exact"/>
        <w:ind w:right="-100" w:rightChars="-50"/>
        <w:rPr>
          <w:rFonts w:hint="eastAsia" w:ascii="方正仿宋简体" w:eastAsia="方正仿宋简体"/>
          <w:b/>
          <w:color w:val="000000" w:themeColor="text1"/>
          <w:sz w:val="32"/>
          <w:szCs w:val="32"/>
          <w14:textFill>
            <w14:solidFill>
              <w14:schemeClr w14:val="tx1"/>
            </w14:solidFill>
          </w14:textFill>
        </w:rPr>
      </w:pPr>
      <w:r>
        <w:drawing>
          <wp:anchor distT="0" distB="0" distL="114300" distR="114300" simplePos="0" relativeHeight="251663360" behindDoc="0" locked="0" layoutInCell="1" allowOverlap="1">
            <wp:simplePos x="0" y="0"/>
            <wp:positionH relativeFrom="column">
              <wp:posOffset>1791970</wp:posOffset>
            </wp:positionH>
            <wp:positionV relativeFrom="paragraph">
              <wp:posOffset>448310</wp:posOffset>
            </wp:positionV>
            <wp:extent cx="2101215" cy="4102100"/>
            <wp:effectExtent l="0" t="0" r="1905" b="12700"/>
            <wp:wrapTopAndBottom/>
            <wp:docPr id="6" name="图片 6" descr="aa9c2ff5d2f0dbc90624509a7902c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a9c2ff5d2f0dbc90624509a7902cea"/>
                    <pic:cNvPicPr>
                      <a:picLocks noChangeAspect="1"/>
                    </pic:cNvPicPr>
                  </pic:nvPicPr>
                  <pic:blipFill>
                    <a:blip r:embed="rId6"/>
                    <a:srcRect t="9791"/>
                    <a:stretch>
                      <a:fillRect/>
                    </a:stretch>
                  </pic:blipFill>
                  <pic:spPr>
                    <a:xfrm>
                      <a:off x="0" y="0"/>
                      <a:ext cx="2101215" cy="4102100"/>
                    </a:xfrm>
                    <a:prstGeom prst="rect">
                      <a:avLst/>
                    </a:prstGeom>
                  </pic:spPr>
                </pic:pic>
              </a:graphicData>
            </a:graphic>
          </wp:anchor>
        </w:drawing>
      </w:r>
    </w:p>
    <w:p>
      <w:pPr>
        <w:spacing w:line="590" w:lineRule="exact"/>
        <w:ind w:right="-100" w:rightChars="-50"/>
        <w:rPr>
          <w:rFonts w:hint="eastAsia" w:ascii="方正仿宋简体" w:eastAsia="方正仿宋简体"/>
          <w:b/>
          <w:color w:val="000000" w:themeColor="text1"/>
          <w:sz w:val="32"/>
          <w:szCs w:val="32"/>
          <w14:textFill>
            <w14:solidFill>
              <w14:schemeClr w14:val="tx1"/>
            </w14:solidFill>
          </w14:textFill>
        </w:rPr>
      </w:pPr>
      <w:r>
        <w:drawing>
          <wp:anchor distT="0" distB="0" distL="114300" distR="114300" simplePos="0" relativeHeight="251662336" behindDoc="0" locked="0" layoutInCell="1" allowOverlap="1">
            <wp:simplePos x="0" y="0"/>
            <wp:positionH relativeFrom="column">
              <wp:posOffset>-34925</wp:posOffset>
            </wp:positionH>
            <wp:positionV relativeFrom="paragraph">
              <wp:posOffset>111125</wp:posOffset>
            </wp:positionV>
            <wp:extent cx="5269230" cy="2969260"/>
            <wp:effectExtent l="0" t="0" r="3810" b="2540"/>
            <wp:wrapTopAndBottom/>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7"/>
                    <a:stretch>
                      <a:fillRect/>
                    </a:stretch>
                  </pic:blipFill>
                  <pic:spPr>
                    <a:xfrm>
                      <a:off x="0" y="0"/>
                      <a:ext cx="5269230" cy="2969260"/>
                    </a:xfrm>
                    <a:prstGeom prst="rect">
                      <a:avLst/>
                    </a:prstGeom>
                    <a:noFill/>
                    <a:ln>
                      <a:noFill/>
                    </a:ln>
                  </pic:spPr>
                </pic:pic>
              </a:graphicData>
            </a:graphic>
          </wp:anchor>
        </w:drawing>
      </w:r>
    </w:p>
    <w:p>
      <w:pPr>
        <w:spacing w:line="590" w:lineRule="exact"/>
        <w:ind w:right="-100" w:rightChars="-50" w:firstLine="643" w:firstLineChars="200"/>
        <w:rPr>
          <w:rFonts w:ascii="方正楷体简体" w:eastAsia="方正楷体简体"/>
          <w:b/>
          <w:color w:val="000000" w:themeColor="text1"/>
          <w:sz w:val="32"/>
          <w:szCs w:val="32"/>
          <w14:textFill>
            <w14:solidFill>
              <w14:schemeClr w14:val="tx1"/>
            </w14:solidFill>
          </w14:textFill>
        </w:rPr>
      </w:pPr>
      <w:r>
        <w:rPr>
          <w:rFonts w:hint="eastAsia" w:ascii="方正楷体简体" w:eastAsia="方正楷体简体"/>
          <w:b/>
          <w:color w:val="000000" w:themeColor="text1"/>
          <w:sz w:val="32"/>
          <w:szCs w:val="32"/>
          <w14:textFill>
            <w14:solidFill>
              <w14:schemeClr w14:val="tx1"/>
            </w14:solidFill>
          </w14:textFill>
        </w:rPr>
        <w:t>（五）完善公开保障机制</w:t>
      </w:r>
    </w:p>
    <w:p>
      <w:pPr>
        <w:numPr>
          <w:ilvl w:val="0"/>
          <w:numId w:val="0"/>
        </w:numPr>
        <w:spacing w:line="590" w:lineRule="exact"/>
        <w:ind w:right="-100" w:rightChars="-50" w:firstLine="643" w:firstLineChars="200"/>
        <w:rPr>
          <w:rFonts w:hint="eastAsia"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强化组织领导，调整市</w:t>
      </w:r>
      <w:r>
        <w:rPr>
          <w:rFonts w:hint="eastAsia" w:ascii="方正仿宋简体" w:eastAsia="方正仿宋简体"/>
          <w:b/>
          <w:color w:val="000000" w:themeColor="text1"/>
          <w:sz w:val="32"/>
          <w:szCs w:val="32"/>
          <w:lang w:val="en-US" w:eastAsia="zh-CN"/>
          <w14:textFill>
            <w14:solidFill>
              <w14:schemeClr w14:val="tx1"/>
            </w14:solidFill>
          </w14:textFill>
        </w:rPr>
        <w:t>交通运输</w:t>
      </w:r>
      <w:r>
        <w:rPr>
          <w:rFonts w:hint="eastAsia" w:ascii="方正仿宋简体" w:eastAsia="方正仿宋简体"/>
          <w:b/>
          <w:color w:val="000000" w:themeColor="text1"/>
          <w:sz w:val="32"/>
          <w:szCs w:val="32"/>
          <w14:textFill>
            <w14:solidFill>
              <w14:schemeClr w14:val="tx1"/>
            </w14:solidFill>
          </w14:textFill>
        </w:rPr>
        <w:t>局政务公开领导小组，明确分管领导及牵头</w:t>
      </w:r>
      <w:r>
        <w:rPr>
          <w:rFonts w:hint="eastAsia" w:ascii="方正仿宋简体" w:eastAsia="方正仿宋简体"/>
          <w:b/>
          <w:color w:val="000000" w:themeColor="text1"/>
          <w:sz w:val="32"/>
          <w:szCs w:val="32"/>
          <w:lang w:val="en-US" w:eastAsia="zh-CN"/>
          <w14:textFill>
            <w14:solidFill>
              <w14:schemeClr w14:val="tx1"/>
            </w14:solidFill>
          </w14:textFill>
        </w:rPr>
        <w:t>科</w:t>
      </w:r>
      <w:r>
        <w:rPr>
          <w:rFonts w:hint="eastAsia" w:ascii="方正仿宋简体" w:eastAsia="方正仿宋简体"/>
          <w:b/>
          <w:color w:val="000000" w:themeColor="text1"/>
          <w:sz w:val="32"/>
          <w:szCs w:val="32"/>
          <w14:textFill>
            <w14:solidFill>
              <w14:schemeClr w14:val="tx1"/>
            </w14:solidFill>
          </w14:textFill>
        </w:rPr>
        <w:t>室，统筹负责机关政府信息公开工作。及时修订内部相关制度文件，明确机关各</w:t>
      </w:r>
      <w:r>
        <w:rPr>
          <w:rFonts w:hint="eastAsia" w:ascii="方正仿宋简体" w:eastAsia="方正仿宋简体"/>
          <w:b/>
          <w:color w:val="000000" w:themeColor="text1"/>
          <w:sz w:val="32"/>
          <w:szCs w:val="32"/>
          <w:lang w:val="en-US" w:eastAsia="zh-CN"/>
          <w14:textFill>
            <w14:solidFill>
              <w14:schemeClr w14:val="tx1"/>
            </w14:solidFill>
          </w14:textFill>
        </w:rPr>
        <w:t>科室</w:t>
      </w:r>
      <w:r>
        <w:rPr>
          <w:rFonts w:hint="eastAsia" w:ascii="方正仿宋简体" w:eastAsia="方正仿宋简体"/>
          <w:b/>
          <w:color w:val="000000" w:themeColor="text1"/>
          <w:sz w:val="32"/>
          <w:szCs w:val="32"/>
          <w14:textFill>
            <w14:solidFill>
              <w14:schemeClr w14:val="tx1"/>
            </w14:solidFill>
          </w14:textFill>
        </w:rPr>
        <w:t>公开职责，优化主动公开、依申请公开工作流程，加强对</w:t>
      </w:r>
      <w:r>
        <w:rPr>
          <w:rFonts w:hint="eastAsia" w:ascii="方正仿宋简体" w:eastAsia="方正仿宋简体"/>
          <w:b/>
          <w:color w:val="000000" w:themeColor="text1"/>
          <w:sz w:val="32"/>
          <w:szCs w:val="32"/>
          <w:lang w:val="en-US" w:eastAsia="zh-CN"/>
          <w14:textFill>
            <w14:solidFill>
              <w14:schemeClr w14:val="tx1"/>
            </w14:solidFill>
          </w14:textFill>
        </w:rPr>
        <w:t>交通运输局属单位</w:t>
      </w:r>
      <w:r>
        <w:rPr>
          <w:rFonts w:hint="eastAsia" w:ascii="方正仿宋简体" w:eastAsia="方正仿宋简体"/>
          <w:b/>
          <w:color w:val="000000" w:themeColor="text1"/>
          <w:sz w:val="32"/>
          <w:szCs w:val="32"/>
          <w14:textFill>
            <w14:solidFill>
              <w14:schemeClr w14:val="tx1"/>
            </w14:solidFill>
          </w14:textFill>
        </w:rPr>
        <w:t>政务公开工作的指导。</w:t>
      </w:r>
    </w:p>
    <w:p>
      <w:pPr>
        <w:numPr>
          <w:ilvl w:val="0"/>
          <w:numId w:val="2"/>
        </w:numPr>
        <w:spacing w:line="590" w:lineRule="exact"/>
        <w:ind w:right="-100" w:rightChars="-50" w:firstLine="400" w:firstLineChars="200"/>
        <w:rPr>
          <w:rFonts w:hint="eastAsia" w:ascii="方正黑体简体" w:eastAsia="方正黑体简体"/>
          <w:b/>
          <w:color w:val="000000" w:themeColor="text1"/>
          <w:sz w:val="32"/>
          <w:szCs w:val="32"/>
          <w14:textFill>
            <w14:solidFill>
              <w14:schemeClr w14:val="tx1"/>
            </w14:solidFill>
          </w14:textFill>
        </w:rPr>
      </w:pPr>
      <w:r>
        <w:drawing>
          <wp:anchor distT="0" distB="0" distL="114300" distR="114300" simplePos="0" relativeHeight="251658240" behindDoc="0" locked="0" layoutInCell="1" allowOverlap="1">
            <wp:simplePos x="0" y="0"/>
            <wp:positionH relativeFrom="column">
              <wp:posOffset>155575</wp:posOffset>
            </wp:positionH>
            <wp:positionV relativeFrom="paragraph">
              <wp:posOffset>586105</wp:posOffset>
            </wp:positionV>
            <wp:extent cx="4572000" cy="2745105"/>
            <wp:effectExtent l="0" t="0" r="0" b="1333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方正黑体简体" w:eastAsia="方正黑体简体"/>
          <w:b/>
          <w:color w:val="000000" w:themeColor="text1"/>
          <w:sz w:val="32"/>
          <w:szCs w:val="32"/>
          <w14:textFill>
            <w14:solidFill>
              <w14:schemeClr w14:val="tx1"/>
            </w14:solidFill>
          </w14:textFill>
        </w:rPr>
        <w:t>主动公开政府信息情况</w:t>
      </w:r>
    </w:p>
    <w:p>
      <w:pPr>
        <w:numPr>
          <w:ilvl w:val="0"/>
          <w:numId w:val="0"/>
        </w:numPr>
        <w:spacing w:line="590" w:lineRule="exact"/>
        <w:ind w:right="-100" w:rightChars="-50"/>
        <w:rPr>
          <w:rFonts w:hint="eastAsia" w:ascii="方正黑体简体" w:eastAsia="方正黑体简体"/>
          <w:b/>
          <w:color w:val="000000" w:themeColor="text1"/>
          <w:sz w:val="32"/>
          <w:szCs w:val="32"/>
          <w14:textFill>
            <w14:solidFill>
              <w14:schemeClr w14:val="tx1"/>
            </w14:solidFill>
          </w14:textFill>
        </w:rPr>
      </w:pPr>
      <w:r>
        <w:drawing>
          <wp:anchor distT="0" distB="0" distL="114300" distR="114300" simplePos="0" relativeHeight="251659264" behindDoc="0" locked="0" layoutInCell="1" allowOverlap="1">
            <wp:simplePos x="0" y="0"/>
            <wp:positionH relativeFrom="column">
              <wp:posOffset>117475</wp:posOffset>
            </wp:positionH>
            <wp:positionV relativeFrom="paragraph">
              <wp:posOffset>229870</wp:posOffset>
            </wp:positionV>
            <wp:extent cx="4572000" cy="2745105"/>
            <wp:effectExtent l="4445" t="4445" r="10795" b="8890"/>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widowControl w:val="0"/>
        <w:numPr>
          <w:ilvl w:val="0"/>
          <w:numId w:val="0"/>
        </w:numPr>
        <w:spacing w:line="590" w:lineRule="exact"/>
        <w:ind w:right="-100" w:rightChars="-50"/>
        <w:jc w:val="both"/>
        <w:rPr>
          <w:rFonts w:hint="default" w:ascii="方正黑体简体" w:eastAsia="方正黑体简体"/>
          <w:b/>
          <w:color w:val="000000" w:themeColor="text1"/>
          <w:sz w:val="32"/>
          <w:szCs w:val="32"/>
          <w:lang w:val="en-US" w:eastAsia="zh-CN"/>
          <w14:textFill>
            <w14:solidFill>
              <w14:schemeClr w14:val="tx1"/>
            </w14:solidFill>
          </w14:textFill>
        </w:rPr>
      </w:pPr>
    </w:p>
    <w:tbl>
      <w:tblPr>
        <w:tblStyle w:val="2"/>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sz w:val="24"/>
                <w:szCs w:val="24"/>
              </w:rPr>
            </w:pPr>
            <w:r>
              <w:rPr>
                <w:rFonts w:hint="eastAsia" w:ascii="方正黑体简体" w:hAnsi="宋体" w:eastAsia="方正黑体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2</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val="en-US" w:eastAsia="zh-CN" w:bidi="ar"/>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03"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方正仿宋简体" w:eastAsia="方正仿宋简体"/>
                <w:b/>
                <w:sz w:val="24"/>
                <w:szCs w:val="24"/>
                <w:lang w:val="en-US" w:eastAsia="zh-CN"/>
              </w:rPr>
            </w:pPr>
            <w:r>
              <w:rPr>
                <w:rFonts w:hint="eastAsia" w:ascii="方正仿宋简体" w:eastAsia="方正仿宋简体"/>
                <w:b/>
                <w:sz w:val="24"/>
                <w:szCs w:val="24"/>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sz w:val="24"/>
                <w:szCs w:val="24"/>
                <w:lang w:val="en-US" w:eastAsia="zh-CN"/>
              </w:rPr>
            </w:pPr>
            <w:r>
              <w:rPr>
                <w:rFonts w:hint="eastAsia" w:ascii="方正仿宋简体" w:eastAsia="方正仿宋简体"/>
                <w:b/>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ascii="方正仿宋简体" w:eastAsia="方正仿宋简体"/>
                <w:b/>
                <w:sz w:val="24"/>
                <w:szCs w:val="24"/>
              </w:rPr>
            </w:pPr>
            <w:r>
              <w:rPr>
                <w:rFonts w:hint="eastAsia" w:ascii="方正仿宋简体" w:eastAsia="方正仿宋简体"/>
                <w:b/>
                <w:sz w:val="24"/>
                <w:szCs w:val="24"/>
              </w:rPr>
              <w:t>96.16</w:t>
            </w:r>
          </w:p>
        </w:tc>
      </w:tr>
    </w:tbl>
    <w:p>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2"/>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2"/>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default"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黑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hAnsi="宋体" w:eastAsia="方正黑体简体" w:cs="黑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jc w:val="center"/>
              <w:rPr>
                <w:rFonts w:hint="eastAsia" w:ascii="方正黑体简体" w:eastAsia="方正黑体简体"/>
                <w:b/>
                <w:sz w:val="21"/>
                <w:szCs w:val="21"/>
                <w:lang w:val="en-US" w:eastAsia="zh-CN"/>
              </w:rPr>
            </w:pPr>
            <w:r>
              <w:rPr>
                <w:rFonts w:hint="eastAsia" w:ascii="方正黑体简体" w:eastAsia="方正黑体简体"/>
                <w:b/>
                <w:sz w:val="21"/>
                <w:szCs w:val="21"/>
                <w:lang w:val="en-US" w:eastAsia="zh-CN"/>
              </w:rPr>
              <w:t>0</w:t>
            </w:r>
          </w:p>
        </w:tc>
      </w:tr>
    </w:tbl>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w:t>
      </w:r>
      <w:r>
        <w:rPr>
          <w:rFonts w:hint="eastAsia" w:ascii="方正仿宋简体" w:eastAsia="方正仿宋简体"/>
          <w:b/>
          <w:sz w:val="32"/>
          <w:szCs w:val="32"/>
          <w:lang w:val="en-US" w:eastAsia="zh-CN"/>
        </w:rPr>
        <w:t>1</w:t>
      </w:r>
      <w:r>
        <w:rPr>
          <w:rFonts w:hint="eastAsia" w:ascii="方正仿宋简体" w:eastAsia="方正仿宋简体"/>
          <w:b/>
          <w:sz w:val="32"/>
          <w:szCs w:val="32"/>
        </w:rPr>
        <w:t>年，市交通运输局积极推进政务公开各项工作任务，取得了一定的工作</w:t>
      </w:r>
      <w:r>
        <w:rPr>
          <w:rFonts w:hint="eastAsia" w:ascii="方正仿宋简体" w:eastAsia="方正仿宋简体"/>
          <w:b/>
          <w:sz w:val="32"/>
          <w:szCs w:val="32"/>
          <w:lang w:val="en-US" w:eastAsia="zh-CN"/>
        </w:rPr>
        <w:t>成绩，</w:t>
      </w:r>
      <w:r>
        <w:rPr>
          <w:rFonts w:hint="eastAsia" w:ascii="方正仿宋简体" w:eastAsia="方正仿宋简体"/>
          <w:b/>
          <w:sz w:val="32"/>
          <w:szCs w:val="32"/>
        </w:rPr>
        <w:t>但与政府信息公开工作的发展要求及公众的需求还存在差距，</w:t>
      </w:r>
      <w:r>
        <w:rPr>
          <w:rFonts w:hint="eastAsia" w:ascii="方正仿宋简体" w:eastAsia="方正仿宋简体"/>
          <w:b/>
          <w:sz w:val="32"/>
          <w:szCs w:val="32"/>
          <w:lang w:val="en-US" w:eastAsia="zh-CN"/>
        </w:rPr>
        <w:t>主要表现在</w:t>
      </w:r>
      <w:r>
        <w:rPr>
          <w:rFonts w:hint="eastAsia" w:ascii="方正仿宋简体" w:eastAsia="方正仿宋简体"/>
          <w:b/>
          <w:sz w:val="32"/>
          <w:szCs w:val="32"/>
        </w:rPr>
        <w:t>：一是信息收集整理能力有待进一步提高，信息内容有待进一步完善</w:t>
      </w:r>
      <w:r>
        <w:rPr>
          <w:rFonts w:hint="eastAsia" w:ascii="方正仿宋简体" w:eastAsia="方正仿宋简体"/>
          <w:b/>
          <w:sz w:val="32"/>
          <w:szCs w:val="32"/>
          <w:lang w:eastAsia="zh-CN"/>
        </w:rPr>
        <w:t>；</w:t>
      </w:r>
      <w:r>
        <w:rPr>
          <w:rFonts w:hint="eastAsia" w:ascii="方正仿宋简体" w:eastAsia="方正仿宋简体"/>
          <w:b/>
          <w:sz w:val="32"/>
          <w:szCs w:val="32"/>
          <w:lang w:val="en-US" w:eastAsia="zh-CN"/>
        </w:rPr>
        <w:t>二是</w:t>
      </w:r>
      <w:r>
        <w:rPr>
          <w:rFonts w:hint="eastAsia" w:ascii="方正仿宋简体" w:eastAsia="方正仿宋简体"/>
          <w:b/>
          <w:sz w:val="32"/>
          <w:szCs w:val="32"/>
        </w:rPr>
        <w:t>主动公开</w:t>
      </w:r>
      <w:r>
        <w:rPr>
          <w:rFonts w:hint="eastAsia" w:ascii="方正仿宋简体" w:eastAsia="方正仿宋简体"/>
          <w:b/>
          <w:sz w:val="32"/>
          <w:szCs w:val="32"/>
          <w:lang w:val="en-US" w:eastAsia="zh-CN"/>
        </w:rPr>
        <w:t>信息</w:t>
      </w:r>
      <w:r>
        <w:rPr>
          <w:rFonts w:hint="eastAsia" w:ascii="方正仿宋简体" w:eastAsia="方正仿宋简体"/>
          <w:b/>
          <w:sz w:val="32"/>
          <w:szCs w:val="32"/>
        </w:rPr>
        <w:t>的更新有待进一步加强，信息公开的渠道有待进一步扩大；三是政策解读</w:t>
      </w:r>
      <w:r>
        <w:rPr>
          <w:rFonts w:hint="eastAsia" w:ascii="方正仿宋简体" w:eastAsia="方正仿宋简体"/>
          <w:b/>
          <w:sz w:val="32"/>
          <w:szCs w:val="32"/>
          <w:lang w:val="en-US" w:eastAsia="zh-CN"/>
        </w:rPr>
        <w:t>还在一定</w:t>
      </w:r>
      <w:r>
        <w:rPr>
          <w:rFonts w:hint="eastAsia" w:ascii="方正仿宋简体" w:eastAsia="方正仿宋简体"/>
          <w:b/>
          <w:sz w:val="32"/>
          <w:szCs w:val="32"/>
        </w:rPr>
        <w:t>程度</w:t>
      </w:r>
      <w:r>
        <w:rPr>
          <w:rFonts w:hint="eastAsia" w:ascii="方正仿宋简体" w:eastAsia="方正仿宋简体"/>
          <w:b/>
          <w:sz w:val="32"/>
          <w:szCs w:val="32"/>
          <w:lang w:val="en-US" w:eastAsia="zh-CN"/>
        </w:rPr>
        <w:t>上</w:t>
      </w:r>
      <w:r>
        <w:rPr>
          <w:rFonts w:hint="eastAsia" w:ascii="方正仿宋简体" w:eastAsia="方正仿宋简体"/>
          <w:b/>
          <w:sz w:val="32"/>
          <w:szCs w:val="32"/>
        </w:rPr>
        <w:t>存在着内容简单、形式不够丰富</w:t>
      </w:r>
      <w:r>
        <w:rPr>
          <w:rFonts w:hint="eastAsia" w:ascii="方正仿宋简体" w:eastAsia="方正仿宋简体"/>
          <w:b/>
          <w:sz w:val="32"/>
          <w:szCs w:val="32"/>
          <w:lang w:val="en-US" w:eastAsia="zh-CN"/>
        </w:rPr>
        <w:t>等问题</w:t>
      </w:r>
      <w:r>
        <w:rPr>
          <w:rFonts w:hint="eastAsia" w:ascii="方正仿宋简体" w:eastAsia="方正仿宋简体"/>
          <w:b/>
          <w:sz w:val="32"/>
          <w:szCs w:val="32"/>
        </w:rPr>
        <w:t>。为此，20</w:t>
      </w:r>
      <w:r>
        <w:rPr>
          <w:rFonts w:hint="eastAsia" w:ascii="方正仿宋简体" w:eastAsia="方正仿宋简体"/>
          <w:b/>
          <w:sz w:val="32"/>
          <w:szCs w:val="32"/>
          <w:lang w:val="en-US" w:eastAsia="zh-CN"/>
        </w:rPr>
        <w:t>22</w:t>
      </w:r>
      <w:r>
        <w:rPr>
          <w:rFonts w:hint="eastAsia" w:ascii="方正仿宋简体" w:eastAsia="方正仿宋简体"/>
          <w:b/>
          <w:sz w:val="32"/>
          <w:szCs w:val="32"/>
        </w:rPr>
        <w:t>年</w:t>
      </w:r>
      <w:r>
        <w:rPr>
          <w:rFonts w:hint="eastAsia" w:ascii="方正仿宋简体" w:eastAsia="方正仿宋简体"/>
          <w:b/>
          <w:sz w:val="32"/>
          <w:szCs w:val="32"/>
          <w:lang w:val="en-US" w:eastAsia="zh-CN"/>
        </w:rPr>
        <w:t>市交通运输局</w:t>
      </w:r>
      <w:r>
        <w:rPr>
          <w:rFonts w:hint="eastAsia" w:ascii="方正仿宋简体" w:eastAsia="方正仿宋简体"/>
          <w:b/>
          <w:sz w:val="32"/>
          <w:szCs w:val="32"/>
        </w:rPr>
        <w:t>将继续按照市委、市政府关于政府信息公开各项工作要求，不断加强开展政务信息公开工作的力度和深度，拓展政府信息公开渠道，保证政府信息发布的及时、准确、全面、系统和常态化；同时，进一步加强门户网站建设和管理，建立高效的信息采集、审核、发布、更新制度，为政府信息及时高效发布提供强有力的技术支撑。</w:t>
      </w:r>
    </w:p>
    <w:p>
      <w:pPr>
        <w:spacing w:line="590" w:lineRule="exact"/>
        <w:ind w:right="-100" w:rightChars="-50" w:firstLine="643"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ind w:firstLine="643" w:firstLineChars="200"/>
        <w:rPr>
          <w:rFonts w:hint="eastAsia" w:eastAsia="宋体"/>
          <w:lang w:eastAsia="zh-CN"/>
        </w:rPr>
      </w:pPr>
      <w:r>
        <w:rPr>
          <w:rFonts w:hint="eastAsia" w:ascii="方正仿宋简体" w:eastAsia="方正仿宋简体"/>
          <w:b/>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C226C6"/>
    <w:multiLevelType w:val="singleLevel"/>
    <w:tmpl w:val="47C226C6"/>
    <w:lvl w:ilvl="0" w:tentative="0">
      <w:start w:val="2"/>
      <w:numFmt w:val="chineseCounting"/>
      <w:suff w:val="nothing"/>
      <w:lvlText w:val="%1、"/>
      <w:lvlJc w:val="left"/>
      <w:rPr>
        <w:rFonts w:hint="eastAsia"/>
      </w:rPr>
    </w:lvl>
  </w:abstractNum>
  <w:abstractNum w:abstractNumId="1">
    <w:nsid w:val="72CE00B1"/>
    <w:multiLevelType w:val="singleLevel"/>
    <w:tmpl w:val="72CE00B1"/>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C90DFB"/>
    <w:rsid w:val="05261316"/>
    <w:rsid w:val="0A66524E"/>
    <w:rsid w:val="327275A5"/>
    <w:rsid w:val="3AE07A6A"/>
    <w:rsid w:val="3DA847C4"/>
    <w:rsid w:val="3F9149CA"/>
    <w:rsid w:val="52D9615F"/>
    <w:rsid w:val="589F7D5B"/>
    <w:rsid w:val="5CB10C2D"/>
    <w:rsid w:val="602B0CBD"/>
    <w:rsid w:val="60C90DFB"/>
    <w:rsid w:val="63D73A75"/>
    <w:rsid w:val="63F778F9"/>
    <w:rsid w:val="6D4E4068"/>
    <w:rsid w:val="6DC20D0C"/>
    <w:rsid w:val="6E064BEE"/>
    <w:rsid w:val="78595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0" vertOverflow="ellipsis" vert="horz" wrap="square" anchor="ctr" anchorCtr="1"/>
          <a:lstStyle/>
          <a:p>
            <a:pPr defTabSz="914400">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t>济宁市交通运输局</a:t>
            </a:r>
          </a:p>
          <a:p>
            <a:pPr defTabSz="914400">
              <a:defRPr lang="zh-CN"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t>2021年度主动公开信息统计</a:t>
            </a:r>
          </a:p>
        </c:rich>
      </c:tx>
      <c:layout/>
      <c:overlay val="0"/>
      <c:spPr>
        <a:noFill/>
        <a:ln>
          <a:noFill/>
        </a:ln>
        <a:effectLst/>
      </c:spPr>
    </c:title>
    <c:autoTitleDeleted val="0"/>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lt1">
                        <a:lumMod val="8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[工作簿1]Sheet1!$A$1:$C$1</c:f>
              <c:strCache>
                <c:ptCount val="3"/>
                <c:pt idx="0">
                  <c:v>政府信息公开</c:v>
                </c:pt>
                <c:pt idx="1">
                  <c:v>局门户网站</c:v>
                </c:pt>
                <c:pt idx="2">
                  <c:v>“济宁交通”政务微信</c:v>
                </c:pt>
              </c:strCache>
            </c:strRef>
          </c:cat>
          <c:val>
            <c:numRef>
              <c:f>[工作簿1]Sheet1!$A$2:$C$2</c:f>
              <c:numCache>
                <c:formatCode>General</c:formatCode>
                <c:ptCount val="3"/>
                <c:pt idx="0">
                  <c:v>168</c:v>
                </c:pt>
                <c:pt idx="1">
                  <c:v>108</c:v>
                </c:pt>
                <c:pt idx="2">
                  <c:v>195</c:v>
                </c:pt>
              </c:numCache>
            </c:numRef>
          </c:val>
        </c:ser>
        <c:dLbls>
          <c:showLegendKey val="0"/>
          <c:showVal val="1"/>
          <c:showCatName val="0"/>
          <c:showSerName val="0"/>
          <c:showPercent val="0"/>
          <c:showBubbleSize val="0"/>
        </c:dLbls>
        <c:gapWidth val="100"/>
        <c:overlap val="-24"/>
        <c:axId val="965147238"/>
        <c:axId val="747514009"/>
      </c:barChart>
      <c:catAx>
        <c:axId val="965147238"/>
        <c:scaling>
          <c:orientation val="minMax"/>
        </c:scaling>
        <c:delete val="0"/>
        <c:axPos val="b"/>
        <c:majorTickMark val="out"/>
        <c:minorTickMark val="none"/>
        <c:tickLblPos val="nextTo"/>
        <c:spPr>
          <a:noFill/>
          <a:ln w="12700" cap="flat" cmpd="sng" algn="ctr">
            <a:solidFill>
              <a:schemeClr val="lt1">
                <a:lumMod val="95000"/>
                <a:alpha val="54000"/>
              </a:schemeClr>
            </a:solidFill>
            <a:round/>
          </a:ln>
          <a:effectLst/>
        </c:spPr>
        <c:txPr>
          <a:bodyPr rot="-60000000" spcFirstLastPara="0" vertOverflow="ellipsis" vert="horz" wrap="square" anchor="ctr" anchorCtr="1"/>
          <a:lstStyle/>
          <a:p>
            <a:pPr>
              <a:defRPr lang="zh-CN" sz="900" b="0" i="0" u="none" strike="noStrike" kern="1200" baseline="0">
                <a:solidFill>
                  <a:schemeClr val="lt1">
                    <a:lumMod val="85000"/>
                  </a:schemeClr>
                </a:solidFill>
                <a:latin typeface="+mn-lt"/>
                <a:ea typeface="+mn-ea"/>
                <a:cs typeface="+mn-cs"/>
              </a:defRPr>
            </a:pPr>
          </a:p>
        </c:txPr>
        <c:crossAx val="747514009"/>
        <c:crosses val="autoZero"/>
        <c:auto val="1"/>
        <c:lblAlgn val="ctr"/>
        <c:lblOffset val="100"/>
        <c:noMultiLvlLbl val="0"/>
      </c:catAx>
      <c:valAx>
        <c:axId val="747514009"/>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lt1">
                    <a:lumMod val="85000"/>
                  </a:schemeClr>
                </a:solidFill>
                <a:latin typeface="+mn-lt"/>
                <a:ea typeface="+mn-ea"/>
                <a:cs typeface="+mn-cs"/>
              </a:defRPr>
            </a:pPr>
          </a:p>
        </c:txPr>
        <c:crossAx val="965147238"/>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latin typeface="方正小标宋简体" panose="02000000000000000000" charset="-122"/>
                <a:ea typeface="方正小标宋简体" panose="02000000000000000000" charset="-122"/>
                <a:cs typeface="方正小标宋简体" panose="02000000000000000000" charset="-122"/>
              </a:rPr>
              <a:t>济宁市交通运输局2021年度主动公开信息统计</a:t>
            </a:r>
            <a:endParaRPr b="1">
              <a:latin typeface="方正小标宋简体" panose="02000000000000000000" charset="-122"/>
              <a:ea typeface="方正小标宋简体" panose="02000000000000000000" charset="-122"/>
              <a:cs typeface="方正小标宋简体" panose="02000000000000000000" charset="-122"/>
            </a:endParaRPr>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0869444444444444"/>
          <c:y val="0.125925925925926"/>
          <c:w val="0.876944444444444"/>
          <c:h val="0.752314814814815"/>
        </c:manualLayout>
      </c:layout>
      <c:pie3DChart>
        <c:varyColors val="1"/>
        <c:ser>
          <c:idx val="0"/>
          <c:order val="0"/>
          <c:spPr>
            <a:scene3d>
              <a:camera prst="orthographicFront"/>
              <a:lightRig rig="threePt" dir="t"/>
            </a:scene3d>
            <a:sp3d contourW="25400"/>
          </c:spPr>
          <c:explosion val="0"/>
          <c:dPt>
            <c:idx val="0"/>
            <c:bubble3D val="0"/>
            <c:spPr>
              <a:solidFill>
                <a:schemeClr val="accent6">
                  <a:shade val="65000"/>
                </a:schemeClr>
              </a:solidFill>
              <a:ln w="25400">
                <a:solidFill>
                  <a:schemeClr val="lt1"/>
                </a:solidFill>
              </a:ln>
              <a:effectLst/>
              <a:scene3d>
                <a:camera prst="orthographicFront"/>
                <a:lightRig rig="threePt" dir="t"/>
              </a:scene3d>
              <a:sp3d contourW="25400"/>
            </c:spPr>
          </c:dPt>
          <c:dPt>
            <c:idx val="1"/>
            <c:bubble3D val="0"/>
            <c:spPr>
              <a:solidFill>
                <a:schemeClr val="accent6"/>
              </a:solidFill>
              <a:ln w="25400">
                <a:solidFill>
                  <a:schemeClr val="lt1"/>
                </a:solidFill>
              </a:ln>
              <a:effectLst/>
              <a:scene3d>
                <a:camera prst="orthographicFront"/>
                <a:lightRig rig="threePt" dir="t"/>
              </a:scene3d>
              <a:sp3d contourW="25400"/>
            </c:spPr>
          </c:dPt>
          <c:dPt>
            <c:idx val="2"/>
            <c:bubble3D val="0"/>
            <c:spPr>
              <a:solidFill>
                <a:schemeClr val="accent6">
                  <a:tint val="65000"/>
                </a:schemeClr>
              </a:solidFill>
              <a:ln w="25400">
                <a:solidFill>
                  <a:schemeClr val="lt1"/>
                </a:solidFill>
              </a:ln>
              <a:effectLst/>
              <a:scene3d>
                <a:camera prst="orthographicFront"/>
                <a:lightRig rig="threePt" dir="t"/>
              </a:scene3d>
              <a:sp3d contourW="25400"/>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[工作簿1]Sheet1!$A$1:$C$1</c:f>
              <c:strCache>
                <c:ptCount val="3"/>
                <c:pt idx="0">
                  <c:v>政府信息公开</c:v>
                </c:pt>
                <c:pt idx="1">
                  <c:v>局门户网站</c:v>
                </c:pt>
                <c:pt idx="2">
                  <c:v>“济宁交通”政务微信</c:v>
                </c:pt>
              </c:strCache>
            </c:strRef>
          </c:cat>
          <c:val>
            <c:numRef>
              <c:f>[工作簿1]Sheet1!$A$2:$C$2</c:f>
              <c:numCache>
                <c:formatCode>General</c:formatCode>
                <c:ptCount val="3"/>
                <c:pt idx="0">
                  <c:v>168</c:v>
                </c:pt>
                <c:pt idx="1">
                  <c:v>108</c:v>
                </c:pt>
                <c:pt idx="2">
                  <c:v>195</c:v>
                </c:pt>
              </c:numCache>
            </c:numRef>
          </c:val>
        </c:ser>
        <c:dLbls>
          <c:showLegendKey val="0"/>
          <c:showVal val="1"/>
          <c:showCatName val="0"/>
          <c:showSerName val="0"/>
          <c:showPercent val="0"/>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2988</Words>
  <Characters>3095</Characters>
  <Lines>0</Lines>
  <Paragraphs>0</Paragraphs>
  <TotalTime>103</TotalTime>
  <ScaleCrop>false</ScaleCrop>
  <LinksUpToDate>false</LinksUpToDate>
  <CharactersWithSpaces>3231</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2021-12-31T06:01:00Z</dcterms:created>
  <dc:creator>123321</dc:creator>
  <cp:lastModifiedBy>123321</cp:lastModifiedBy>
  <cp:lastPrinted>2022-01-11T07:21:00Z</cp:lastPrinted>
  <dcterms:modified xsi:type="dcterms:W3CDTF">2022-02-16T02:26:28Z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