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方正小标宋简体" w:eastAsia="方正小标宋简体" w:cs="方正小标宋简体"/>
          <w:color w:val="FF0000"/>
          <w:sz w:val="72"/>
          <w:szCs w:val="72"/>
        </w:rPr>
      </w:pPr>
      <w:r>
        <w:rPr>
          <w:color w:val="FF0000"/>
          <w:sz w:val="72"/>
        </w:rPr>
        <w:pict>
          <v:line id="_x0000_s1026" o:spid="_x0000_s1026" o:spt="20" style="position:absolute;left:0pt;margin-left:-19.25pt;margin-top:56.75pt;height:0.05pt;width:476.2pt;z-index:251659264;mso-width-relative:page;mso-height-relative:page;" stroked="t" coordsize="21600,21600">
            <v:path arrowok="t"/>
            <v:fill focussize="0,0"/>
            <v:stroke weight="4.5pt" color="#FF0000" linestyle="thickThin"/>
            <v:imagedata o:title=""/>
            <o:lock v:ext="edit"/>
          </v:line>
        </w:pict>
      </w:r>
      <w:r>
        <w:rPr>
          <w:rFonts w:hint="eastAsia" w:ascii="方正小标宋简体" w:hAnsi="方正小标宋简体" w:eastAsia="方正小标宋简体" w:cs="方正小标宋简体"/>
          <w:color w:val="FF0000"/>
          <w:sz w:val="72"/>
          <w:szCs w:val="72"/>
        </w:rPr>
        <w:t>济宁市住房公积金管理中心</w:t>
      </w:r>
    </w:p>
    <w:p>
      <w:pPr>
        <w:spacing w:line="600" w:lineRule="exact"/>
        <w:jc w:val="center"/>
        <w:rPr>
          <w:rFonts w:ascii="仿宋_GB2312" w:hAnsi="仿宋_GB2312" w:eastAsia="仿宋_GB2312" w:cs="仿宋_GB2312"/>
          <w:sz w:val="32"/>
          <w:szCs w:val="32"/>
        </w:rPr>
      </w:pPr>
    </w:p>
    <w:p>
      <w:pP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rPr>
      </w:pPr>
      <w:r>
        <w:rPr>
          <w:rFonts w:hint="eastAsia" w:ascii="方正小标宋简体" w:hAnsi="Times New Roman" w:eastAsia="方正小标宋简体" w:cs="Times New Roman"/>
          <w:b/>
          <w:color w:val="000000" w:themeColor="text1"/>
          <w:kern w:val="0"/>
          <w:sz w:val="44"/>
          <w:szCs w:val="44"/>
        </w:rPr>
        <w:t>济宁市住房公积金管理中心</w:t>
      </w:r>
    </w:p>
    <w:p>
      <w:pP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rPr>
      </w:pPr>
      <w:r>
        <w:rPr>
          <w:rFonts w:hint="eastAsia" w:ascii="方正小标宋简体" w:hAnsi="Times New Roman" w:eastAsia="方正小标宋简体" w:cs="Times New Roman"/>
          <w:b/>
          <w:color w:val="000000" w:themeColor="text1"/>
          <w:kern w:val="0"/>
          <w:sz w:val="44"/>
          <w:szCs w:val="44"/>
        </w:rPr>
        <w:t>202</w:t>
      </w:r>
      <w:r>
        <w:rPr>
          <w:rFonts w:hint="eastAsia" w:ascii="方正小标宋简体" w:eastAsia="方正小标宋简体" w:cs="Times New Roman"/>
          <w:b/>
          <w:color w:val="000000" w:themeColor="text1"/>
          <w:kern w:val="0"/>
          <w:sz w:val="44"/>
          <w:szCs w:val="44"/>
          <w:lang w:val="en-US" w:eastAsia="zh-CN"/>
        </w:rPr>
        <w:t>3</w:t>
      </w:r>
      <w:r>
        <w:rPr>
          <w:rFonts w:hint="eastAsia" w:ascii="方正小标宋简体" w:hAnsi="Times New Roman" w:eastAsia="方正小标宋简体" w:cs="Times New Roman"/>
          <w:b/>
          <w:color w:val="000000" w:themeColor="text1"/>
          <w:kern w:val="0"/>
          <w:sz w:val="44"/>
          <w:szCs w:val="44"/>
        </w:rPr>
        <w:t>年政府信息公开</w:t>
      </w:r>
      <w:r>
        <w:rPr>
          <w:rFonts w:hint="eastAsia" w:ascii="方正小标宋简体" w:hAnsi="Times New Roman" w:eastAsia="方正小标宋简体" w:cs="Times New Roman"/>
          <w:b/>
          <w:color w:val="000000" w:themeColor="text1"/>
          <w:kern w:val="0"/>
          <w:sz w:val="44"/>
          <w:szCs w:val="44"/>
          <w:lang w:eastAsia="zh-CN"/>
        </w:rPr>
        <w:t>工作</w:t>
      </w:r>
      <w:r>
        <w:rPr>
          <w:rFonts w:hint="eastAsia" w:ascii="方正小标宋简体" w:hAnsi="Times New Roman" w:eastAsia="方正小标宋简体" w:cs="Times New Roman"/>
          <w:b/>
          <w:color w:val="000000" w:themeColor="text1"/>
          <w:kern w:val="0"/>
          <w:sz w:val="44"/>
          <w:szCs w:val="44"/>
        </w:rPr>
        <w:t>年度报告</w:t>
      </w:r>
    </w:p>
    <w:p>
      <w:pPr>
        <w:spacing w:line="590" w:lineRule="exact"/>
        <w:ind w:right="-105" w:rightChars="-50" w:firstLine="642" w:firstLineChars="200"/>
        <w:rPr>
          <w:rFonts w:hint="eastAsia" w:ascii="方正仿宋简体" w:eastAsia="方正仿宋简体"/>
          <w:b/>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2" w:firstLineChars="200"/>
        <w:textAlignment w:val="auto"/>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本报告由</w:t>
      </w:r>
      <w:r>
        <w:rPr>
          <w:rFonts w:hint="eastAsia" w:ascii="方正仿宋简体" w:eastAsia="方正仿宋简体"/>
          <w:b/>
          <w:color w:val="000000" w:themeColor="text1"/>
          <w:sz w:val="32"/>
          <w:szCs w:val="32"/>
          <w:lang w:eastAsia="zh-CN"/>
        </w:rPr>
        <w:t>济宁市住房公积金管理中心</w:t>
      </w:r>
      <w:r>
        <w:rPr>
          <w:rFonts w:hint="eastAsia" w:ascii="方正仿宋简体" w:eastAsia="方正仿宋简体"/>
          <w:b/>
          <w:color w:val="000000" w:themeColor="text1"/>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2" w:firstLineChars="200"/>
        <w:textAlignment w:val="auto"/>
        <w:rPr>
          <w:rFonts w:ascii="方正仿宋简体" w:eastAsia="方正仿宋简体"/>
          <w:b/>
          <w:color w:val="000000" w:themeColor="text1"/>
          <w:sz w:val="32"/>
          <w:szCs w:val="32"/>
        </w:rPr>
      </w:pPr>
      <w:r>
        <w:rPr>
          <w:rFonts w:hint="eastAsia" w:ascii="方正仿宋简体" w:eastAsia="方正仿宋简体"/>
          <w:b/>
          <w:color w:val="000000" w:themeColor="text1"/>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ascii="仿宋" w:hAnsi="仿宋" w:eastAsia="仿宋" w:cs="仿宋"/>
          <w:color w:val="333333"/>
          <w:kern w:val="0"/>
          <w:sz w:val="32"/>
          <w:szCs w:val="32"/>
        </w:rPr>
      </w:pPr>
      <w:r>
        <w:rPr>
          <w:rFonts w:hint="eastAsia" w:ascii="方正仿宋简体" w:eastAsia="方正仿宋简体"/>
          <w:b/>
          <w:color w:val="000000" w:themeColor="text1"/>
          <w:sz w:val="32"/>
          <w:szCs w:val="32"/>
        </w:rPr>
        <w:t>本报告所列数据的统计期限自202</w:t>
      </w:r>
      <w:r>
        <w:rPr>
          <w:rFonts w:hint="eastAsia" w:ascii="方正仿宋简体" w:eastAsia="方正仿宋简体"/>
          <w:b/>
          <w:color w:val="000000" w:themeColor="text1"/>
          <w:sz w:val="32"/>
          <w:szCs w:val="32"/>
          <w:lang w:val="en-US" w:eastAsia="zh-CN"/>
        </w:rPr>
        <w:t>3</w:t>
      </w:r>
      <w:r>
        <w:rPr>
          <w:rFonts w:hint="eastAsia" w:ascii="方正仿宋简体" w:eastAsia="方正仿宋简体"/>
          <w:b/>
          <w:color w:val="000000" w:themeColor="text1"/>
          <w:sz w:val="32"/>
          <w:szCs w:val="32"/>
        </w:rPr>
        <w:t>年1月1日起至202</w:t>
      </w:r>
      <w:r>
        <w:rPr>
          <w:rFonts w:hint="eastAsia" w:ascii="方正仿宋简体" w:eastAsia="方正仿宋简体"/>
          <w:b/>
          <w:color w:val="000000" w:themeColor="text1"/>
          <w:sz w:val="32"/>
          <w:szCs w:val="32"/>
          <w:lang w:val="en-US" w:eastAsia="zh-CN"/>
        </w:rPr>
        <w:t>3</w:t>
      </w:r>
      <w:r>
        <w:rPr>
          <w:rFonts w:hint="eastAsia" w:ascii="方正仿宋简体" w:eastAsia="方正仿宋简体"/>
          <w:b/>
          <w:color w:val="000000" w:themeColor="text1"/>
          <w:sz w:val="32"/>
          <w:szCs w:val="32"/>
        </w:rPr>
        <w:t>年12月31日止。本报告电子版可在“中国·济宁”政府门户网站（</w:t>
      </w:r>
      <w:r>
        <w:rPr>
          <w:rFonts w:hint="eastAsia" w:ascii="方正仿宋简体" w:eastAsia="方正仿宋简体"/>
          <w:b/>
          <w:color w:val="000000" w:themeColor="text1"/>
          <w:sz w:val="32"/>
          <w:szCs w:val="32"/>
          <w:lang w:val="en-US" w:eastAsia="zh-CN"/>
        </w:rPr>
        <w:t>http://www.jining.gov.cn/</w:t>
      </w:r>
      <w:r>
        <w:rPr>
          <w:rFonts w:hint="eastAsia" w:ascii="方正仿宋简体" w:eastAsia="方正仿宋简体"/>
          <w:b/>
          <w:color w:val="000000" w:themeColor="text1"/>
          <w:sz w:val="32"/>
          <w:szCs w:val="32"/>
        </w:rPr>
        <w:t>）查阅或下载。如对本报告有疑问，请与济宁市住房公积金管理中心联系（地址：济宁市洸河路133号，联系电话：0537-</w:t>
      </w:r>
      <w:r>
        <w:rPr>
          <w:rFonts w:hint="eastAsia" w:ascii="方正仿宋简体" w:eastAsia="方正仿宋简体"/>
          <w:b/>
          <w:color w:val="000000" w:themeColor="text1"/>
          <w:sz w:val="32"/>
          <w:szCs w:val="32"/>
          <w:lang w:val="en-US" w:eastAsia="zh-CN"/>
        </w:rPr>
        <w:t>2609800</w:t>
      </w:r>
      <w:r>
        <w:rPr>
          <w:rFonts w:hint="eastAsia" w:ascii="方正仿宋简体" w:eastAsia="方正仿宋简体"/>
          <w:b/>
          <w:color w:val="000000" w:themeColor="text1"/>
          <w:sz w:val="32"/>
          <w:szCs w:val="32"/>
        </w:rPr>
        <w:t>）。</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textAlignment w:val="auto"/>
        <w:rPr>
          <w:rFonts w:hint="eastAsia" w:ascii="方正黑体简体" w:eastAsia="方正黑体简体"/>
          <w:b/>
          <w:color w:val="000000" w:themeColor="text1"/>
          <w:sz w:val="32"/>
          <w:szCs w:val="32"/>
        </w:rPr>
      </w:pPr>
      <w:r>
        <w:rPr>
          <w:rFonts w:hint="eastAsia" w:ascii="方正黑体简体" w:eastAsia="方正黑体简体"/>
          <w:b/>
          <w:color w:val="000000" w:themeColor="text1"/>
          <w:sz w:val="32"/>
          <w:szCs w:val="32"/>
        </w:rPr>
        <w:t>一、总体情况</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textAlignment w:val="auto"/>
        <w:rPr>
          <w:rFonts w:hint="eastAsia" w:ascii="方正仿宋简体" w:eastAsia="方正仿宋简体"/>
          <w:b/>
          <w:color w:val="000000" w:themeColor="text1"/>
          <w:sz w:val="32"/>
          <w:szCs w:val="32"/>
          <w:lang w:eastAsia="zh-CN"/>
        </w:rPr>
      </w:pPr>
      <w:r>
        <w:rPr>
          <w:rFonts w:hint="eastAsia" w:ascii="方正仿宋简体" w:eastAsia="方正仿宋简体"/>
          <w:b/>
          <w:color w:val="000000" w:themeColor="text1"/>
          <w:sz w:val="32"/>
          <w:szCs w:val="32"/>
        </w:rPr>
        <w:pict>
          <v:line id="_x0000_s1028" o:spid="_x0000_s1028" o:spt="20" style="position:absolute;left:0pt;margin-left:-11pt;margin-top:90.9pt;height:0.05pt;width:476.2pt;z-index:251660288;mso-width-relative:page;mso-height-relative:page;" stroked="t" coordsize="21600,21600">
            <v:path arrowok="t"/>
            <v:fill focussize="0,0"/>
            <v:stroke weight="4.5pt" color="#FF0000" linestyle="thinThick"/>
            <v:imagedata o:title=""/>
            <o:lock v:ext="edit"/>
          </v:line>
        </w:pict>
      </w:r>
      <w:r>
        <w:rPr>
          <w:rFonts w:hint="eastAsia" w:ascii="方正仿宋简体" w:eastAsia="方正仿宋简体"/>
          <w:b/>
          <w:color w:val="000000" w:themeColor="text1"/>
          <w:sz w:val="32"/>
          <w:szCs w:val="32"/>
        </w:rPr>
        <w:t>202</w:t>
      </w:r>
      <w:r>
        <w:rPr>
          <w:rFonts w:hint="eastAsia" w:ascii="方正仿宋简体" w:eastAsia="方正仿宋简体"/>
          <w:b/>
          <w:color w:val="000000" w:themeColor="text1"/>
          <w:sz w:val="32"/>
          <w:szCs w:val="32"/>
          <w:lang w:val="en-US" w:eastAsia="zh-CN"/>
        </w:rPr>
        <w:t>3</w:t>
      </w:r>
      <w:r>
        <w:rPr>
          <w:rFonts w:hint="eastAsia" w:ascii="方正仿宋简体" w:eastAsia="方正仿宋简体"/>
          <w:b/>
          <w:color w:val="000000" w:themeColor="text1"/>
          <w:sz w:val="32"/>
          <w:szCs w:val="32"/>
        </w:rPr>
        <w:t>年，</w:t>
      </w:r>
      <w:r>
        <w:rPr>
          <w:rFonts w:ascii="Times New Roman" w:hAnsi="Times New Roman" w:eastAsia="方正仿宋简体"/>
          <w:b/>
          <w:sz w:val="32"/>
          <w:szCs w:val="32"/>
        </w:rPr>
        <w:t>中心坚决落实市委、市政府决策部署，立足部门职责，主动担当作为。紧紧围绕省、市政务公开工作要求，积极拓宽公开内容，创新公开方式，丰富公开载体，不断提升决策的透明度和群众的满意度。</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textAlignment w:val="auto"/>
        <w:rPr>
          <w:rFonts w:hint="default" w:ascii="方正楷体简体" w:eastAsia="方正楷体简体"/>
          <w:b/>
          <w:color w:val="000000" w:themeColor="text1"/>
          <w:sz w:val="32"/>
          <w:szCs w:val="32"/>
          <w:lang w:val="en" w:eastAsia="zh-CN"/>
        </w:rPr>
      </w:pPr>
      <w:r>
        <w:rPr>
          <w:rFonts w:hint="eastAsia" w:ascii="方正楷体简体" w:eastAsia="方正楷体简体"/>
          <w:b/>
          <w:color w:val="000000" w:themeColor="text1"/>
          <w:sz w:val="32"/>
          <w:szCs w:val="32"/>
        </w:rPr>
        <w:t>（一）主动公开</w:t>
      </w:r>
      <w:r>
        <w:rPr>
          <w:rFonts w:hint="eastAsia" w:ascii="方正楷体简体" w:eastAsia="方正楷体简体"/>
          <w:b/>
          <w:color w:val="000000" w:themeColor="text1"/>
          <w:sz w:val="32"/>
          <w:szCs w:val="32"/>
          <w:lang w:eastAsia="zh-CN"/>
        </w:rPr>
        <w:t>情况</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default" w:ascii="方正仿宋简体" w:hAnsi="Times New Roman" w:eastAsia="方正仿宋简体"/>
          <w:b/>
          <w:sz w:val="32"/>
          <w:szCs w:val="32"/>
          <w:lang w:val="en-US" w:eastAsia="zh-CN"/>
        </w:rPr>
      </w:pPr>
      <w:r>
        <w:rPr>
          <w:rFonts w:ascii="Times New Roman" w:hAnsi="Times New Roman" w:eastAsia="方正仿宋简体"/>
          <w:b/>
          <w:sz w:val="32"/>
          <w:szCs w:val="32"/>
        </w:rPr>
        <w:t>始终坚持</w:t>
      </w:r>
      <w:r>
        <w:rPr>
          <w:rFonts w:ascii="Times New Roman" w:hAnsi="Times New Roman" w:eastAsia="方正仿宋简体"/>
          <w:b/>
          <w:bCs/>
          <w:spacing w:val="8"/>
          <w:sz w:val="32"/>
          <w:szCs w:val="32"/>
          <w:shd w:val="clear" w:color="auto" w:fill="FFFFFF"/>
        </w:rPr>
        <w:t>“以人民为中心”的政务公开理念，</w:t>
      </w:r>
      <w:r>
        <w:rPr>
          <w:rFonts w:ascii="Times New Roman" w:hAnsi="Times New Roman" w:eastAsia="方正仿宋简体"/>
          <w:b/>
          <w:sz w:val="32"/>
          <w:szCs w:val="32"/>
        </w:rPr>
        <w:t>围绕中心工作及群众关注关切，抓住政务公开工作关键，深化重点领域信息公开，提升政务公开质量。2023年中心政府及门户网站更新信息261条，</w:t>
      </w:r>
      <w:r>
        <w:rPr>
          <w:rFonts w:ascii="Times New Roman" w:hAnsi="Times New Roman" w:eastAsia="方正仿宋简体"/>
          <w:b/>
          <w:bCs/>
          <w:sz w:val="32"/>
          <w:szCs w:val="32"/>
        </w:rPr>
        <w:t>微信公众号发布宣传稿件90篇，其中阅读量破万的有21篇。</w:t>
      </w:r>
      <w:r>
        <w:rPr>
          <w:rFonts w:hint="eastAsia" w:eastAsia="方正仿宋简体"/>
          <w:b/>
          <w:bCs/>
          <w:sz w:val="32"/>
          <w:szCs w:val="32"/>
          <w:lang w:eastAsia="zh-CN"/>
        </w:rPr>
        <w:t>加大政策解读力度，重点政策采用多角度、全方位解读，一般性政策开展全面解读。</w:t>
      </w:r>
      <w:r>
        <w:rPr>
          <w:rFonts w:hint="eastAsia" w:eastAsia="方正仿宋简体"/>
          <w:b/>
          <w:bCs/>
          <w:sz w:val="32"/>
          <w:szCs w:val="32"/>
          <w:lang w:val="en-US" w:eastAsia="zh-CN"/>
        </w:rPr>
        <w:t>2023年发布政策性文件25件均配发解读材料，重点政策5件，其中4件由主要负责人带头解读，4件开展媒体解读，1件创新性的采用事例的形式开展解读，</w:t>
      </w:r>
      <w:r>
        <w:rPr>
          <w:rFonts w:hint="eastAsia" w:ascii="方正仿宋简体" w:hAnsi="Times New Roman" w:eastAsia="方正仿宋简体" w:cs="Times New Roman"/>
          <w:b/>
          <w:color w:val="000000" w:themeColor="text1"/>
          <w:kern w:val="2"/>
          <w:sz w:val="32"/>
          <w:szCs w:val="32"/>
          <w:lang w:val="en-US" w:eastAsia="zh-CN" w:bidi="ar-SA"/>
        </w:rPr>
        <w:t>让群众看得懂、听得懂</w:t>
      </w:r>
      <w:r>
        <w:rPr>
          <w:rFonts w:hint="eastAsia" w:ascii="方正仿宋简体" w:eastAsia="方正仿宋简体" w:cs="Times New Roman"/>
          <w:b/>
          <w:color w:val="000000" w:themeColor="text1"/>
          <w:kern w:val="2"/>
          <w:sz w:val="32"/>
          <w:szCs w:val="32"/>
          <w:lang w:val="en-US" w:eastAsia="zh-CN" w:bidi="ar-SA"/>
        </w:rPr>
        <w:t>、用得便</w:t>
      </w:r>
      <w:r>
        <w:rPr>
          <w:rFonts w:hint="eastAsia" w:ascii="方正仿宋简体" w:hAnsi="Times New Roman" w:eastAsia="方正仿宋简体" w:cs="Times New Roman"/>
          <w:b/>
          <w:color w:val="000000" w:themeColor="text1"/>
          <w:kern w:val="2"/>
          <w:sz w:val="32"/>
          <w:szCs w:val="32"/>
          <w:lang w:val="en-US" w:eastAsia="zh-CN" w:bidi="ar-SA"/>
        </w:rPr>
        <w:t>。</w:t>
      </w:r>
    </w:p>
    <w:p>
      <w:pPr>
        <w:spacing w:line="240" w:lineRule="auto"/>
        <w:ind w:right="-105" w:rightChars="-50" w:firstLine="420" w:firstLineChars="200"/>
        <w:rPr>
          <w:rFonts w:hint="eastAsia"/>
          <w:lang w:val="en-US" w:eastAsia="zh-CN"/>
        </w:rPr>
      </w:pPr>
      <w:r>
        <w:rPr>
          <w:rFonts w:hint="eastAsia"/>
          <w:lang w:val="en-US" w:eastAsia="zh-CN"/>
        </w:rPr>
        <w:drawing>
          <wp:inline distT="0" distB="0" distL="114300" distR="114300">
            <wp:extent cx="5614670" cy="2198370"/>
            <wp:effectExtent l="0" t="0" r="5080" b="11430"/>
            <wp:docPr id="1" name="图片 1" descr="截图_选择区域_202401161415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_选择区域_20240116141542"/>
                    <pic:cNvPicPr>
                      <a:picLocks noChangeAspect="true"/>
                    </pic:cNvPicPr>
                  </pic:nvPicPr>
                  <pic:blipFill>
                    <a:blip r:embed="rId4"/>
                    <a:stretch>
                      <a:fillRect/>
                    </a:stretch>
                  </pic:blipFill>
                  <pic:spPr>
                    <a:xfrm>
                      <a:off x="0" y="0"/>
                      <a:ext cx="5614670" cy="2198370"/>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580" w:lineRule="exact"/>
        <w:ind w:right="0" w:rightChars="0" w:firstLine="642" w:firstLineChars="200"/>
        <w:textAlignment w:val="auto"/>
        <w:rPr>
          <w:rFonts w:hint="eastAsia" w:ascii="方正楷体简体" w:eastAsia="方正楷体简体"/>
          <w:b/>
          <w:color w:val="000000" w:themeColor="text1"/>
          <w:sz w:val="32"/>
          <w:szCs w:val="32"/>
        </w:rPr>
      </w:pPr>
      <w:r>
        <w:rPr>
          <w:rFonts w:hint="eastAsia" w:ascii="方正楷体简体" w:eastAsia="方正楷体简体"/>
          <w:b/>
          <w:color w:val="000000" w:themeColor="text1"/>
          <w:sz w:val="32"/>
          <w:szCs w:val="32"/>
        </w:rPr>
        <w:t>（二）依申请公开情况</w:t>
      </w:r>
    </w:p>
    <w:p>
      <w:pPr>
        <w:keepNext w:val="0"/>
        <w:keepLines w:val="0"/>
        <w:pageBreakBefore w:val="0"/>
        <w:kinsoku/>
        <w:wordWrap/>
        <w:overflowPunct/>
        <w:topLinePunct w:val="0"/>
        <w:autoSpaceDE/>
        <w:autoSpaceDN/>
        <w:bidi w:val="0"/>
        <w:adjustRightInd/>
        <w:spacing w:line="580" w:lineRule="exact"/>
        <w:ind w:right="0" w:rightChars="0" w:firstLine="642" w:firstLineChars="200"/>
        <w:textAlignment w:val="auto"/>
        <w:rPr>
          <w:rFonts w:hint="default" w:ascii="方正仿宋简体" w:eastAsia="方正仿宋简体"/>
          <w:b/>
          <w:color w:val="000000" w:themeColor="text1"/>
          <w:sz w:val="32"/>
          <w:szCs w:val="32"/>
          <w:lang w:val="en-US" w:eastAsia="zh-CN"/>
        </w:rPr>
      </w:pPr>
      <w:r>
        <w:rPr>
          <w:rFonts w:hint="eastAsia" w:ascii="方正仿宋简体" w:eastAsia="方正仿宋简体"/>
          <w:b/>
          <w:color w:val="000000" w:themeColor="text1"/>
          <w:sz w:val="32"/>
          <w:szCs w:val="32"/>
          <w:lang w:val="en-US" w:eastAsia="zh-CN"/>
        </w:rPr>
        <w:t>2023年中心未收到依申请公开件。</w:t>
      </w:r>
    </w:p>
    <w:p>
      <w:pPr>
        <w:keepNext w:val="0"/>
        <w:keepLines w:val="0"/>
        <w:pageBreakBefore w:val="0"/>
        <w:kinsoku/>
        <w:wordWrap/>
        <w:overflowPunct/>
        <w:topLinePunct w:val="0"/>
        <w:autoSpaceDE/>
        <w:autoSpaceDN/>
        <w:bidi w:val="0"/>
        <w:adjustRightInd/>
        <w:spacing w:line="580" w:lineRule="exact"/>
        <w:ind w:right="0" w:rightChars="0" w:firstLine="642" w:firstLineChars="200"/>
        <w:textAlignment w:val="auto"/>
        <w:rPr>
          <w:rFonts w:hint="eastAsia" w:ascii="方正楷体简体" w:eastAsia="方正楷体简体"/>
          <w:b/>
          <w:color w:val="000000" w:themeColor="text1"/>
          <w:sz w:val="32"/>
          <w:szCs w:val="32"/>
          <w:lang w:eastAsia="zh-CN"/>
        </w:rPr>
      </w:pPr>
      <w:r>
        <w:rPr>
          <w:rFonts w:hint="eastAsia" w:ascii="方正楷体简体" w:eastAsia="方正楷体简体"/>
          <w:b/>
          <w:color w:val="000000" w:themeColor="text1"/>
          <w:sz w:val="32"/>
          <w:szCs w:val="32"/>
        </w:rPr>
        <w:t>（三）政府信息管理</w:t>
      </w:r>
      <w:r>
        <w:rPr>
          <w:rFonts w:hint="eastAsia" w:ascii="方正楷体简体" w:eastAsia="方正楷体简体"/>
          <w:b/>
          <w:color w:val="000000" w:themeColor="text1"/>
          <w:sz w:val="32"/>
          <w:szCs w:val="32"/>
          <w:lang w:eastAsia="zh-CN"/>
        </w:rPr>
        <w:t>情况</w:t>
      </w:r>
    </w:p>
    <w:p>
      <w:pPr>
        <w:keepNext w:val="0"/>
        <w:keepLines w:val="0"/>
        <w:pageBreakBefore w:val="0"/>
        <w:widowControl/>
        <w:kinsoku/>
        <w:wordWrap/>
        <w:overflowPunct/>
        <w:topLinePunct w:val="0"/>
        <w:autoSpaceDE/>
        <w:autoSpaceDN/>
        <w:bidi w:val="0"/>
        <w:adjustRightInd/>
        <w:spacing w:line="580" w:lineRule="exact"/>
        <w:ind w:right="0" w:rightChars="0" w:firstLine="642" w:firstLineChars="200"/>
        <w:jc w:val="left"/>
        <w:textAlignment w:val="auto"/>
      </w:pPr>
      <w:r>
        <w:rPr>
          <w:rFonts w:hint="eastAsia" w:ascii="Times New Roman" w:hAnsi="Times New Roman" w:eastAsia="方正仿宋简体" w:cs="Times New Roman"/>
          <w:b/>
          <w:bCs/>
          <w:sz w:val="32"/>
          <w:szCs w:val="32"/>
          <w:lang w:val="en-US" w:eastAsia="zh-CN"/>
        </w:rPr>
        <w:t>一是</w:t>
      </w:r>
      <w:r>
        <w:rPr>
          <w:rFonts w:hint="eastAsia" w:eastAsia="方正仿宋简体" w:cs="Times New Roman"/>
          <w:b/>
          <w:bCs/>
          <w:sz w:val="32"/>
          <w:szCs w:val="32"/>
          <w:lang w:val="en-US" w:eastAsia="zh-CN"/>
        </w:rPr>
        <w:t>进一步完善对外信息发布工作办法。</w:t>
      </w:r>
      <w:r>
        <w:rPr>
          <w:rFonts w:hint="eastAsia" w:ascii="Times New Roman" w:hAnsi="Times New Roman" w:eastAsia="方正仿宋简体" w:cs="Times New Roman"/>
          <w:b/>
          <w:bCs/>
          <w:sz w:val="32"/>
          <w:szCs w:val="32"/>
          <w:lang w:val="en-US" w:eastAsia="zh-CN"/>
        </w:rPr>
        <w:t>对拟公开的信息做好审查</w:t>
      </w:r>
      <w:r>
        <w:rPr>
          <w:rFonts w:hint="eastAsia" w:eastAsia="方正仿宋简体" w:cs="Times New Roman"/>
          <w:b/>
          <w:bCs/>
          <w:sz w:val="32"/>
          <w:szCs w:val="32"/>
          <w:lang w:val="en-US" w:eastAsia="zh-CN"/>
        </w:rPr>
        <w:t>，落实“一事一审”制度，坚持</w:t>
      </w:r>
      <w:r>
        <w:rPr>
          <w:rFonts w:hint="eastAsia" w:ascii="Times New Roman" w:hAnsi="Times New Roman" w:eastAsia="方正仿宋简体" w:cs="Times New Roman"/>
          <w:b/>
          <w:bCs/>
          <w:sz w:val="32"/>
          <w:szCs w:val="32"/>
          <w:lang w:val="en-US" w:eastAsia="zh-CN"/>
        </w:rPr>
        <w:t>“先审查、后公开”的原则</w:t>
      </w:r>
      <w:r>
        <w:rPr>
          <w:rFonts w:hint="eastAsia" w:eastAsia="方正仿宋简体" w:cs="Times New Roman"/>
          <w:b/>
          <w:bCs/>
          <w:sz w:val="32"/>
          <w:szCs w:val="32"/>
          <w:lang w:val="en-US" w:eastAsia="zh-CN"/>
        </w:rPr>
        <w:t>，明确审核主体，各科室负责人作为第一责任人，要加强信息公开审核，严把政策关，确保公开信息及时、准确、全面。二是加强政府信息公开属性源头认定，对于主动公开类的公文，及时督促相关科室依法依规公开。2023年共制发主动公开类文件26件，全部及时规范公开，</w:t>
      </w:r>
      <w:r>
        <w:rPr>
          <w:rFonts w:hint="default" w:ascii="Times New Roman" w:hAnsi="Times New Roman" w:eastAsia="方正仿宋简体" w:cs="Times New Roman"/>
          <w:b/>
          <w:bCs/>
          <w:sz w:val="32"/>
          <w:szCs w:val="32"/>
          <w:lang w:val="en-US" w:eastAsia="zh-CN"/>
        </w:rPr>
        <w:t>提升</w:t>
      </w:r>
      <w:r>
        <w:rPr>
          <w:rFonts w:hint="eastAsia" w:eastAsia="方正仿宋简体" w:cs="Times New Roman"/>
          <w:b/>
          <w:bCs/>
          <w:sz w:val="32"/>
          <w:szCs w:val="32"/>
          <w:lang w:val="en-US" w:eastAsia="zh-CN"/>
        </w:rPr>
        <w:t>了</w:t>
      </w:r>
      <w:r>
        <w:rPr>
          <w:rFonts w:hint="default" w:ascii="Times New Roman" w:hAnsi="Times New Roman" w:eastAsia="方正仿宋简体" w:cs="Times New Roman"/>
          <w:b/>
          <w:bCs/>
          <w:sz w:val="32"/>
          <w:szCs w:val="32"/>
          <w:lang w:val="en-US" w:eastAsia="zh-CN"/>
        </w:rPr>
        <w:t>住房公积金制度的社会影响力。</w:t>
      </w:r>
    </w:p>
    <w:p>
      <w:pPr>
        <w:keepNext w:val="0"/>
        <w:keepLines w:val="0"/>
        <w:pageBreakBefore w:val="0"/>
        <w:kinsoku/>
        <w:wordWrap/>
        <w:overflowPunct/>
        <w:topLinePunct w:val="0"/>
        <w:autoSpaceDE/>
        <w:autoSpaceDN/>
        <w:bidi w:val="0"/>
        <w:adjustRightInd/>
        <w:spacing w:line="580" w:lineRule="exact"/>
        <w:ind w:right="0" w:rightChars="0" w:firstLine="642" w:firstLineChars="200"/>
        <w:textAlignment w:val="auto"/>
        <w:rPr>
          <w:rFonts w:hint="eastAsia" w:ascii="方正楷体简体" w:eastAsia="方正楷体简体"/>
          <w:b/>
          <w:color w:val="000000" w:themeColor="text1"/>
          <w:sz w:val="32"/>
          <w:szCs w:val="32"/>
          <w:lang w:eastAsia="zh-CN"/>
        </w:rPr>
      </w:pPr>
      <w:r>
        <w:rPr>
          <w:rFonts w:hint="eastAsia" w:ascii="方正楷体简体" w:eastAsia="方正楷体简体"/>
          <w:b/>
          <w:color w:val="000000" w:themeColor="text1"/>
          <w:sz w:val="32"/>
          <w:szCs w:val="32"/>
        </w:rPr>
        <w:t>（四）政府信息公开平台</w:t>
      </w:r>
      <w:r>
        <w:rPr>
          <w:rFonts w:hint="eastAsia" w:ascii="方正楷体简体" w:eastAsia="方正楷体简体"/>
          <w:b/>
          <w:color w:val="000000" w:themeColor="text1"/>
          <w:sz w:val="32"/>
          <w:szCs w:val="32"/>
          <w:lang w:eastAsia="zh-CN"/>
        </w:rPr>
        <w:t>建设情况</w:t>
      </w:r>
    </w:p>
    <w:p>
      <w:pPr>
        <w:pStyle w:val="5"/>
        <w:keepNext w:val="0"/>
        <w:keepLines w:val="0"/>
        <w:pageBreakBefore w:val="0"/>
        <w:kinsoku/>
        <w:wordWrap/>
        <w:overflowPunct/>
        <w:topLinePunct w:val="0"/>
        <w:autoSpaceDE/>
        <w:autoSpaceDN/>
        <w:bidi w:val="0"/>
        <w:adjustRightInd/>
        <w:spacing w:line="580" w:lineRule="exact"/>
        <w:ind w:right="0" w:rightChars="0" w:firstLine="642" w:firstLineChars="200"/>
        <w:jc w:val="both"/>
        <w:textAlignment w:val="auto"/>
        <w:rPr>
          <w:rFonts w:hint="eastAsia" w:ascii="Times New Roman" w:hAnsi="Times New Roman" w:eastAsia="方正仿宋简体"/>
          <w:b/>
          <w:bCs/>
          <w:sz w:val="32"/>
          <w:szCs w:val="32"/>
          <w:lang w:eastAsia="zh-CN"/>
        </w:rPr>
      </w:pPr>
      <w:r>
        <w:rPr>
          <w:rFonts w:ascii="Times New Roman" w:hAnsi="Times New Roman" w:eastAsia="方正仿宋简体"/>
          <w:b/>
          <w:sz w:val="32"/>
          <w:szCs w:val="32"/>
        </w:rPr>
        <w:t>一是</w:t>
      </w:r>
      <w:r>
        <w:rPr>
          <w:rFonts w:hint="eastAsia" w:eastAsia="方正仿宋简体"/>
          <w:b/>
          <w:sz w:val="32"/>
          <w:szCs w:val="32"/>
          <w:lang w:eastAsia="zh-CN"/>
        </w:rPr>
        <w:t>持续加强线上公开平台建设。优化网站栏目设置，将涉及群众切身利益的业务指南、政策法规、下载中心、常见问题、在线咨询等在网站首页集中公开。优化新媒体发布服务功能。充分发挥微信传播速度快、受众面广、互动性强等优势，及时发布政务信息，做好政策的发布、解读。</w:t>
      </w:r>
      <w:r>
        <w:rPr>
          <w:rFonts w:ascii="Times New Roman" w:hAnsi="Times New Roman" w:eastAsia="方正仿宋简体"/>
          <w:b/>
          <w:sz w:val="32"/>
          <w:szCs w:val="32"/>
        </w:rPr>
        <w:t>二是</w:t>
      </w:r>
      <w:r>
        <w:rPr>
          <w:rFonts w:ascii="Times New Roman" w:hAnsi="Times New Roman" w:eastAsia="方正仿宋简体"/>
          <w:b/>
          <w:bCs/>
          <w:sz w:val="32"/>
          <w:szCs w:val="32"/>
        </w:rPr>
        <w:t>深化“一线工作法”</w:t>
      </w:r>
      <w:r>
        <w:rPr>
          <w:rFonts w:hint="eastAsia" w:eastAsia="方正仿宋简体"/>
          <w:b/>
          <w:bCs/>
          <w:sz w:val="32"/>
          <w:szCs w:val="32"/>
          <w:lang w:eastAsia="zh-CN"/>
        </w:rPr>
        <w:t>，拓宽线下公开渠道。</w:t>
      </w:r>
      <w:r>
        <w:rPr>
          <w:rFonts w:ascii="Times New Roman" w:hAnsi="Times New Roman" w:eastAsia="方正仿宋简体"/>
          <w:b/>
          <w:bCs/>
          <w:sz w:val="32"/>
          <w:szCs w:val="32"/>
        </w:rPr>
        <w:t>积极开展“陪跑帮办”活动，陪同群众办事、接受企业职工咨询，全方位了解群众办事的难点、堵点，主动发现问题并及时解决问题，用心解决好企业群众的“急难愁盼”。</w:t>
      </w:r>
    </w:p>
    <w:p>
      <w:pPr>
        <w:keepNext w:val="0"/>
        <w:keepLines w:val="0"/>
        <w:pageBreakBefore w:val="0"/>
        <w:kinsoku/>
        <w:wordWrap/>
        <w:overflowPunct/>
        <w:topLinePunct w:val="0"/>
        <w:autoSpaceDE/>
        <w:autoSpaceDN/>
        <w:bidi w:val="0"/>
        <w:adjustRightInd/>
        <w:spacing w:line="580" w:lineRule="exact"/>
        <w:ind w:right="0" w:rightChars="0" w:firstLine="642" w:firstLineChars="200"/>
        <w:textAlignment w:val="auto"/>
        <w:rPr>
          <w:rFonts w:hint="eastAsia" w:ascii="方正楷体简体" w:eastAsia="方正楷体简体"/>
          <w:b/>
          <w:color w:val="000000" w:themeColor="text1"/>
          <w:sz w:val="32"/>
          <w:szCs w:val="32"/>
          <w:lang w:eastAsia="zh-CN"/>
        </w:rPr>
      </w:pPr>
      <w:r>
        <w:rPr>
          <w:rFonts w:hint="eastAsia" w:ascii="方正楷体简体" w:eastAsia="方正楷体简体"/>
          <w:b/>
          <w:color w:val="000000" w:themeColor="text1"/>
          <w:sz w:val="32"/>
          <w:szCs w:val="32"/>
        </w:rPr>
        <w:t>（五）监督保障</w:t>
      </w:r>
      <w:r>
        <w:rPr>
          <w:rFonts w:hint="eastAsia" w:ascii="方正楷体简体" w:eastAsia="方正楷体简体"/>
          <w:b/>
          <w:color w:val="000000" w:themeColor="text1"/>
          <w:sz w:val="32"/>
          <w:szCs w:val="32"/>
          <w:lang w:eastAsia="zh-CN"/>
        </w:rPr>
        <w:t>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Times New Roman" w:hAnsi="Times New Roman" w:eastAsia="方正仿宋简体" w:cs="Times New Roman"/>
          <w:b/>
          <w:bCs/>
          <w:sz w:val="32"/>
          <w:szCs w:val="32"/>
          <w:lang w:val="en-US" w:eastAsia="zh-CN"/>
        </w:rPr>
      </w:pPr>
      <w:r>
        <w:rPr>
          <w:rFonts w:hint="eastAsia" w:ascii="方正仿宋简体" w:eastAsia="方正仿宋简体"/>
          <w:b/>
          <w:sz w:val="32"/>
          <w:szCs w:val="32"/>
          <w:lang w:val="en-US" w:eastAsia="zh-CN"/>
        </w:rPr>
        <w:t>一是做好组织保障。年内主要负责同志多次听取政务公开工作汇报，对政务公开工作做出批示指导；分管负责同志主持召开政务公开领导小组会议研究部署政务公开工作。二是加强政务公开教育培训，将政务公开纳入干部培训必修课程。提高政务公开工作意识，增强政务公开工作能力，</w:t>
      </w:r>
      <w:r>
        <w:rPr>
          <w:rFonts w:hint="eastAsia" w:ascii="方正仿宋简体" w:hAnsi="Times New Roman" w:eastAsia="方正仿宋简体"/>
          <w:b/>
          <w:sz w:val="32"/>
          <w:szCs w:val="32"/>
          <w:lang w:val="en-US" w:eastAsia="zh-CN"/>
        </w:rPr>
        <w:t>加强政务公开队伍建设</w:t>
      </w:r>
      <w:r>
        <w:rPr>
          <w:rFonts w:hint="eastAsia" w:ascii="方正仿宋简体" w:hAnsi="Times New Roman" w:eastAsia="方正仿宋简体" w:cs="Times New Roman"/>
          <w:b/>
          <w:color w:val="000000" w:themeColor="text1"/>
          <w:kern w:val="2"/>
          <w:sz w:val="32"/>
          <w:szCs w:val="32"/>
          <w:lang w:val="en-US" w:eastAsia="zh-CN" w:bidi="ar-SA"/>
        </w:rPr>
        <w:t>，深入、持续、高效的推进政务公开工作。</w:t>
      </w:r>
    </w:p>
    <w:p>
      <w:pPr>
        <w:spacing w:line="590" w:lineRule="exact"/>
        <w:ind w:right="-105" w:rightChars="-50" w:firstLine="642" w:firstLineChars="200"/>
        <w:rPr>
          <w:rFonts w:ascii="方正黑体简体" w:eastAsia="方正黑体简体"/>
          <w:b/>
          <w:color w:val="000000" w:themeColor="text1"/>
          <w:sz w:val="32"/>
          <w:szCs w:val="32"/>
        </w:rPr>
      </w:pPr>
      <w:r>
        <w:rPr>
          <w:rFonts w:hint="eastAsia" w:ascii="方正黑体简体" w:eastAsia="方正黑体简体"/>
          <w:b/>
          <w:color w:val="000000" w:themeColor="text1"/>
          <w:sz w:val="32"/>
          <w:szCs w:val="32"/>
        </w:rPr>
        <w:t>二、主动公开政府信息情况</w:t>
      </w:r>
    </w:p>
    <w:tbl>
      <w:tblPr>
        <w:tblStyle w:val="8"/>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5</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3</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2"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8"/>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2"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8"/>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2"/>
                <w:sz w:val="21"/>
                <w:szCs w:val="21"/>
                <w:lang w:val="en-US" w:eastAsia="zh-CN" w:bidi="ar-SA"/>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firstLine="642"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方正仿宋简体" w:hAnsi="Times New Roman" w:eastAsia="方正仿宋简体" w:cs="Times New Roman"/>
          <w:b/>
          <w:color w:val="000000" w:themeColor="text1"/>
          <w:kern w:val="2"/>
          <w:sz w:val="32"/>
          <w:szCs w:val="32"/>
          <w:lang w:val="en-US" w:eastAsia="zh-CN" w:bidi="ar-SA"/>
        </w:rPr>
      </w:pPr>
      <w:r>
        <w:rPr>
          <w:rFonts w:hint="eastAsia" w:ascii="方正仿宋简体" w:hAnsi="Times New Roman" w:eastAsia="方正仿宋简体" w:cs="Times New Roman"/>
          <w:b/>
          <w:color w:val="000000" w:themeColor="text1"/>
          <w:kern w:val="2"/>
          <w:sz w:val="32"/>
          <w:szCs w:val="32"/>
          <w:lang w:val="en-US" w:eastAsia="zh-CN" w:bidi="ar-SA"/>
        </w:rPr>
        <w:t>2023年，我中心政府信息公开工作虽然取得了明显成效，但仍然存在一些不足，主要体现在：一是部分工作人员政务公开意识有待进一步加强；二是培训力度不够；三是政策解读形式仍需多样化。</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方正仿宋简体" w:hAnsi="Times New Roman" w:eastAsia="方正仿宋简体" w:cs="Times New Roman"/>
          <w:b/>
          <w:color w:val="000000" w:themeColor="text1"/>
          <w:kern w:val="2"/>
          <w:sz w:val="32"/>
          <w:szCs w:val="32"/>
          <w:lang w:val="en-US" w:eastAsia="zh-CN" w:bidi="ar-SA"/>
        </w:rPr>
      </w:pPr>
      <w:r>
        <w:rPr>
          <w:rFonts w:hint="eastAsia" w:ascii="方正仿宋简体" w:hAnsi="Times New Roman" w:eastAsia="方正仿宋简体" w:cs="Times New Roman"/>
          <w:b/>
          <w:color w:val="000000" w:themeColor="text1"/>
          <w:kern w:val="2"/>
          <w:sz w:val="32"/>
          <w:szCs w:val="32"/>
          <w:lang w:val="en-US" w:eastAsia="zh-CN" w:bidi="ar-SA"/>
        </w:rPr>
        <w:t>针对存在的问题，下一步中心将做好以下工作：</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eastAsia" w:ascii="方正仿宋简体" w:eastAsia="方正仿宋简体" w:cs="Times New Roman"/>
          <w:b/>
          <w:color w:val="000000" w:themeColor="text1"/>
          <w:kern w:val="2"/>
          <w:sz w:val="32"/>
          <w:szCs w:val="32"/>
          <w:lang w:val="en-US" w:eastAsia="zh-CN" w:bidi="ar-SA"/>
        </w:rPr>
      </w:pPr>
      <w:r>
        <w:rPr>
          <w:rFonts w:hint="eastAsia" w:ascii="方正仿宋简体" w:hAnsi="Times New Roman" w:eastAsia="方正仿宋简体" w:cs="Times New Roman"/>
          <w:b/>
          <w:color w:val="000000" w:themeColor="text1"/>
          <w:kern w:val="2"/>
          <w:sz w:val="32"/>
          <w:szCs w:val="32"/>
          <w:lang w:val="en-US" w:eastAsia="zh-CN" w:bidi="ar-SA"/>
        </w:rPr>
        <w:t>一</w:t>
      </w:r>
      <w:r>
        <w:rPr>
          <w:rFonts w:hint="eastAsia" w:ascii="方正仿宋简体" w:eastAsia="方正仿宋简体" w:cs="Times New Roman"/>
          <w:b/>
          <w:color w:val="000000" w:themeColor="text1"/>
          <w:kern w:val="2"/>
          <w:sz w:val="32"/>
          <w:szCs w:val="32"/>
          <w:lang w:val="en-US" w:eastAsia="zh-CN" w:bidi="ar-SA"/>
        </w:rPr>
        <w:t>是提高思想认识。继续把政务公开工作作为各科室、分支机构的重要工作内容，不断完善政务公开工作的组织领导，实行主要领导负总责、分管领导具体负责、政务公开领导小组办公室具体实施，各部门协同各司其职的工作格局，完善政务公开内容和形式，不断提高政务公开实效，推动政务信息公开工作健康有序开展。</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方正仿宋简体" w:hAnsi="Times New Roman" w:eastAsia="方正仿宋简体" w:cs="Times New Roman"/>
          <w:b/>
          <w:color w:val="000000" w:themeColor="text1"/>
          <w:kern w:val="2"/>
          <w:sz w:val="32"/>
          <w:szCs w:val="32"/>
          <w:lang w:val="en-US" w:eastAsia="zh-CN" w:bidi="ar-SA"/>
        </w:rPr>
      </w:pPr>
      <w:r>
        <w:rPr>
          <w:rFonts w:hint="eastAsia" w:ascii="方正仿宋简体" w:hAnsi="Times New Roman" w:eastAsia="方正仿宋简体" w:cs="Times New Roman"/>
          <w:b/>
          <w:color w:val="000000" w:themeColor="text1"/>
          <w:kern w:val="2"/>
          <w:sz w:val="32"/>
          <w:szCs w:val="32"/>
          <w:lang w:val="en-US" w:eastAsia="zh-CN" w:bidi="ar-SA"/>
        </w:rPr>
        <w:t>二是加强政务公开工作的培训力度，提升政务公开工作人员的工作能力，强化责任意识，形成积极主动、相互配合的工作格局。增强全体干部职工对政务公开相关政策的理解和把握。坚持以问题为导向，积极谋划，全面推进，持续发力，久久为功，不断提升中心政务公开工作的质量和水平。</w:t>
      </w:r>
    </w:p>
    <w:p>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right="0" w:rightChars="0" w:firstLine="642" w:firstLineChars="200"/>
        <w:textAlignment w:val="auto"/>
        <w:rPr>
          <w:rFonts w:hint="eastAsia" w:ascii="方正仿宋简体" w:hAnsi="Times New Roman" w:eastAsia="方正仿宋简体" w:cs="Times New Roman"/>
          <w:b/>
          <w:color w:val="000000" w:themeColor="text1"/>
          <w:kern w:val="2"/>
          <w:sz w:val="32"/>
          <w:szCs w:val="32"/>
          <w:lang w:val="en-US" w:eastAsia="zh-CN" w:bidi="ar-SA"/>
        </w:rPr>
      </w:pPr>
      <w:r>
        <w:rPr>
          <w:rFonts w:hint="eastAsia" w:ascii="方正仿宋简体" w:hAnsi="Times New Roman" w:eastAsia="方正仿宋简体" w:cs="Times New Roman"/>
          <w:b/>
          <w:color w:val="000000" w:themeColor="text1"/>
          <w:kern w:val="2"/>
          <w:sz w:val="32"/>
          <w:szCs w:val="32"/>
          <w:lang w:val="en-US" w:eastAsia="zh-CN" w:bidi="ar-SA"/>
        </w:rPr>
        <w:t>三是丰富解读形式，在邀请领域内的专家学者参与政策文件的决策过程外，增加专家学者参与咨询、发布和解读过程。让解读更专业、更权威、更准确。制定专家解读计划，对科室制发的与群众切身利益相关的政策性文件，要求科室在文件起草过程中同步制定专家参与解读方案，更加注重对政策背景、专业知识等方面的实质性解读。</w:t>
      </w:r>
    </w:p>
    <w:p>
      <w:pPr>
        <w:keepNext w:val="0"/>
        <w:keepLines w:val="0"/>
        <w:pageBreakBefore w:val="0"/>
        <w:kinsoku/>
        <w:wordWrap/>
        <w:overflowPunct/>
        <w:topLinePunct w:val="0"/>
        <w:autoSpaceDE/>
        <w:autoSpaceDN/>
        <w:bidi w:val="0"/>
        <w:adjustRightInd/>
        <w:snapToGrid/>
        <w:spacing w:line="580" w:lineRule="exact"/>
        <w:ind w:right="0" w:rightChars="0" w:firstLine="642" w:firstLineChars="200"/>
        <w:textAlignment w:val="auto"/>
        <w:rPr>
          <w:rFonts w:hint="eastAsia" w:ascii="方正黑体简体" w:eastAsia="方正黑体简体"/>
          <w:b/>
          <w:sz w:val="32"/>
          <w:szCs w:val="32"/>
        </w:rPr>
      </w:pPr>
      <w:r>
        <w:rPr>
          <w:rFonts w:hint="eastAsia" w:ascii="方正黑体简体" w:eastAsia="方正黑体简体"/>
          <w:b/>
          <w:sz w:val="32"/>
          <w:szCs w:val="32"/>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eastAsia" w:ascii="方正仿宋简体" w:hAnsi="Calibri" w:eastAsia="方正仿宋简体" w:cs="Times New Roman"/>
          <w:b/>
          <w:color w:val="auto"/>
          <w:kern w:val="2"/>
          <w:sz w:val="32"/>
          <w:szCs w:val="32"/>
          <w:lang w:val="en-US" w:eastAsia="zh-CN" w:bidi="ar-SA"/>
        </w:rPr>
      </w:pPr>
      <w:r>
        <w:rPr>
          <w:rFonts w:hint="eastAsia" w:ascii="方正仿宋简体" w:hAnsi="Calibri" w:eastAsia="方正仿宋简体" w:cs="Times New Roman"/>
          <w:b/>
          <w:color w:val="auto"/>
          <w:kern w:val="2"/>
          <w:sz w:val="32"/>
          <w:szCs w:val="32"/>
          <w:lang w:val="en-US" w:eastAsia="zh-CN" w:bidi="ar-SA"/>
        </w:rPr>
        <w:t>（一）依据《政府信息公开信息处理费管理办法》收取信息处理费的情况</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eastAsia" w:ascii="方正仿宋简体" w:hAnsi="Calibri" w:eastAsia="方正仿宋简体" w:cs="Times New Roman"/>
          <w:b/>
          <w:color w:val="auto"/>
          <w:kern w:val="2"/>
          <w:sz w:val="32"/>
          <w:szCs w:val="32"/>
          <w:lang w:val="en-US" w:eastAsia="zh-CN" w:bidi="ar-SA"/>
        </w:rPr>
      </w:pPr>
      <w:r>
        <w:rPr>
          <w:rFonts w:hint="eastAsia" w:ascii="方正仿宋简体" w:hAnsi="Calibri" w:eastAsia="方正仿宋简体" w:cs="Times New Roman"/>
          <w:b/>
          <w:color w:val="auto"/>
          <w:kern w:val="2"/>
          <w:sz w:val="32"/>
          <w:szCs w:val="32"/>
          <w:lang w:val="en-US" w:eastAsia="zh-CN" w:bidi="ar-SA"/>
        </w:rPr>
        <w:t>2023年度，本机关未依据《政府信息公开信息处理费管理办法》收取信息处理费。</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eastAsia" w:ascii="方正仿宋简体" w:hAnsi="Calibri" w:eastAsia="方正仿宋简体" w:cs="Times New Roman"/>
          <w:b/>
          <w:color w:val="auto"/>
          <w:kern w:val="2"/>
          <w:sz w:val="32"/>
          <w:szCs w:val="32"/>
          <w:lang w:val="en-US" w:eastAsia="zh-CN" w:bidi="ar-SA"/>
        </w:rPr>
      </w:pPr>
      <w:r>
        <w:rPr>
          <w:rFonts w:hint="eastAsia" w:ascii="方正仿宋简体" w:hAnsi="Calibri" w:eastAsia="方正仿宋简体" w:cs="Times New Roman"/>
          <w:b/>
          <w:color w:val="auto"/>
          <w:kern w:val="2"/>
          <w:sz w:val="32"/>
          <w:szCs w:val="32"/>
          <w:lang w:val="en-US" w:eastAsia="zh-CN" w:bidi="ar-SA"/>
        </w:rPr>
        <w:t>（二）本行政机关落实上级年度政务公开工作要点情况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left"/>
        <w:textAlignment w:val="auto"/>
        <w:rPr>
          <w:color w:val="auto"/>
        </w:rPr>
      </w:pPr>
      <w:r>
        <w:rPr>
          <w:rFonts w:hint="eastAsia" w:ascii="方正仿宋简体" w:hAnsi="Yu Mincho Light" w:eastAsia="方正仿宋简体" w:cs="仿宋_GB2312"/>
          <w:b/>
          <w:color w:val="auto"/>
          <w:sz w:val="32"/>
          <w:szCs w:val="32"/>
          <w:lang w:val="en-US" w:eastAsia="zh"/>
        </w:rPr>
        <w:t>2023</w:t>
      </w:r>
      <w:r>
        <w:rPr>
          <w:rFonts w:hint="eastAsia" w:ascii="方正仿宋简体" w:hAnsi="Yu Mincho Light" w:eastAsia="方正仿宋简体" w:cs="仿宋_GB2312"/>
          <w:b/>
          <w:color w:val="auto"/>
          <w:sz w:val="32"/>
          <w:szCs w:val="32"/>
          <w:lang w:val="en-US" w:eastAsia="zh-CN"/>
        </w:rPr>
        <w:t>年我中心深入贯彻落实省、市政务公开工作要点，</w:t>
      </w:r>
      <w:r>
        <w:rPr>
          <w:rFonts w:hint="eastAsia" w:ascii="方正仿宋简体" w:hAnsi="Yu Mincho Light" w:eastAsia="方正仿宋简体" w:cs="仿宋_GB2312"/>
          <w:b/>
          <w:color w:val="auto"/>
          <w:sz w:val="32"/>
          <w:szCs w:val="32"/>
        </w:rPr>
        <w:t>结合中心</w:t>
      </w:r>
      <w:r>
        <w:rPr>
          <w:rFonts w:hint="eastAsia" w:ascii="方正仿宋简体" w:hAnsi="Yu Mincho Light" w:eastAsia="方正仿宋简体" w:cs="仿宋_GB2312"/>
          <w:b/>
          <w:color w:val="auto"/>
          <w:sz w:val="32"/>
          <w:szCs w:val="32"/>
          <w:lang w:eastAsia="zh-CN"/>
        </w:rPr>
        <w:t>实际</w:t>
      </w:r>
      <w:r>
        <w:rPr>
          <w:rFonts w:hint="eastAsia" w:ascii="方正仿宋简体" w:hAnsi="Yu Mincho Light" w:eastAsia="方正仿宋简体" w:cs="仿宋_GB2312"/>
          <w:b/>
          <w:color w:val="auto"/>
          <w:sz w:val="32"/>
          <w:szCs w:val="32"/>
        </w:rPr>
        <w:t>工作，</w:t>
      </w:r>
      <w:r>
        <w:rPr>
          <w:rFonts w:hint="eastAsia" w:ascii="方正仿宋简体" w:hAnsi="Yu Mincho Light" w:eastAsia="方正仿宋简体" w:cs="仿宋_GB2312"/>
          <w:b/>
          <w:color w:val="auto"/>
          <w:sz w:val="32"/>
          <w:szCs w:val="32"/>
          <w:lang w:eastAsia="zh-CN"/>
        </w:rPr>
        <w:t>将重点工作任务再分解、再细化，</w:t>
      </w:r>
      <w:r>
        <w:rPr>
          <w:rFonts w:hint="eastAsia" w:ascii="方正仿宋简体" w:hAnsi="Yu Mincho Light" w:eastAsia="方正仿宋简体" w:cs="仿宋_GB2312"/>
          <w:b/>
          <w:color w:val="auto"/>
          <w:sz w:val="32"/>
          <w:szCs w:val="32"/>
          <w:lang w:val="en-US" w:eastAsia="zh-CN"/>
        </w:rPr>
        <w:t>提升政策解读质效，持续深化社会关切回应。</w:t>
      </w:r>
      <w:r>
        <w:rPr>
          <w:rStyle w:val="10"/>
          <w:rFonts w:ascii="方正仿宋简体" w:hAnsi="方正仿宋简体" w:eastAsia="方正仿宋简体" w:cs="方正仿宋简体"/>
          <w:b/>
          <w:i w:val="0"/>
          <w:caps w:val="0"/>
          <w:color w:val="auto"/>
          <w:spacing w:val="0"/>
          <w:kern w:val="0"/>
          <w:sz w:val="31"/>
          <w:szCs w:val="31"/>
          <w:u w:val="none"/>
          <w:lang w:val="en-US" w:eastAsia="zh-CN" w:bidi="ar"/>
        </w:rPr>
        <w:t>树牢责任意识，把政务公开工作摆在突出位置，坚持以公开为常态、不公开为例外</w:t>
      </w:r>
      <w:r>
        <w:rPr>
          <w:rStyle w:val="10"/>
          <w:rFonts w:hint="eastAsia" w:ascii="方正仿宋简体" w:hAnsi="方正仿宋简体" w:eastAsia="方正仿宋简体" w:cs="方正仿宋简体"/>
          <w:b/>
          <w:i w:val="0"/>
          <w:caps w:val="0"/>
          <w:color w:val="auto"/>
          <w:spacing w:val="0"/>
          <w:kern w:val="0"/>
          <w:sz w:val="31"/>
          <w:szCs w:val="31"/>
          <w:u w:val="none"/>
          <w:lang w:val="en-US" w:eastAsia="zh-CN" w:bidi="ar"/>
        </w:rPr>
        <w:t>的</w:t>
      </w:r>
      <w:r>
        <w:rPr>
          <w:rStyle w:val="10"/>
          <w:rFonts w:ascii="方正仿宋简体" w:hAnsi="方正仿宋简体" w:eastAsia="方正仿宋简体" w:cs="方正仿宋简体"/>
          <w:b/>
          <w:i w:val="0"/>
          <w:caps w:val="0"/>
          <w:color w:val="auto"/>
          <w:spacing w:val="0"/>
          <w:kern w:val="0"/>
          <w:sz w:val="31"/>
          <w:szCs w:val="31"/>
          <w:u w:val="none"/>
          <w:lang w:val="en-US" w:eastAsia="zh-CN" w:bidi="ar"/>
        </w:rPr>
        <w:t>原则，严格按照政务公开要点，主动作为</w:t>
      </w:r>
      <w:r>
        <w:rPr>
          <w:rStyle w:val="10"/>
          <w:rFonts w:hint="eastAsia" w:ascii="方正仿宋简体" w:hAnsi="方正仿宋简体" w:eastAsia="方正仿宋简体" w:cs="方正仿宋简体"/>
          <w:b/>
          <w:i w:val="0"/>
          <w:caps w:val="0"/>
          <w:color w:val="auto"/>
          <w:spacing w:val="0"/>
          <w:kern w:val="0"/>
          <w:sz w:val="31"/>
          <w:szCs w:val="31"/>
          <w:u w:val="none"/>
          <w:lang w:val="en-US" w:eastAsia="zh-CN" w:bidi="ar"/>
        </w:rPr>
        <w:t>、</w:t>
      </w:r>
      <w:r>
        <w:rPr>
          <w:rStyle w:val="10"/>
          <w:rFonts w:ascii="方正仿宋简体" w:hAnsi="方正仿宋简体" w:eastAsia="方正仿宋简体" w:cs="方正仿宋简体"/>
          <w:b/>
          <w:i w:val="0"/>
          <w:caps w:val="0"/>
          <w:color w:val="auto"/>
          <w:spacing w:val="0"/>
          <w:kern w:val="0"/>
          <w:sz w:val="31"/>
          <w:szCs w:val="31"/>
          <w:u w:val="none"/>
          <w:lang w:val="en-US" w:eastAsia="zh-CN" w:bidi="ar"/>
        </w:rPr>
        <w:t>提高政务公开质量，更好发挥以公开促落实、强监管功能，推动政务公开不断向纵深发展。</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left"/>
        <w:textAlignment w:val="auto"/>
        <w:rPr>
          <w:rFonts w:hint="eastAsia" w:ascii="方正仿宋简体" w:hAnsi="Times New Roman" w:eastAsia="方正仿宋简体" w:cs="Times New Roman"/>
          <w:b/>
          <w:color w:val="auto"/>
          <w:kern w:val="2"/>
          <w:sz w:val="32"/>
          <w:szCs w:val="32"/>
          <w:lang w:val="en-US" w:eastAsia="zh-CN" w:bidi="ar-SA"/>
        </w:rPr>
      </w:pPr>
      <w:r>
        <w:rPr>
          <w:rFonts w:hint="eastAsia" w:ascii="方正仿宋简体" w:hAnsi="Calibri" w:eastAsia="方正仿宋简体" w:cs="Times New Roman"/>
          <w:b/>
          <w:color w:val="auto"/>
          <w:kern w:val="2"/>
          <w:sz w:val="32"/>
          <w:szCs w:val="32"/>
          <w:lang w:val="en-US" w:eastAsia="zh-CN" w:bidi="ar-SA"/>
        </w:rPr>
        <w:t>（三）</w:t>
      </w:r>
      <w:r>
        <w:rPr>
          <w:rFonts w:hint="eastAsia" w:ascii="方正仿宋简体" w:hAnsi="Times New Roman" w:eastAsia="方正仿宋简体" w:cs="Times New Roman"/>
          <w:b/>
          <w:color w:val="auto"/>
          <w:kern w:val="2"/>
          <w:sz w:val="32"/>
          <w:szCs w:val="32"/>
          <w:lang w:val="en-US" w:eastAsia="zh-CN" w:bidi="ar-SA"/>
        </w:rPr>
        <w:t>202</w:t>
      </w:r>
      <w:r>
        <w:rPr>
          <w:rFonts w:hint="eastAsia" w:ascii="方正仿宋简体" w:eastAsia="方正仿宋简体" w:cs="Times New Roman"/>
          <w:b/>
          <w:color w:val="auto"/>
          <w:kern w:val="2"/>
          <w:sz w:val="32"/>
          <w:szCs w:val="32"/>
          <w:lang w:val="en-US" w:eastAsia="zh-CN" w:bidi="ar-SA"/>
        </w:rPr>
        <w:t>3</w:t>
      </w:r>
      <w:r>
        <w:rPr>
          <w:rFonts w:hint="eastAsia" w:ascii="方正仿宋简体" w:hAnsi="Times New Roman" w:eastAsia="方正仿宋简体" w:cs="Times New Roman"/>
          <w:b/>
          <w:color w:val="auto"/>
          <w:kern w:val="2"/>
          <w:sz w:val="32"/>
          <w:szCs w:val="32"/>
          <w:lang w:val="en-US" w:eastAsia="zh-CN" w:bidi="ar-SA"/>
        </w:rPr>
        <w:t>年未收到</w:t>
      </w:r>
      <w:r>
        <w:rPr>
          <w:rFonts w:hint="eastAsia" w:ascii="方正仿宋简体" w:eastAsia="方正仿宋简体" w:cs="Times New Roman"/>
          <w:b/>
          <w:color w:val="auto"/>
          <w:kern w:val="2"/>
          <w:sz w:val="32"/>
          <w:szCs w:val="32"/>
          <w:lang w:val="en-US" w:eastAsia="zh-CN" w:bidi="ar-SA"/>
        </w:rPr>
        <w:t>政协委员提案和人大代表建议</w:t>
      </w:r>
      <w:r>
        <w:rPr>
          <w:rFonts w:hint="eastAsia" w:ascii="方正仿宋简体" w:hAnsi="Times New Roman" w:eastAsia="方正仿宋简体" w:cs="Times New Roman"/>
          <w:b/>
          <w:color w:val="auto"/>
          <w:kern w:val="2"/>
          <w:sz w:val="32"/>
          <w:szCs w:val="32"/>
          <w:lang w:val="en-US" w:eastAsia="zh-CN" w:bidi="ar-SA"/>
        </w:rPr>
        <w:t>。</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w:t>
      </w:r>
      <w:r>
        <w:rPr>
          <w:rFonts w:hint="eastAsia" w:ascii="方正仿宋简体" w:hAnsi="Calibri" w:eastAsia="方正仿宋简体" w:cs="Times New Roman"/>
          <w:b/>
          <w:color w:val="000000" w:themeColor="text1"/>
          <w:kern w:val="2"/>
          <w:sz w:val="32"/>
          <w:szCs w:val="32"/>
          <w:lang w:val="en-US" w:eastAsia="zh-CN" w:bidi="ar-SA"/>
        </w:rPr>
        <w:t xml:space="preserve"> 济宁市住房公积金管理中心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sz w:val="32"/>
          <w:szCs w:val="32"/>
          <w:shd w:val="clear" w:color="auto" w:fill="FFFFFF"/>
        </w:rPr>
        <w:t xml:space="preserve">                         </w:t>
      </w:r>
      <w:r>
        <w:rPr>
          <w:rFonts w:hint="eastAsia" w:ascii="方正仿宋简体" w:hAnsi="Calibri" w:eastAsia="方正仿宋简体" w:cs="Times New Roman"/>
          <w:b/>
          <w:color w:val="000000" w:themeColor="text1"/>
          <w:kern w:val="2"/>
          <w:sz w:val="32"/>
          <w:szCs w:val="32"/>
          <w:lang w:val="en-US" w:eastAsia="zh-CN" w:bidi="ar-SA"/>
        </w:rPr>
        <w:t>2024年1月</w:t>
      </w:r>
      <w:r>
        <w:rPr>
          <w:rFonts w:hint="default" w:ascii="方正仿宋简体" w:hAnsi="Calibri" w:eastAsia="方正仿宋简体" w:cs="Times New Roman"/>
          <w:b/>
          <w:color w:val="000000" w:themeColor="text1"/>
          <w:kern w:val="2"/>
          <w:sz w:val="32"/>
          <w:szCs w:val="32"/>
          <w:lang w:val="en" w:eastAsia="zh-CN" w:bidi="ar-SA"/>
        </w:rPr>
        <w:t>2</w:t>
      </w:r>
      <w:r>
        <w:rPr>
          <w:rFonts w:hint="eastAsia" w:ascii="方正仿宋简体" w:hAnsi="Calibri" w:eastAsia="方正仿宋简体" w:cs="Times New Roman"/>
          <w:b/>
          <w:color w:val="000000" w:themeColor="text1"/>
          <w:kern w:val="2"/>
          <w:sz w:val="32"/>
          <w:szCs w:val="32"/>
          <w:lang w:val="en-US" w:eastAsia="zh-CN" w:bidi="ar-SA"/>
        </w:rPr>
        <w:t>9日</w:t>
      </w:r>
    </w:p>
    <w:sectPr>
      <w:pgSz w:w="11906" w:h="16838"/>
      <w:pgMar w:top="1417"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Yu Mincho Light">
    <w:altName w:val="方正书宋_GBK"/>
    <w:panose1 w:val="00000000000000000000"/>
    <w:charset w:val="80"/>
    <w:family w:val="roman"/>
    <w:pitch w:val="default"/>
    <w:sig w:usb0="00000000" w:usb1="00000000" w:usb2="00000010" w:usb3="00000000" w:csb0="0002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B2098"/>
    <w:rsid w:val="0044316C"/>
    <w:rsid w:val="004544DF"/>
    <w:rsid w:val="00491960"/>
    <w:rsid w:val="005237DC"/>
    <w:rsid w:val="005C7EDD"/>
    <w:rsid w:val="005D38DA"/>
    <w:rsid w:val="00950F2E"/>
    <w:rsid w:val="00A11E50"/>
    <w:rsid w:val="00A839D5"/>
    <w:rsid w:val="00C654C5"/>
    <w:rsid w:val="00D93D70"/>
    <w:rsid w:val="0E757CFF"/>
    <w:rsid w:val="0FF23143"/>
    <w:rsid w:val="16DFEC19"/>
    <w:rsid w:val="16F54EAA"/>
    <w:rsid w:val="17C59877"/>
    <w:rsid w:val="17F9C742"/>
    <w:rsid w:val="1BF7CB7B"/>
    <w:rsid w:val="1D9AED25"/>
    <w:rsid w:val="1DDF0817"/>
    <w:rsid w:val="1FDDB556"/>
    <w:rsid w:val="24377C6C"/>
    <w:rsid w:val="25F98FC9"/>
    <w:rsid w:val="2FDFAFA6"/>
    <w:rsid w:val="2FFB1759"/>
    <w:rsid w:val="2FFFF99C"/>
    <w:rsid w:val="3B9E6144"/>
    <w:rsid w:val="3BFDDADE"/>
    <w:rsid w:val="3D953977"/>
    <w:rsid w:val="3E53CA76"/>
    <w:rsid w:val="3E7F6D24"/>
    <w:rsid w:val="3EFEB671"/>
    <w:rsid w:val="3EFFB063"/>
    <w:rsid w:val="3F3C2EE9"/>
    <w:rsid w:val="3F67B564"/>
    <w:rsid w:val="3F7B474F"/>
    <w:rsid w:val="3F7EB65E"/>
    <w:rsid w:val="3F96D535"/>
    <w:rsid w:val="3F9B1B62"/>
    <w:rsid w:val="3FB53A77"/>
    <w:rsid w:val="3FF71AFE"/>
    <w:rsid w:val="3FFD0A85"/>
    <w:rsid w:val="3FFD5A15"/>
    <w:rsid w:val="3FFDA3DB"/>
    <w:rsid w:val="47BDAF85"/>
    <w:rsid w:val="48CEFA3C"/>
    <w:rsid w:val="4D4AD7AB"/>
    <w:rsid w:val="4E684E73"/>
    <w:rsid w:val="4FE334AE"/>
    <w:rsid w:val="53EFEEA3"/>
    <w:rsid w:val="55FBD72F"/>
    <w:rsid w:val="565A8DC5"/>
    <w:rsid w:val="59DBCB9A"/>
    <w:rsid w:val="59FC534D"/>
    <w:rsid w:val="5A77EDFF"/>
    <w:rsid w:val="5CBF2E0C"/>
    <w:rsid w:val="5EFA22FD"/>
    <w:rsid w:val="5EFE64B3"/>
    <w:rsid w:val="5FA31D08"/>
    <w:rsid w:val="5FED3C9C"/>
    <w:rsid w:val="5FFC2BA0"/>
    <w:rsid w:val="5FFF5763"/>
    <w:rsid w:val="5FFF977D"/>
    <w:rsid w:val="66C90C3F"/>
    <w:rsid w:val="67F1A8F7"/>
    <w:rsid w:val="684FC6E4"/>
    <w:rsid w:val="69C6FD46"/>
    <w:rsid w:val="6B5A42B8"/>
    <w:rsid w:val="6BFE0581"/>
    <w:rsid w:val="6EFF63BB"/>
    <w:rsid w:val="6FAF2395"/>
    <w:rsid w:val="6FAF77DD"/>
    <w:rsid w:val="6FF36BD8"/>
    <w:rsid w:val="6FFDE101"/>
    <w:rsid w:val="75D622A7"/>
    <w:rsid w:val="76EFC65E"/>
    <w:rsid w:val="777F2B5C"/>
    <w:rsid w:val="777F4596"/>
    <w:rsid w:val="77BB4359"/>
    <w:rsid w:val="77CDD7E3"/>
    <w:rsid w:val="77FD316A"/>
    <w:rsid w:val="77FFC739"/>
    <w:rsid w:val="783FCC21"/>
    <w:rsid w:val="79F74271"/>
    <w:rsid w:val="7A5FF987"/>
    <w:rsid w:val="7AEBA585"/>
    <w:rsid w:val="7B79E88C"/>
    <w:rsid w:val="7BDA3F77"/>
    <w:rsid w:val="7BEB24D1"/>
    <w:rsid w:val="7BFBF647"/>
    <w:rsid w:val="7CDBF945"/>
    <w:rsid w:val="7D3F99C5"/>
    <w:rsid w:val="7DB720DE"/>
    <w:rsid w:val="7DBE141B"/>
    <w:rsid w:val="7DFFAF79"/>
    <w:rsid w:val="7E5950DB"/>
    <w:rsid w:val="7E7759AB"/>
    <w:rsid w:val="7EDEC783"/>
    <w:rsid w:val="7F4D5E76"/>
    <w:rsid w:val="7F5AAF19"/>
    <w:rsid w:val="7F5D1C12"/>
    <w:rsid w:val="7F774F8B"/>
    <w:rsid w:val="7F9616D3"/>
    <w:rsid w:val="7FBD2D49"/>
    <w:rsid w:val="7FBFB36E"/>
    <w:rsid w:val="7FEE4873"/>
    <w:rsid w:val="7FF534EC"/>
    <w:rsid w:val="7FF67A42"/>
    <w:rsid w:val="7FFBAE98"/>
    <w:rsid w:val="7FFFD183"/>
    <w:rsid w:val="82DB766C"/>
    <w:rsid w:val="97FF25F8"/>
    <w:rsid w:val="9CCF9615"/>
    <w:rsid w:val="9FED0A6C"/>
    <w:rsid w:val="A3BBCA2F"/>
    <w:rsid w:val="A7FF8A33"/>
    <w:rsid w:val="ABD72CD4"/>
    <w:rsid w:val="ACB9DFCF"/>
    <w:rsid w:val="AF54718F"/>
    <w:rsid w:val="AFBF54A8"/>
    <w:rsid w:val="AFFE9DC8"/>
    <w:rsid w:val="B5572430"/>
    <w:rsid w:val="B57F314B"/>
    <w:rsid w:val="B76724DE"/>
    <w:rsid w:val="B93D9F7E"/>
    <w:rsid w:val="BAFFDF30"/>
    <w:rsid w:val="BBEF12E2"/>
    <w:rsid w:val="BC614D12"/>
    <w:rsid w:val="BC7A3A18"/>
    <w:rsid w:val="BDEC054A"/>
    <w:rsid w:val="BE3D824E"/>
    <w:rsid w:val="BF57F61E"/>
    <w:rsid w:val="BF7F5E76"/>
    <w:rsid w:val="BFE7B169"/>
    <w:rsid w:val="BFEF04B6"/>
    <w:rsid w:val="BFF32753"/>
    <w:rsid w:val="BFFFFC74"/>
    <w:rsid w:val="CBFF5B9E"/>
    <w:rsid w:val="CCCB13FF"/>
    <w:rsid w:val="CFBDC6E7"/>
    <w:rsid w:val="D3ED93FE"/>
    <w:rsid w:val="D3FEE33A"/>
    <w:rsid w:val="D438704D"/>
    <w:rsid w:val="D71FFBFA"/>
    <w:rsid w:val="D75329EF"/>
    <w:rsid w:val="D7ACDDA4"/>
    <w:rsid w:val="D7BD38BD"/>
    <w:rsid w:val="D8D3B1FF"/>
    <w:rsid w:val="DB5AFE8C"/>
    <w:rsid w:val="DBD23C55"/>
    <w:rsid w:val="DDB1CA62"/>
    <w:rsid w:val="DDCE6CD1"/>
    <w:rsid w:val="DDFB8B84"/>
    <w:rsid w:val="DE622378"/>
    <w:rsid w:val="DEF7EAD3"/>
    <w:rsid w:val="DF7F4C30"/>
    <w:rsid w:val="DFDD3C88"/>
    <w:rsid w:val="DFF2C479"/>
    <w:rsid w:val="E3F74BC6"/>
    <w:rsid w:val="E5FF3DD4"/>
    <w:rsid w:val="E67F51BB"/>
    <w:rsid w:val="E7FF2C03"/>
    <w:rsid w:val="E7FF3B69"/>
    <w:rsid w:val="E8FFB28D"/>
    <w:rsid w:val="EB7AA7BD"/>
    <w:rsid w:val="EBA7BED9"/>
    <w:rsid w:val="EBDF3B65"/>
    <w:rsid w:val="EBEFD3DF"/>
    <w:rsid w:val="EBFFEBD6"/>
    <w:rsid w:val="ECFF7280"/>
    <w:rsid w:val="EDBEE319"/>
    <w:rsid w:val="EEEF5E7A"/>
    <w:rsid w:val="EF3B29AB"/>
    <w:rsid w:val="EF5B9D70"/>
    <w:rsid w:val="EFDB917D"/>
    <w:rsid w:val="EFFBEE79"/>
    <w:rsid w:val="EFFC02BB"/>
    <w:rsid w:val="F4FF715B"/>
    <w:rsid w:val="F5E50778"/>
    <w:rsid w:val="F5EDDF9D"/>
    <w:rsid w:val="F5FEBAA6"/>
    <w:rsid w:val="F7BE5A4C"/>
    <w:rsid w:val="F7E5061D"/>
    <w:rsid w:val="F7F34FAF"/>
    <w:rsid w:val="F96F5148"/>
    <w:rsid w:val="FADB567F"/>
    <w:rsid w:val="FB7E2904"/>
    <w:rsid w:val="FBAFBCE4"/>
    <w:rsid w:val="FBDF5ECE"/>
    <w:rsid w:val="FC573370"/>
    <w:rsid w:val="FCFF5462"/>
    <w:rsid w:val="FD6FC755"/>
    <w:rsid w:val="FDB0AC22"/>
    <w:rsid w:val="FDDF8808"/>
    <w:rsid w:val="FDEE80BF"/>
    <w:rsid w:val="FDF70AD2"/>
    <w:rsid w:val="FDFF420B"/>
    <w:rsid w:val="FE0617BA"/>
    <w:rsid w:val="FE2FD262"/>
    <w:rsid w:val="FE598DD8"/>
    <w:rsid w:val="FE7FC90E"/>
    <w:rsid w:val="FEBF1367"/>
    <w:rsid w:val="FEBFE46C"/>
    <w:rsid w:val="FEDBC220"/>
    <w:rsid w:val="FEDFF94C"/>
    <w:rsid w:val="FEE69DFD"/>
    <w:rsid w:val="FEF5A61D"/>
    <w:rsid w:val="FF460500"/>
    <w:rsid w:val="FF5E42A1"/>
    <w:rsid w:val="FF77B95D"/>
    <w:rsid w:val="FF79BC8B"/>
    <w:rsid w:val="FF8546D7"/>
    <w:rsid w:val="FFADD0F8"/>
    <w:rsid w:val="FFB9267C"/>
    <w:rsid w:val="FFBA5BBF"/>
    <w:rsid w:val="FFBDD5F2"/>
    <w:rsid w:val="FFD41E21"/>
    <w:rsid w:val="FFDFC842"/>
    <w:rsid w:val="FFEB36E5"/>
    <w:rsid w:val="FFF7E801"/>
    <w:rsid w:val="FFFCB2D8"/>
    <w:rsid w:val="FFFF5FEC"/>
    <w:rsid w:val="FFFFE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cs="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Body Text First Indent 2"/>
    <w:basedOn w:val="3"/>
    <w:qFormat/>
    <w:uiPriority w:val="0"/>
    <w:pPr>
      <w:ind w:firstLine="420" w:firstLineChars="200"/>
    </w:pPr>
  </w:style>
  <w:style w:type="paragraph" w:styleId="5">
    <w:name w:val="footer"/>
    <w:basedOn w:val="1"/>
    <w:next w:val="1"/>
    <w:link w:val="12"/>
    <w:semiHidden/>
    <w:unhideWhenUsed/>
    <w:qFormat/>
    <w:uiPriority w:val="0"/>
    <w:pPr>
      <w:tabs>
        <w:tab w:val="center" w:pos="4153"/>
        <w:tab w:val="right" w:pos="8306"/>
      </w:tabs>
      <w:snapToGrid w:val="0"/>
      <w:jc w:val="left"/>
    </w:pPr>
    <w:rPr>
      <w:sz w:val="18"/>
      <w:szCs w:val="18"/>
    </w:rPr>
  </w:style>
  <w:style w:type="paragraph" w:styleId="6">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Strong"/>
    <w:basedOn w:val="9"/>
    <w:qFormat/>
    <w:uiPriority w:val="22"/>
    <w:rPr>
      <w:b/>
    </w:rPr>
  </w:style>
  <w:style w:type="character" w:customStyle="1" w:styleId="11">
    <w:name w:val="页眉 Char"/>
    <w:basedOn w:val="9"/>
    <w:link w:val="6"/>
    <w:semiHidden/>
    <w:qFormat/>
    <w:uiPriority w:val="0"/>
    <w:rPr>
      <w:kern w:val="2"/>
      <w:sz w:val="18"/>
      <w:szCs w:val="18"/>
    </w:rPr>
  </w:style>
  <w:style w:type="character" w:customStyle="1" w:styleId="12">
    <w:name w:val="页脚 Char"/>
    <w:basedOn w:val="9"/>
    <w:link w:val="5"/>
    <w:semiHidden/>
    <w:qFormat/>
    <w:uiPriority w:val="0"/>
    <w:rPr>
      <w:kern w:val="2"/>
      <w:sz w:val="18"/>
      <w:szCs w:val="18"/>
    </w:rPr>
  </w:style>
  <w:style w:type="character" w:customStyle="1" w:styleId="13">
    <w:name w:val="标题 1 Char"/>
    <w:basedOn w:val="9"/>
    <w:link w:val="2"/>
    <w:qFormat/>
    <w:uiPriority w:val="99"/>
    <w:rPr>
      <w:rFonts w:ascii="宋体" w:hAnsi="宋体" w:cs="宋体"/>
      <w:b/>
      <w:bCs/>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721</Words>
  <Characters>4115</Characters>
  <Lines>34</Lines>
  <Paragraphs>9</Paragraphs>
  <TotalTime>17</TotalTime>
  <ScaleCrop>false</ScaleCrop>
  <LinksUpToDate>false</LinksUpToDate>
  <CharactersWithSpaces>4827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2019-08-22T08:25:00Z</dcterms:created>
  <dc:creator>Administrator</dc:creator>
  <cp:lastModifiedBy>thtf</cp:lastModifiedBy>
  <cp:lastPrinted>2023-01-29T00:36:00Z</cp:lastPrinted>
  <dcterms:modified xsi:type="dcterms:W3CDTF">2024-01-29T10:14:04Z</dcterms:modified>
  <dc:title>济宁市住房公积金管理中心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D2AF387262D4A403B761B36541884933</vt:lpwstr>
  </property>
</Properties>
</file>