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jc w:val="center"/>
        <w:rPr>
          <w:rFonts w:hint="default" w:ascii="Times New Roman" w:hAnsi="Times New Roman" w:eastAsia="方正小标宋简体" w:cs="Times New Roman"/>
          <w:color w:val="FF0000"/>
          <w:spacing w:val="180"/>
          <w:sz w:val="56"/>
          <w:szCs w:val="66"/>
        </w:rPr>
      </w:pPr>
      <w:r>
        <w:rPr>
          <w:rFonts w:hint="default" w:ascii="Times New Roman" w:hAnsi="Times New Roman" w:eastAsia="方正小标宋简体" w:cs="Times New Roman"/>
          <w:color w:val="FF0000"/>
          <w:spacing w:val="180"/>
          <w:sz w:val="56"/>
          <w:szCs w:val="66"/>
        </w:rPr>
        <w:t>山东省济宁市教育</w:t>
      </w:r>
      <w:r>
        <w:rPr>
          <w:rFonts w:hint="default" w:ascii="Times New Roman" w:hAnsi="Times New Roman" w:eastAsia="方正小标宋简体" w:cs="Times New Roman"/>
          <w:color w:val="FF0000"/>
          <w:sz w:val="56"/>
          <w:szCs w:val="66"/>
        </w:rPr>
        <w:t>局</w:t>
      </w:r>
    </w:p>
    <w:p>
      <w:pPr>
        <w:keepNext w:val="0"/>
        <w:keepLines w:val="0"/>
        <w:pageBreakBefore w:val="0"/>
        <w:widowControl w:val="0"/>
        <w:shd w:val="clear"/>
        <w:kinsoku/>
        <w:wordWrap/>
        <w:overflowPunct/>
        <w:topLinePunct w:val="0"/>
        <w:autoSpaceDE/>
        <w:autoSpaceDN/>
        <w:bidi w:val="0"/>
        <w:adjustRightInd/>
        <w:snapToGrid/>
        <w:spacing w:line="100" w:lineRule="exact"/>
        <w:ind w:left="-178" w:leftChars="-85" w:right="-153" w:rightChars="-73"/>
        <w:jc w:val="center"/>
        <w:textAlignment w:val="auto"/>
        <w:rPr>
          <w:rFonts w:hint="default" w:ascii="Times New Roman" w:hAnsi="Times New Roman" w:eastAsia="方正小标宋简体" w:cs="Times New Roman"/>
          <w:color w:val="FF0000"/>
          <w:sz w:val="32"/>
          <w:szCs w:val="32"/>
        </w:rPr>
      </w:pPr>
      <w:r>
        <w:rPr>
          <w:rFonts w:hint="default" w:ascii="Times New Roman" w:hAnsi="Times New Roman" w:eastAsia="方正小标宋简体" w:cs="Times New Roman"/>
          <w:color w:val="FF0000"/>
          <w:spacing w:val="180"/>
          <w:sz w:val="56"/>
          <w:szCs w:val="66"/>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36195</wp:posOffset>
                </wp:positionV>
                <wp:extent cx="5715000" cy="0"/>
                <wp:effectExtent l="0" t="28575" r="0" b="28575"/>
                <wp:wrapNone/>
                <wp:docPr id="2" name="直接连接符 2"/>
                <wp:cNvGraphicFramePr/>
                <a:graphic xmlns:a="http://schemas.openxmlformats.org/drawingml/2006/main">
                  <a:graphicData uri="http://schemas.microsoft.com/office/word/2010/wordprocessingShape">
                    <wps:wsp>
                      <wps:cNvCnPr/>
                      <wps:spPr>
                        <a:xfrm flipV="true">
                          <a:off x="0" y="0"/>
                          <a:ext cx="5715000" cy="0"/>
                        </a:xfrm>
                        <a:prstGeom prst="line">
                          <a:avLst/>
                        </a:prstGeom>
                        <a:ln w="57150" cap="flat" cmpd="thinThick">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left:-17.85pt;margin-top:2.85pt;height:0pt;width:450pt;z-index:251659264;mso-width-relative:page;mso-height-relative:page;" filled="f" stroked="t" coordsize="21600,21600" o:gfxdata="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Hxk2UDWAAAABwEAAA8AAAAAAAAAAQAgAAAAOAAAAGRycy9kb3ducmV2&#10;LnhtbFBLAQIUABQAAAAIAIdO4kC/XKPf6AEAAK0DAAAOAAAAAAAAAAEAIAAAADsBAABkcnMvZTJv&#10;RG9jLnhtbFBLBQYAAAAABgAGAFkBAACVBQAAAAA=&#10;">
                <v:fill on="f" focussize="0,0"/>
                <v:stroke weight="4.5pt" color="#FF0000" linestyle="thinThick" joinstyle="round"/>
                <v:imagedata o:title=""/>
                <o:lock v:ext="edit" aspectratio="f"/>
              </v:line>
            </w:pict>
          </mc:Fallback>
        </mc:AlternateContent>
      </w:r>
    </w:p>
    <w:p>
      <w:pPr>
        <w:keepNext w:val="0"/>
        <w:keepLines w:val="0"/>
        <w:pageBreakBefore w:val="0"/>
        <w:widowControl w:val="0"/>
        <w:shd w:val="clear"/>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b/>
          <w:color w:val="FF0000"/>
          <w:sz w:val="32"/>
          <w:szCs w:val="32"/>
        </w:rPr>
      </w:pPr>
    </w:p>
    <w:p>
      <w:pPr>
        <w:keepNext w:val="0"/>
        <w:keepLines w:val="0"/>
        <w:pageBreakBefore w:val="0"/>
        <w:widowControl w:val="0"/>
        <w:suppressLineNumbers w:val="0"/>
        <w:shd w:val="clear"/>
        <w:kinsoku/>
        <w:wordWrap w:val="0"/>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pPr>
      <w:r>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t>济宁市教育局</w:t>
      </w:r>
    </w:p>
    <w:p>
      <w:pPr>
        <w:keepNext w:val="0"/>
        <w:keepLines w:val="0"/>
        <w:pageBreakBefore w:val="0"/>
        <w:widowControl w:val="0"/>
        <w:suppressLineNumbers w:val="0"/>
        <w:shd w:val="clear"/>
        <w:kinsoku/>
        <w:wordWrap w:val="0"/>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kern w:val="0"/>
          <w:sz w:val="44"/>
          <w:szCs w:val="44"/>
          <w:lang w:val="en-US" w:eastAsia="zh-CN" w:bidi="ar"/>
          <w14:textFill>
            <w14:solidFill>
              <w14:schemeClr w14:val="tx1"/>
            </w14:solidFill>
          </w14:textFill>
        </w:rPr>
        <w:t>2021年政府信息公开工作年度报告</w:t>
      </w:r>
    </w:p>
    <w:p>
      <w:pPr>
        <w:pStyle w:val="4"/>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255"/>
        <w:textAlignment w:val="auto"/>
        <w:rPr>
          <w:rFonts w:hint="default" w:ascii="Times New Roman" w:hAnsi="Times New Roman" w:cs="Times New Roman"/>
          <w:color w:val="333333"/>
          <w:sz w:val="24"/>
          <w:szCs w:val="24"/>
        </w:rPr>
      </w:pPr>
    </w:p>
    <w:p>
      <w:pPr>
        <w:keepNext w:val="0"/>
        <w:keepLines w:val="0"/>
        <w:pageBreakBefore w:val="0"/>
        <w:widowControl w:val="0"/>
        <w:shd w:val="clear"/>
        <w:kinsoku/>
        <w:wordWrap/>
        <w:overflowPunct/>
        <w:topLinePunct w:val="0"/>
        <w:autoSpaceDE/>
        <w:autoSpaceDN/>
        <w:bidi w:val="0"/>
        <w:adjustRightInd/>
        <w:snapToGrid/>
        <w:spacing w:line="600" w:lineRule="exact"/>
        <w:ind w:right="-105"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济宁市教育局</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shd w:val="clear"/>
        <w:kinsoku/>
        <w:wordWrap/>
        <w:overflowPunct/>
        <w:topLinePunct w:val="0"/>
        <w:autoSpaceDE/>
        <w:autoSpaceDN/>
        <w:bidi w:val="0"/>
        <w:adjustRightInd/>
        <w:snapToGrid/>
        <w:spacing w:line="600" w:lineRule="exact"/>
        <w:ind w:right="-105"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shd w:val="clear"/>
        <w:kinsoku/>
        <w:wordWrap/>
        <w:overflowPunct/>
        <w:topLinePunct w:val="0"/>
        <w:autoSpaceDE/>
        <w:autoSpaceDN/>
        <w:bidi w:val="0"/>
        <w:adjustRightInd/>
        <w:snapToGrid/>
        <w:spacing w:line="600" w:lineRule="exact"/>
        <w:ind w:right="-105" w:rightChars="-50" w:firstLine="642"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本报告所列数据的统计期限自2021年1月1日起至2021年12月31日止。本报告电子版可在</w:t>
      </w:r>
      <w:r>
        <w:rPr>
          <w:rFonts w:hint="default" w:ascii="Times New Roman" w:hAnsi="Times New Roman" w:eastAsia="方正仿宋简体" w:cs="Times New Roman"/>
          <w:b/>
          <w:bCs/>
          <w:sz w:val="32"/>
          <w:szCs w:val="32"/>
        </w:rPr>
        <w:t>济宁市人民政府</w:t>
      </w:r>
      <w:r>
        <w:rPr>
          <w:rFonts w:hint="default" w:ascii="Times New Roman" w:hAnsi="Times New Roman" w:eastAsia="方正仿宋简体" w:cs="Times New Roman"/>
          <w:b/>
          <w:color w:val="000000" w:themeColor="text1"/>
          <w:sz w:val="32"/>
          <w:szCs w:val="32"/>
          <w14:textFill>
            <w14:solidFill>
              <w14:schemeClr w14:val="tx1"/>
            </w14:solidFill>
          </w14:textFill>
        </w:rPr>
        <w:t>网站（http://www.jining.gov.cn/）</w:t>
      </w:r>
      <w:r>
        <w:rPr>
          <w:rFonts w:hint="eastAsia"/>
          <w:color w:val="FF0000"/>
        </w:rPr>
        <mc:AlternateContent>
          <mc:Choice Requires="wps">
            <w:drawing>
              <wp:anchor distT="0" distB="0" distL="114300" distR="114300" simplePos="0" relativeHeight="251662336" behindDoc="1" locked="0" layoutInCell="1" allowOverlap="1">
                <wp:simplePos x="0" y="0"/>
                <wp:positionH relativeFrom="column">
                  <wp:posOffset>914400</wp:posOffset>
                </wp:positionH>
                <wp:positionV relativeFrom="paragraph">
                  <wp:posOffset>9730740</wp:posOffset>
                </wp:positionV>
                <wp:extent cx="5713095" cy="0"/>
                <wp:effectExtent l="0" t="28575" r="1905" b="28575"/>
                <wp:wrapNone/>
                <wp:docPr id="5" name="直接连接符 5"/>
                <wp:cNvGraphicFramePr/>
                <a:graphic xmlns:a="http://schemas.openxmlformats.org/drawingml/2006/main">
                  <a:graphicData uri="http://schemas.microsoft.com/office/word/2010/wordprocessingShape">
                    <wps:wsp>
                      <wps:cNvCnPr/>
                      <wps:spPr>
                        <a:xfrm>
                          <a:off x="0" y="0"/>
                          <a:ext cx="5713095" cy="0"/>
                        </a:xfrm>
                        <a:prstGeom prst="line">
                          <a:avLst/>
                        </a:prstGeom>
                        <a:ln w="57150" cap="flat" cmpd="thinThick">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2pt;margin-top:766.2pt;height:0pt;width:449.85pt;z-index:-251654144;mso-width-relative:page;mso-height-relative:page;" filled="f" stroked="t" coordsize="21600,21600" o:gfxdata="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AL+a3jZAAAADgEAAA8AAAAAAAAAAQAgAAAAOAAAAGRycy9kb3ducmV2Lnht&#10;bFBLAQIUABQAAAAIAIdO4kDGLeAg4gEAAKADAAAOAAAAAAAAAAEAIAAAAD4BAABkcnMvZTJvRG9j&#10;LnhtbFBLBQYAAAAABgAGAFkBAACSBQAAAAA=&#10;">
                <v:fill on="f" focussize="0,0"/>
                <v:stroke weight="4.5pt" color="#FF0000" linestyle="thinThick" joinstyle="round"/>
                <v:imagedata o:title=""/>
                <o:lock v:ext="edit" aspectratio="f"/>
              </v:line>
            </w:pict>
          </mc:Fallback>
        </mc:AlternateContent>
      </w:r>
      <w:r>
        <w:rPr>
          <w:rFonts w:hint="default" w:ascii="Times New Roman" w:hAnsi="Times New Roman" w:eastAsia="方正仿宋简体" w:cs="Times New Roman"/>
          <w:b/>
          <w:color w:val="000000" w:themeColor="text1"/>
          <w:sz w:val="32"/>
          <w:szCs w:val="32"/>
          <w14:textFill>
            <w14:solidFill>
              <w14:schemeClr w14:val="tx1"/>
            </w14:solidFill>
          </w14:textFill>
        </w:rPr>
        <w:t>查阅或下载。如对本报告有疑问，请与</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济宁市教育局办公室</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济宁市太白湖区圣贤路</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7号</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2314365</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pStyle w:val="4"/>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0" w:firstLine="642" w:firstLineChars="200"/>
        <w:textAlignment w:val="auto"/>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Style w:val="7"/>
          <w:rFonts w:hint="default" w:ascii="Times New Roman" w:hAnsi="Times New Roman" w:eastAsia="方正黑体简体" w:cs="Times New Roman"/>
          <w:b/>
          <w:bCs w:val="0"/>
          <w:color w:val="000000" w:themeColor="text1"/>
          <w:sz w:val="32"/>
          <w:szCs w:val="32"/>
          <w14:textFill>
            <w14:solidFill>
              <w14:schemeClr w14:val="tx1"/>
            </w14:solidFill>
          </w14:textFill>
        </w:rPr>
        <w:t>一、总体情况</w:t>
      </w:r>
    </w:p>
    <w:p>
      <w:pPr>
        <w:pStyle w:val="4"/>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1</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年，济宁市教育局认真贯彻落实《中华人民共和国政府信息公开条例》，坚持“以</w:t>
      </w:r>
      <w:r>
        <w:rPr>
          <w:rFonts w:hint="default" w:ascii="Times New Roman" w:hAnsi="Times New Roman" w:eastAsia="方正小标宋简体" w:cs="Times New Roman"/>
          <w:color w:val="FF0000"/>
          <w:spacing w:val="180"/>
          <w:sz w:val="56"/>
          <w:szCs w:val="66"/>
        </w:rPr>
        <mc:AlternateContent>
          <mc:Choice Requires="wps">
            <w:drawing>
              <wp:anchor distT="0" distB="0" distL="114300" distR="114300" simplePos="0" relativeHeight="251663360" behindDoc="0" locked="0" layoutInCell="1" allowOverlap="1">
                <wp:simplePos x="0" y="0"/>
                <wp:positionH relativeFrom="column">
                  <wp:posOffset>-213995</wp:posOffset>
                </wp:positionH>
                <wp:positionV relativeFrom="paragraph">
                  <wp:posOffset>1328420</wp:posOffset>
                </wp:positionV>
                <wp:extent cx="5715000" cy="0"/>
                <wp:effectExtent l="0" t="28575" r="0" b="28575"/>
                <wp:wrapNone/>
                <wp:docPr id="6" name="直接连接符 6"/>
                <wp:cNvGraphicFramePr/>
                <a:graphic xmlns:a="http://schemas.openxmlformats.org/drawingml/2006/main">
                  <a:graphicData uri="http://schemas.microsoft.com/office/word/2010/wordprocessingShape">
                    <wps:wsp>
                      <wps:cNvCnPr/>
                      <wps:spPr>
                        <a:xfrm flipV="true">
                          <a:off x="0" y="0"/>
                          <a:ext cx="5715000" cy="0"/>
                        </a:xfrm>
                        <a:prstGeom prst="line">
                          <a:avLst/>
                        </a:prstGeom>
                        <a:ln w="57150" cap="flat" cmpd="thickThin">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left:-16.85pt;margin-top:104.6pt;height:0pt;width:450pt;z-index:251663360;mso-width-relative:page;mso-height-relative:page;" filled="f" stroked="t" coordsize="21600,21600" o:gfxdata="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BxAJD2QAAAAsBAAAPAAAAAAAAAAEAIAAAADgAAABkcnMvZG93bnJl&#10;di54bWxQSwECFAAUAAAACACHTuJAckfXieYBAACtAwAADgAAAAAAAAABACAAAAA+AQAAZHJzL2Uy&#10;b0RvYy54bWxQSwUGAAAAAAYABgBZAQAAlgUAAAAA&#10;">
                <v:fill on="f" focussize="0,0"/>
                <v:stroke weight="4.5pt" color="#FF0000" linestyle="thickThin" joinstyle="round"/>
                <v:imagedata o:title=""/>
                <o:lock v:ext="edit" aspectratio="f"/>
              </v:line>
            </w:pict>
          </mc:Fallback>
        </mc:AlternateConten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公开为常态、不公开为例外”，不断拓展主动公开内容，完善公开目录，依法依规做好主动公开工作，及时回应公众关切，不断提升政府信息公开工作力度和实效，切实保障了人民群众知情权、参与权和监督权，政府信息公开水平实现新的突破。</w:t>
      </w:r>
    </w:p>
    <w:p>
      <w:pPr>
        <w:pStyle w:val="4"/>
        <w:keepNext w:val="0"/>
        <w:keepLines w:val="0"/>
        <w:pageBreakBefore w:val="0"/>
        <w:widowControl w:val="0"/>
        <w:numPr>
          <w:ilvl w:val="0"/>
          <w:numId w:val="1"/>
        </w:numPr>
        <w:suppressLineNumbers w:val="0"/>
        <w:shd w:val="clear"/>
        <w:kinsoku/>
        <w:wordWrap w:val="0"/>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主动公开</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是会议公开。</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部门办公</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会议、专题会议除涉密、敏感内容外全公开，涉及重大民生事项的会议</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形成</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邀请利益相关方、公众、专家、媒体等列席政府会议的制度。202</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1</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市教育局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共召开</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8次部门办公</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会议，</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其中</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6次通过市</w:t>
      </w:r>
      <w:r>
        <w:rPr>
          <w:rFonts w:hint="default" w:ascii="Times New Roman" w:hAnsi="Times New Roman" w:eastAsia="方正仿宋简体" w:cs="Times New Roman"/>
          <w:b/>
          <w:bCs/>
          <w:sz w:val="32"/>
          <w:szCs w:val="32"/>
        </w:rPr>
        <w:t>政府</w:t>
      </w:r>
      <w:r>
        <w:rPr>
          <w:rFonts w:hint="default" w:ascii="Times New Roman" w:hAnsi="Times New Roman" w:eastAsia="方正仿宋简体" w:cs="Times New Roman"/>
          <w:b/>
          <w:bCs/>
          <w:sz w:val="32"/>
          <w:szCs w:val="32"/>
          <w:lang w:eastAsia="zh-CN"/>
        </w:rPr>
        <w:t>门户</w:t>
      </w:r>
      <w:r>
        <w:rPr>
          <w:rFonts w:hint="default" w:ascii="Times New Roman" w:hAnsi="Times New Roman" w:eastAsia="方正仿宋简体" w:cs="Times New Roman"/>
          <w:b/>
          <w:color w:val="000000" w:themeColor="text1"/>
          <w:sz w:val="32"/>
          <w:szCs w:val="32"/>
          <w14:textFill>
            <w14:solidFill>
              <w14:schemeClr w14:val="tx1"/>
            </w14:solidFill>
          </w14:textFill>
        </w:rPr>
        <w:t>网站</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向公众公开，全部进行图文解读。</w:t>
      </w:r>
    </w:p>
    <w:p>
      <w:pPr>
        <w:pStyle w:val="4"/>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二</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是重点领域信息公开。为做好相关重点领域工作，在市政府门户网站设立</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政府工作报告落实</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、公开承诺事项等专栏，将202</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1</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年涉及国计民生的重点项目的进展情况、取得成效、后续举措等进行逐项公开。</w:t>
      </w:r>
    </w:p>
    <w:p>
      <w:pPr>
        <w:pStyle w:val="4"/>
        <w:keepNext w:val="0"/>
        <w:keepLines w:val="0"/>
        <w:pageBreakBefore w:val="0"/>
        <w:widowControl w:val="0"/>
        <w:numPr>
          <w:ilvl w:val="0"/>
          <w:numId w:val="1"/>
        </w:numPr>
        <w:suppressLineNumbers w:val="0"/>
        <w:shd w:val="clear"/>
        <w:kinsoku/>
        <w:wordWrap w:val="0"/>
        <w:overflowPunct/>
        <w:topLinePunct w:val="0"/>
        <w:autoSpaceDE/>
        <w:autoSpaceDN/>
        <w:bidi w:val="0"/>
        <w:adjustRightInd/>
        <w:snapToGrid/>
        <w:spacing w:before="0" w:beforeAutospacing="0" w:after="0" w:afterAutospacing="0" w:line="600" w:lineRule="exact"/>
        <w:ind w:left="0" w:leftChars="0" w:right="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依申请公开</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认真落实</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政务信息公开有关</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要求，具体工作人员，定期登录济宁市互动交流平台，密切关注依申请公开情况。建立依申请公开接收、登记、办理、审核、答复、归档等工作流程。注重加强与申请人的主动沟通，做到依申请公开办理依法有据、严谨规范、慎重稳妥。</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2021年，我局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受理</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依申请</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公开</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5</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件，均在法定期限内予以答复</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，办结率为100%，</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未发生因依申请公开为由提起的行政复议和行政诉讼。</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910590</wp:posOffset>
            </wp:positionH>
            <wp:positionV relativeFrom="paragraph">
              <wp:posOffset>66675</wp:posOffset>
            </wp:positionV>
            <wp:extent cx="3566795" cy="2034540"/>
            <wp:effectExtent l="0" t="0" r="14605" b="3810"/>
            <wp:wrapTopAndBottom/>
            <wp:docPr id="3" name="图片 3" descr="微信图片_202201111712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微信图片_20220111171221"/>
                    <pic:cNvPicPr>
                      <a:picLocks noChangeAspect="true"/>
                    </pic:cNvPicPr>
                  </pic:nvPicPr>
                  <pic:blipFill>
                    <a:blip r:embed="rId5"/>
                    <a:stretch>
                      <a:fillRect/>
                    </a:stretch>
                  </pic:blipFill>
                  <pic:spPr>
                    <a:xfrm>
                      <a:off x="0" y="0"/>
                      <a:ext cx="3566795" cy="2034540"/>
                    </a:xfrm>
                    <a:prstGeom prst="rect">
                      <a:avLst/>
                    </a:prstGeom>
                  </pic:spPr>
                </pic:pic>
              </a:graphicData>
            </a:graphic>
          </wp:anchor>
        </w:drawing>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leftChars="0" w:right="0" w:rightChars="0" w:firstLine="642" w:firstLineChars="200"/>
        <w:jc w:val="both"/>
        <w:textAlignment w:val="auto"/>
        <w:rPr>
          <w:rFonts w:hint="default" w:ascii="Times New Roman" w:hAnsi="Times New Roman" w:eastAsia="方正仿宋简体" w:cs="Times New Roman"/>
          <w:b/>
          <w:bCs/>
          <w:color w:val="000000" w:themeColor="text1"/>
          <w:sz w:val="32"/>
          <w:szCs w:val="32"/>
          <w:shd w:val="clear" w:fill="FFFFFF"/>
          <w14:textFill>
            <w14:solidFill>
              <w14:schemeClr w14:val="tx1"/>
            </w14:solidFill>
          </w14:textFill>
        </w:rPr>
      </w:pPr>
      <w:r>
        <w:rPr>
          <w:rFonts w:hint="eastAsia" w:ascii="Times New Roman" w:hAnsi="Times New Roman" w:eastAsia="方正楷体简体" w:cs="Times New Roman"/>
          <w:b/>
          <w:bCs/>
          <w:sz w:val="32"/>
          <w:szCs w:val="32"/>
          <w:lang w:eastAsia="zh-CN"/>
        </w:rPr>
        <w:t>（三）</w:t>
      </w:r>
      <w:r>
        <w:rPr>
          <w:rFonts w:hint="default" w:ascii="Times New Roman" w:hAnsi="Times New Roman" w:eastAsia="方正楷体简体" w:cs="Times New Roman"/>
          <w:b/>
          <w:bCs/>
          <w:sz w:val="32"/>
          <w:szCs w:val="32"/>
        </w:rPr>
        <w:t>政府信息管理</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leftChars="0" w:right="0" w:rightChars="0" w:firstLine="642" w:firstLineChars="200"/>
        <w:jc w:val="both"/>
        <w:textAlignment w:val="auto"/>
        <w:rPr>
          <w:rFonts w:hint="default" w:ascii="Times New Roman" w:hAnsi="Times New Roman" w:eastAsia="方正仿宋简体" w:cs="Times New Roman"/>
          <w:b/>
          <w:bCs/>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color w:val="000000" w:themeColor="text1"/>
          <w:sz w:val="32"/>
          <w:szCs w:val="32"/>
          <w:shd w:val="clear" w:fill="FFFFFF"/>
          <w14:textFill>
            <w14:solidFill>
              <w14:schemeClr w14:val="tx1"/>
            </w14:solidFill>
          </w14:textFill>
        </w:rPr>
        <w:t>严格把关政府信息公开保密审查和监督检查，202</w:t>
      </w:r>
      <w:r>
        <w:rPr>
          <w:rFonts w:hint="default" w:ascii="Times New Roman" w:hAnsi="Times New Roman" w:eastAsia="方正仿宋简体" w:cs="Times New Roman"/>
          <w:b/>
          <w:bCs/>
          <w:color w:val="000000" w:themeColor="text1"/>
          <w:sz w:val="32"/>
          <w:szCs w:val="32"/>
          <w:shd w:val="clear" w:fill="FFFFFF"/>
          <w:lang w:val="en-US" w:eastAsia="zh-CN"/>
          <w14:textFill>
            <w14:solidFill>
              <w14:schemeClr w14:val="tx1"/>
            </w14:solidFill>
          </w14:textFill>
        </w:rPr>
        <w:t>1</w:t>
      </w:r>
      <w:r>
        <w:rPr>
          <w:rFonts w:hint="default" w:ascii="Times New Roman" w:hAnsi="Times New Roman" w:eastAsia="方正仿宋简体" w:cs="Times New Roman"/>
          <w:b/>
          <w:bCs/>
          <w:color w:val="000000" w:themeColor="text1"/>
          <w:sz w:val="32"/>
          <w:szCs w:val="32"/>
          <w:shd w:val="clear" w:fill="FFFFFF"/>
          <w14:textFill>
            <w14:solidFill>
              <w14:schemeClr w14:val="tx1"/>
            </w14:solidFill>
          </w14:textFill>
        </w:rPr>
        <w:t>年度无违反规定和失泄密情况。提高政府信息发布时效性与规范性，公文制发后及时在门户网站及政务新媒体予以发布，做到发布栏目规范，便于公众查询。做好门户网站自查自检工作，定期核查链接，修复安全漏洞，同步指导监督局属事业单位做好相关工作。</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leftChars="0" w:right="0" w:rightChars="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eastAsia" w:ascii="Times New Roman" w:hAnsi="Times New Roman" w:eastAsia="方正楷体简体" w:cs="Times New Roman"/>
          <w:b/>
          <w:bCs w:val="0"/>
          <w:color w:val="000000" w:themeColor="text1"/>
          <w:sz w:val="32"/>
          <w:szCs w:val="32"/>
          <w:shd w:val="clear" w:fill="FFFFFF"/>
          <w:lang w:eastAsia="zh-CN"/>
          <w14:textFill>
            <w14:solidFill>
              <w14:schemeClr w14:val="tx1"/>
            </w14:solidFill>
          </w14:textFill>
        </w:rPr>
        <w:t>（四）</w:t>
      </w: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平台建设</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leftChars="0"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2021年，市教育局实行多渠道公开政府信息，维护群众的知晓权，主要通过济宁市政府门户网站、济宁市教育局网站、“济宁教育发布”微信公众号、《济宁日报教育专刊》等渠道公开政府信息；依托微信公众号挂接济宁市教育民意通服务平台，结合行风热线栏目、济宁新闻网网络问政平台、社情民意调查中心等渠道，及时回应群众关切；整合全市教育行政部门和各级各类学校资源，建立起“1个信息管理平台</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1个微信公众号”的群众意见收集平台，家长在“平台上”提诉求，教育系统干部教师“平台下”服务，做好政策解读工作，增强政府信息公开的针对性、时效性。全年网站总访问量达到4557317次，微信号订阅人数达139580人，收到留言</w:t>
      </w:r>
      <w:r>
        <w:rPr>
          <w:rFonts w:hint="default" w:ascii="Times New Roman" w:hAnsi="Times New Roman" w:eastAsia="方正仿宋简体" w:cs="Times New Roman"/>
          <w:b/>
          <w:bCs w:val="0"/>
          <w:color w:val="000000" w:themeColor="text1"/>
          <w:sz w:val="32"/>
          <w:szCs w:val="32"/>
          <w:shd w:val="clear" w:fill="FFFFFF"/>
          <w:lang w:val="en-US" w:eastAsia="zh-CN"/>
          <w14:textFill>
            <w14:solidFill>
              <w14:schemeClr w14:val="tx1"/>
            </w14:solidFill>
          </w14:textFill>
        </w:rPr>
        <w:t>5119</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条，全部答复办结，平均办理时间1天。</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697865</wp:posOffset>
            </wp:positionH>
            <wp:positionV relativeFrom="paragraph">
              <wp:posOffset>38100</wp:posOffset>
            </wp:positionV>
            <wp:extent cx="3785870" cy="3037840"/>
            <wp:effectExtent l="0" t="0" r="5080" b="10160"/>
            <wp:wrapTopAndBottom/>
            <wp:docPr id="4" name="图片 4" descr="微信图片_2022011209285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微信图片_20220112092853"/>
                    <pic:cNvPicPr>
                      <a:picLocks noChangeAspect="true"/>
                    </pic:cNvPicPr>
                  </pic:nvPicPr>
                  <pic:blipFill>
                    <a:blip r:embed="rId6"/>
                    <a:srcRect t="2268" b="9071"/>
                    <a:stretch>
                      <a:fillRect/>
                    </a:stretch>
                  </pic:blipFill>
                  <pic:spPr>
                    <a:xfrm>
                      <a:off x="0" y="0"/>
                      <a:ext cx="3785870" cy="3037840"/>
                    </a:xfrm>
                    <a:prstGeom prst="rect">
                      <a:avLst/>
                    </a:prstGeom>
                  </pic:spPr>
                </pic:pic>
              </a:graphicData>
            </a:graphic>
          </wp:anchor>
        </w:drawing>
      </w:r>
      <w:r>
        <w:rPr>
          <w:rFonts w:hint="default" w:ascii="Times New Roman" w:hAnsi="Times New Roman" w:eastAsia="方正楷体简体" w:cs="Times New Roman"/>
          <w:b/>
          <w:bCs w:val="0"/>
          <w:color w:val="000000" w:themeColor="text1"/>
          <w:sz w:val="32"/>
          <w:szCs w:val="32"/>
          <w:shd w:val="clear" w:fill="FFFFFF"/>
          <w:lang w:eastAsia="zh-CN"/>
          <w14:textFill>
            <w14:solidFill>
              <w14:schemeClr w14:val="tx1"/>
            </w14:solidFill>
          </w14:textFill>
        </w:rPr>
        <w:t>（五）</w:t>
      </w:r>
      <w:r>
        <w:rPr>
          <w:rFonts w:hint="default" w:ascii="Times New Roman" w:hAnsi="Times New Roman" w:eastAsia="方正楷体简体" w:cs="Times New Roman"/>
          <w:b/>
          <w:bCs w:val="0"/>
          <w:color w:val="000000" w:themeColor="text1"/>
          <w:sz w:val="32"/>
          <w:szCs w:val="32"/>
          <w:shd w:val="clear" w:fill="FFFFFF"/>
          <w14:textFill>
            <w14:solidFill>
              <w14:schemeClr w14:val="tx1"/>
            </w14:solidFill>
          </w14:textFill>
        </w:rPr>
        <w:t>监督保障</w:t>
      </w:r>
    </w:p>
    <w:p>
      <w:pPr>
        <w:pStyle w:val="4"/>
        <w:keepNext w:val="0"/>
        <w:keepLines w:val="0"/>
        <w:pageBreakBefore w:val="0"/>
        <w:widowControl w:val="0"/>
        <w:numPr>
          <w:ilvl w:val="0"/>
          <w:numId w:val="0"/>
        </w:numPr>
        <w:suppressLineNumbers w:val="0"/>
        <w:shd w:val="clear"/>
        <w:kinsoku/>
        <w:wordWrap w:val="0"/>
        <w:overflowPunct/>
        <w:topLinePunct w:val="0"/>
        <w:autoSpaceDE/>
        <w:autoSpaceDN/>
        <w:bidi w:val="0"/>
        <w:adjustRightInd/>
        <w:snapToGrid/>
        <w:spacing w:before="0" w:beforeAutospacing="0" w:after="0" w:afterAutospacing="0" w:line="600" w:lineRule="exact"/>
        <w:ind w:right="0" w:rightChars="0" w:firstLine="642" w:firstLineChars="200"/>
        <w:jc w:val="both"/>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一是加强组织领导。市教育局领导对政府信息公开工作高度重视，依据局机构人员变化，及时调整政务公开工作领导小组</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并</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多次</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召开政务公开工作会议进行调度推进和安排部署。</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二</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是加大培训力度。建立以政务公开专题业务培训为主，微信群、面对面指导形式为辅的多元化培训机制，提高了全</w:t>
      </w:r>
      <w:r>
        <w:rPr>
          <w:rFonts w:hint="eastAsia"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政务公开工作水平。</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三</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是强化督导考核。充分利用</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市政府政务公开</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评估结果，将评估发现问题及时反馈各相关科室，并跟上督导，确保整改落实到位；强化日常督导</w:t>
      </w:r>
      <w:r>
        <w:rPr>
          <w:rFonts w:hint="default" w:ascii="Times New Roman" w:hAnsi="Times New Roman" w:eastAsia="方正仿宋简体" w:cs="Times New Roman"/>
          <w:b/>
          <w:bCs w:val="0"/>
          <w:color w:val="000000" w:themeColor="text1"/>
          <w:sz w:val="32"/>
          <w:szCs w:val="32"/>
          <w:shd w:val="clear" w:fill="FFFFFF"/>
          <w:lang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通过电话调度、重点督查等形式，强化对公开重点任务落实情况的调度检查和日常监督。</w:t>
      </w:r>
    </w:p>
    <w:p>
      <w:pPr>
        <w:pStyle w:val="4"/>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600" w:lineRule="exact"/>
        <w:ind w:left="255"/>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二、主动公开政府信息情况</w:t>
      </w:r>
    </w:p>
    <w:tbl>
      <w:tblPr>
        <w:tblStyle w:val="5"/>
        <w:tblW w:w="9104" w:type="dxa"/>
        <w:jc w:val="center"/>
        <w:shd w:val="clear" w:color="auto" w:fill="auto"/>
        <w:tblLayout w:type="fixed"/>
        <w:tblCellMar>
          <w:top w:w="15" w:type="dxa"/>
          <w:left w:w="15" w:type="dxa"/>
          <w:bottom w:w="15" w:type="dxa"/>
          <w:right w:w="15" w:type="dxa"/>
        </w:tblCellMar>
      </w:tblPr>
      <w:tblGrid>
        <w:gridCol w:w="3120"/>
        <w:gridCol w:w="2107"/>
        <w:gridCol w:w="1601"/>
        <w:gridCol w:w="2276"/>
      </w:tblGrid>
      <w:tr>
        <w:tblPrEx>
          <w:tblCellMar>
            <w:top w:w="15" w:type="dxa"/>
            <w:left w:w="15" w:type="dxa"/>
            <w:bottom w:w="15" w:type="dxa"/>
            <w:right w:w="15" w:type="dxa"/>
          </w:tblCellMar>
        </w:tblPrEx>
        <w:trPr>
          <w:trHeight w:val="495" w:hRule="atLeast"/>
          <w:jc w:val="center"/>
        </w:trPr>
        <w:tc>
          <w:tcPr>
            <w:tcW w:w="9104"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both"/>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auto"/>
                <w:sz w:val="24"/>
                <w:szCs w:val="24"/>
                <w:shd w:val="clear" w:fill="FFFFFF"/>
              </w:rPr>
              <w:t>第二十条第（一）项</w:t>
            </w:r>
          </w:p>
        </w:tc>
      </w:tr>
      <w:tr>
        <w:tblPrEx>
          <w:shd w:val="clear" w:color="auto" w:fill="auto"/>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both"/>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信息内容</w:t>
            </w:r>
          </w:p>
        </w:tc>
        <w:tc>
          <w:tcPr>
            <w:tcW w:w="21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本年新</w:t>
            </w: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制作数量</w:t>
            </w:r>
          </w:p>
        </w:tc>
        <w:tc>
          <w:tcPr>
            <w:tcW w:w="160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本年新</w:t>
            </w: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公开数量</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对外公开总</w:t>
            </w: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数量</w:t>
            </w:r>
          </w:p>
        </w:tc>
      </w:tr>
      <w:tr>
        <w:tblPrEx>
          <w:shd w:val="clear" w:color="auto" w:fill="auto"/>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both"/>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规章</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0</w:t>
            </w:r>
          </w:p>
        </w:tc>
      </w:tr>
      <w:tr>
        <w:tblPrEx>
          <w:shd w:val="clear" w:color="auto" w:fill="auto"/>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both"/>
              <w:textAlignment w:val="auto"/>
              <w:rPr>
                <w:rFonts w:hint="default" w:ascii="Times New Roman" w:hAnsi="Times New Roman" w:eastAsia="方正楷体简体" w:cs="Times New Roman"/>
                <w:b/>
                <w:bCs w:val="0"/>
                <w:color w:val="auto"/>
                <w:sz w:val="24"/>
                <w:szCs w:val="24"/>
                <w:shd w:val="clear" w:fill="FFFFFF"/>
              </w:rPr>
            </w:pPr>
            <w:r>
              <w:rPr>
                <w:rFonts w:hint="default" w:ascii="Times New Roman" w:hAnsi="Times New Roman" w:eastAsia="方正楷体简体" w:cs="Times New Roman"/>
                <w:b/>
                <w:bCs w:val="0"/>
                <w:color w:val="auto"/>
                <w:sz w:val="24"/>
                <w:szCs w:val="24"/>
                <w:shd w:val="clear" w:fill="FFFFFF"/>
              </w:rPr>
              <w:t>规范性文件</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lang w:val="en-US" w:eastAsia="zh-CN"/>
              </w:rPr>
            </w:pPr>
            <w:r>
              <w:rPr>
                <w:rFonts w:hint="default" w:ascii="Times New Roman" w:hAnsi="Times New Roman" w:eastAsia="方正楷体简体" w:cs="Times New Roman"/>
                <w:b/>
                <w:bCs w:val="0"/>
                <w:color w:val="auto"/>
                <w:sz w:val="24"/>
                <w:szCs w:val="24"/>
                <w:shd w:val="clear" w:fill="FFFFFF"/>
                <w:lang w:val="en-US" w:eastAsia="zh-CN"/>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lang w:val="en-US" w:eastAsia="zh-CN"/>
              </w:rPr>
            </w:pPr>
            <w:r>
              <w:rPr>
                <w:rFonts w:hint="default" w:ascii="Times New Roman" w:hAnsi="Times New Roman" w:eastAsia="方正楷体简体" w:cs="Times New Roman"/>
                <w:b/>
                <w:bCs w:val="0"/>
                <w:color w:val="auto"/>
                <w:sz w:val="24"/>
                <w:szCs w:val="24"/>
                <w:shd w:val="clear" w:fill="FFFFFF"/>
                <w:lang w:val="en-US" w:eastAsia="zh-CN"/>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auto"/>
                <w:sz w:val="24"/>
                <w:szCs w:val="24"/>
                <w:shd w:val="clear" w:fill="FFFFFF"/>
                <w:lang w:val="en-US" w:eastAsia="zh-CN"/>
              </w:rPr>
            </w:pPr>
            <w:r>
              <w:rPr>
                <w:rFonts w:hint="default" w:ascii="Times New Roman" w:hAnsi="Times New Roman" w:eastAsia="方正楷体简体" w:cs="Times New Roman"/>
                <w:b/>
                <w:bCs w:val="0"/>
                <w:color w:val="auto"/>
                <w:sz w:val="24"/>
                <w:szCs w:val="24"/>
                <w:shd w:val="clear" w:fill="FFFFFF"/>
                <w:lang w:val="en-US" w:eastAsia="zh-CN"/>
              </w:rPr>
              <w:t>0</w:t>
            </w:r>
          </w:p>
        </w:tc>
      </w:tr>
      <w:tr>
        <w:tblPrEx>
          <w:shd w:val="clear" w:color="auto" w:fill="auto"/>
          <w:tblCellMar>
            <w:top w:w="15" w:type="dxa"/>
            <w:left w:w="15" w:type="dxa"/>
            <w:bottom w:w="15" w:type="dxa"/>
            <w:right w:w="15" w:type="dxa"/>
          </w:tblCellMar>
        </w:tblPrEx>
        <w:trPr>
          <w:trHeight w:val="480"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both"/>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auto"/>
                <w:sz w:val="24"/>
                <w:szCs w:val="24"/>
                <w:shd w:val="clear" w:fill="FFFFFF"/>
              </w:rPr>
              <w:t>第二十条第（五）项</w:t>
            </w:r>
          </w:p>
        </w:tc>
      </w:tr>
      <w:tr>
        <w:tblPrEx>
          <w:shd w:val="clear" w:color="auto" w:fill="auto"/>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信息内容</w:t>
            </w:r>
          </w:p>
        </w:tc>
        <w:tc>
          <w:tcPr>
            <w:tcW w:w="21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上一年项目数量</w:t>
            </w:r>
          </w:p>
        </w:tc>
        <w:tc>
          <w:tcPr>
            <w:tcW w:w="160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本年增/减</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处理决定数量</w:t>
            </w:r>
          </w:p>
        </w:tc>
      </w:tr>
      <w:tr>
        <w:tblPrEx>
          <w:shd w:val="clear" w:color="auto" w:fill="auto"/>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行政许可</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r>
      <w:tr>
        <w:tblPrEx>
          <w:shd w:val="clear" w:color="auto" w:fill="auto"/>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其他对外管理服务事项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r>
      <w:tr>
        <w:tblPrEx>
          <w:shd w:val="clear" w:color="auto" w:fill="auto"/>
          <w:tblCellMar>
            <w:top w:w="15" w:type="dxa"/>
            <w:left w:w="15" w:type="dxa"/>
            <w:bottom w:w="15" w:type="dxa"/>
            <w:right w:w="15" w:type="dxa"/>
          </w:tblCellMar>
        </w:tblPrEx>
        <w:trPr>
          <w:trHeight w:val="405"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auto"/>
                <w:sz w:val="24"/>
                <w:szCs w:val="24"/>
                <w:shd w:val="clear" w:fill="FFFFFF"/>
              </w:rPr>
              <w:t>第二十条第（六）项</w:t>
            </w:r>
          </w:p>
        </w:tc>
      </w:tr>
      <w:tr>
        <w:tblPrEx>
          <w:shd w:val="clear" w:color="auto" w:fill="auto"/>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信息内容</w:t>
            </w:r>
          </w:p>
        </w:tc>
        <w:tc>
          <w:tcPr>
            <w:tcW w:w="21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上一年项目数量</w:t>
            </w:r>
          </w:p>
        </w:tc>
        <w:tc>
          <w:tcPr>
            <w:tcW w:w="160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本年增/减</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处理决定数量</w:t>
            </w:r>
          </w:p>
        </w:tc>
      </w:tr>
      <w:tr>
        <w:tblPrEx>
          <w:shd w:val="clear" w:color="auto" w:fill="auto"/>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行政处罚</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r>
      <w:tr>
        <w:tblPrEx>
          <w:shd w:val="clear" w:color="auto" w:fill="auto"/>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行政强制</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r>
      <w:tr>
        <w:tblPrEx>
          <w:shd w:val="clear" w:color="auto" w:fill="auto"/>
          <w:tblCellMar>
            <w:top w:w="15" w:type="dxa"/>
            <w:left w:w="15" w:type="dxa"/>
            <w:bottom w:w="15" w:type="dxa"/>
            <w:right w:w="15" w:type="dxa"/>
          </w:tblCellMar>
        </w:tblPrEx>
        <w:trPr>
          <w:trHeight w:val="480"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auto"/>
                <w:sz w:val="24"/>
                <w:szCs w:val="24"/>
                <w:shd w:val="clear" w:fill="FFFFFF"/>
              </w:rPr>
              <w:t>第二十条第（八）项</w:t>
            </w:r>
          </w:p>
        </w:tc>
      </w:tr>
      <w:tr>
        <w:tblPrEx>
          <w:shd w:val="clear" w:color="auto" w:fill="auto"/>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信息内容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上一年项目数量</w:t>
            </w:r>
          </w:p>
        </w:tc>
        <w:tc>
          <w:tcPr>
            <w:tcW w:w="3877"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本年增/减</w:t>
            </w:r>
          </w:p>
        </w:tc>
      </w:tr>
      <w:tr>
        <w:tblPrEx>
          <w:shd w:val="clear" w:color="auto" w:fill="auto"/>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行政事业性收费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c>
          <w:tcPr>
            <w:tcW w:w="3877"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0</w:t>
            </w:r>
          </w:p>
        </w:tc>
      </w:tr>
      <w:tr>
        <w:tblPrEx>
          <w:shd w:val="clear" w:color="auto" w:fill="auto"/>
          <w:tblCellMar>
            <w:top w:w="15" w:type="dxa"/>
            <w:left w:w="15" w:type="dxa"/>
            <w:bottom w:w="15" w:type="dxa"/>
            <w:right w:w="15" w:type="dxa"/>
          </w:tblCellMar>
        </w:tblPrEx>
        <w:trPr>
          <w:trHeight w:val="480"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auto"/>
                <w:sz w:val="24"/>
                <w:szCs w:val="24"/>
                <w:shd w:val="clear" w:fill="FFFFFF"/>
              </w:rPr>
              <w:t>第二十条第（九）项</w:t>
            </w:r>
          </w:p>
        </w:tc>
      </w:tr>
      <w:tr>
        <w:tblPrEx>
          <w:shd w:val="clear" w:color="auto" w:fill="auto"/>
          <w:tblCellMar>
            <w:top w:w="15" w:type="dxa"/>
            <w:left w:w="15" w:type="dxa"/>
            <w:bottom w:w="15" w:type="dxa"/>
            <w:right w:w="15"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信息内容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采购项目数量</w:t>
            </w:r>
          </w:p>
        </w:tc>
        <w:tc>
          <w:tcPr>
            <w:tcW w:w="3877"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采购总金额</w:t>
            </w:r>
          </w:p>
        </w:tc>
      </w:tr>
      <w:tr>
        <w:tblPrEx>
          <w:shd w:val="clear" w:color="auto" w:fill="auto"/>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left"/>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政府集中采购</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default" w:ascii="Times New Roman" w:hAnsi="Times New Roman" w:eastAsia="方正楷体简体" w:cs="Times New Roman"/>
                <w:b/>
                <w:bCs w:val="0"/>
                <w:color w:val="000000" w:themeColor="text1"/>
                <w:sz w:val="24"/>
                <w:szCs w:val="24"/>
                <w:shd w:val="clear" w:fill="FFFFFF"/>
                <w:lang w:val="en-US" w:eastAsia="zh-CN"/>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lang w:val="en-US" w:eastAsia="zh-CN"/>
                <w14:textFill>
                  <w14:solidFill>
                    <w14:schemeClr w14:val="tx1"/>
                  </w14:solidFill>
                </w14:textFill>
              </w:rPr>
              <w:t>2</w:t>
            </w:r>
          </w:p>
        </w:tc>
        <w:tc>
          <w:tcPr>
            <w:tcW w:w="3877"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400" w:lineRule="exact"/>
              <w:ind w:left="255" w:right="0" w:firstLine="420"/>
              <w:jc w:val="center"/>
              <w:textAlignment w:val="auto"/>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pPr>
            <w:r>
              <w:rPr>
                <w:rFonts w:hint="default" w:ascii="Times New Roman" w:hAnsi="Times New Roman" w:eastAsia="方正楷体简体" w:cs="Times New Roman"/>
                <w:b/>
                <w:bCs w:val="0"/>
                <w:color w:val="000000" w:themeColor="text1"/>
                <w:sz w:val="24"/>
                <w:szCs w:val="24"/>
                <w:shd w:val="clear" w:fill="FFFFFF"/>
                <w:lang w:val="en-US" w:eastAsia="zh-CN"/>
                <w14:textFill>
                  <w14:solidFill>
                    <w14:schemeClr w14:val="tx1"/>
                  </w14:solidFill>
                </w14:textFill>
              </w:rPr>
              <w:t>14</w:t>
            </w: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w:t>
            </w:r>
            <w:r>
              <w:rPr>
                <w:rFonts w:hint="default" w:ascii="Times New Roman" w:hAnsi="Times New Roman" w:eastAsia="方正楷体简体" w:cs="Times New Roman"/>
                <w:b/>
                <w:bCs w:val="0"/>
                <w:color w:val="000000" w:themeColor="text1"/>
                <w:sz w:val="24"/>
                <w:szCs w:val="24"/>
                <w:shd w:val="clear" w:fill="FFFFFF"/>
                <w:lang w:val="en-US" w:eastAsia="zh-CN"/>
                <w14:textFill>
                  <w14:solidFill>
                    <w14:schemeClr w14:val="tx1"/>
                  </w14:solidFill>
                </w14:textFill>
              </w:rPr>
              <w:t>91</w:t>
            </w:r>
            <w:r>
              <w:rPr>
                <w:rFonts w:hint="default" w:ascii="Times New Roman" w:hAnsi="Times New Roman" w:eastAsia="方正楷体简体" w:cs="Times New Roman"/>
                <w:b/>
                <w:bCs w:val="0"/>
                <w:color w:val="000000" w:themeColor="text1"/>
                <w:sz w:val="24"/>
                <w:szCs w:val="24"/>
                <w:shd w:val="clear" w:fill="FFFFFF"/>
                <w14:textFill>
                  <w14:solidFill>
                    <w14:schemeClr w14:val="tx1"/>
                  </w14:solidFill>
                </w14:textFill>
              </w:rPr>
              <w:t>万元</w:t>
            </w:r>
          </w:p>
        </w:tc>
      </w:tr>
    </w:tbl>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22" w:firstLineChars="200"/>
        <w:textAlignment w:val="auto"/>
        <w:rPr>
          <w:rStyle w:val="7"/>
          <w:rFonts w:hint="default" w:ascii="Times New Roman" w:hAnsi="Times New Roman" w:eastAsia="方正黑体简体" w:cs="Times New Roman"/>
          <w:b/>
          <w:bCs w:val="0"/>
          <w:color w:val="333333"/>
          <w:sz w:val="31"/>
          <w:szCs w:val="31"/>
          <w:shd w:val="clear" w:fill="FFFFFF"/>
        </w:rPr>
      </w:pP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Style w:val="7"/>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Style w:val="7"/>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Style w:val="7"/>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Style w:val="7"/>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Style w:val="7"/>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pP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firstLine="642" w:firstLineChars="200"/>
        <w:textAlignment w:val="auto"/>
        <w:rPr>
          <w:rFonts w:hint="default" w:ascii="Times New Roman" w:hAnsi="Times New Roman" w:eastAsia="方正黑体简体" w:cs="Times New Roman"/>
          <w:b/>
          <w:bCs w:val="0"/>
          <w:color w:val="000000" w:themeColor="text1"/>
          <w:sz w:val="32"/>
          <w:szCs w:val="32"/>
          <w14:textFill>
            <w14:solidFill>
              <w14:schemeClr w14:val="tx1"/>
            </w14:solidFill>
          </w14:textFill>
        </w:rPr>
      </w:pPr>
      <w:r>
        <w:rPr>
          <w:rStyle w:val="7"/>
          <w:rFonts w:hint="default" w:ascii="Times New Roman" w:hAnsi="Times New Roman" w:eastAsia="方正黑体简体" w:cs="Times New Roman"/>
          <w:b/>
          <w:bCs w:val="0"/>
          <w:color w:val="000000" w:themeColor="text1"/>
          <w:sz w:val="32"/>
          <w:szCs w:val="32"/>
          <w:shd w:val="clear" w:fill="FFFFFF"/>
          <w14:textFill>
            <w14:solidFill>
              <w14:schemeClr w14:val="tx1"/>
            </w14:solidFill>
          </w14:textFill>
        </w:rPr>
        <w:t>三、收到和处理政府信息公开申请情况</w:t>
      </w:r>
    </w:p>
    <w:tbl>
      <w:tblPr>
        <w:tblStyle w:val="5"/>
        <w:tblW w:w="9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27"/>
        <w:gridCol w:w="826"/>
        <w:gridCol w:w="2443"/>
        <w:gridCol w:w="793"/>
        <w:gridCol w:w="758"/>
        <w:gridCol w:w="932"/>
        <w:gridCol w:w="674"/>
        <w:gridCol w:w="838"/>
        <w:gridCol w:w="67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096" w:type="dxa"/>
            <w:gridSpan w:val="3"/>
            <w:vMerge w:val="restart"/>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（本列数据的勾稽关系为：第一项加第二项之和，等于第三项加第四项之和）</w:t>
            </w:r>
          </w:p>
        </w:tc>
        <w:tc>
          <w:tcPr>
            <w:tcW w:w="5866" w:type="dxa"/>
            <w:gridSpan w:val="7"/>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3"/>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93" w:type="dxa"/>
            <w:vMerge w:val="restart"/>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自然人</w:t>
            </w:r>
          </w:p>
        </w:tc>
        <w:tc>
          <w:tcPr>
            <w:tcW w:w="3876" w:type="dxa"/>
            <w:gridSpan w:val="5"/>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法人或其他组织</w:t>
            </w:r>
          </w:p>
        </w:tc>
        <w:tc>
          <w:tcPr>
            <w:tcW w:w="1197" w:type="dxa"/>
            <w:vMerge w:val="restart"/>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3"/>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93" w:type="dxa"/>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58"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商业企业</w:t>
            </w:r>
          </w:p>
        </w:tc>
        <w:tc>
          <w:tcPr>
            <w:tcW w:w="932"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科研机构</w:t>
            </w:r>
          </w:p>
        </w:tc>
        <w:tc>
          <w:tcPr>
            <w:tcW w:w="674"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社会公益组织</w:t>
            </w:r>
          </w:p>
        </w:tc>
        <w:tc>
          <w:tcPr>
            <w:tcW w:w="838"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法律服务机构</w:t>
            </w:r>
          </w:p>
        </w:tc>
        <w:tc>
          <w:tcPr>
            <w:tcW w:w="674"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其他</w:t>
            </w:r>
          </w:p>
        </w:tc>
        <w:tc>
          <w:tcPr>
            <w:tcW w:w="1197" w:type="dxa"/>
            <w:vMerge w:val="continue"/>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3"/>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一、本年新收政府信息公开申请数量</w:t>
            </w:r>
          </w:p>
        </w:tc>
        <w:tc>
          <w:tcPr>
            <w:tcW w:w="793"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c>
          <w:tcPr>
            <w:tcW w:w="758"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3"/>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二、上年结转政府信息公开申请数量</w:t>
            </w:r>
          </w:p>
        </w:tc>
        <w:tc>
          <w:tcPr>
            <w:tcW w:w="793"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restart"/>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三、本年度办理结果</w:t>
            </w:r>
          </w:p>
        </w:tc>
        <w:tc>
          <w:tcPr>
            <w:tcW w:w="3269" w:type="dxa"/>
            <w:gridSpan w:val="2"/>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（一）予以公开</w:t>
            </w:r>
          </w:p>
        </w:tc>
        <w:tc>
          <w:tcPr>
            <w:tcW w:w="793"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2</w:t>
            </w:r>
          </w:p>
        </w:tc>
        <w:tc>
          <w:tcPr>
            <w:tcW w:w="758"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269"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（二）部分公开（区分处理的，只计这一情形，不计其他情形）</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（三）不予公开</w:t>
            </w: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1.属于国家秘密</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2.其他法律行政法规禁止公开</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3.危及“三安全一稳定”</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4.保护第三方合法权益</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5.属于三类内部事务信息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6.属于四类过程性信息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7.属于行政执法案卷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8.属于行政查询事项</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（四）无法提供</w:t>
            </w: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1.本机关不掌握相关政府信息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2.没有现成信息需要另行制作</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3.补正后申请内容仍不明确</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（五）不予处理</w:t>
            </w: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1.信访举报投诉类申请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2.重复申请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3.要求提供公开出版物</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4.无正当理由大量反复申请</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82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44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5.要求行政机关确认或重新出具已获取信息</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269"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（六）其他处理</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82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360" w:lineRule="exact"/>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269"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楷体" w:cs="Times New Roman"/>
                <w:b/>
                <w:bCs/>
                <w:color w:val="000000" w:themeColor="text1"/>
                <w:sz w:val="21"/>
                <w:szCs w:val="21"/>
                <w14:textFill>
                  <w14:solidFill>
                    <w14:schemeClr w14:val="tx1"/>
                  </w14:solidFill>
                </w14:textFill>
              </w:rPr>
              <w:t>（七）总计</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4096"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四、结转下年度继续办理</w:t>
            </w:r>
          </w:p>
        </w:tc>
        <w:tc>
          <w:tcPr>
            <w:tcW w:w="793"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75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932"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674"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c>
          <w:tcPr>
            <w:tcW w:w="1197"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0</w:t>
            </w:r>
          </w:p>
        </w:tc>
      </w:tr>
    </w:tbl>
    <w:tbl>
      <w:tblPr>
        <w:tblStyle w:val="5"/>
        <w:tblpPr w:leftFromText="180" w:rightFromText="180" w:vertAnchor="text" w:horzAnchor="page" w:tblpX="1175" w:tblpY="593"/>
        <w:tblOverlap w:val="never"/>
        <w:tblW w:w="979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75"/>
        <w:gridCol w:w="553"/>
        <w:gridCol w:w="553"/>
        <w:gridCol w:w="553"/>
        <w:gridCol w:w="611"/>
        <w:gridCol w:w="541"/>
        <w:gridCol w:w="554"/>
        <w:gridCol w:w="554"/>
        <w:gridCol w:w="576"/>
        <w:gridCol w:w="587"/>
        <w:gridCol w:w="576"/>
        <w:gridCol w:w="576"/>
        <w:gridCol w:w="576"/>
        <w:gridCol w:w="576"/>
        <w:gridCol w:w="11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4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行政复议</w:t>
            </w:r>
          </w:p>
        </w:tc>
        <w:tc>
          <w:tcPr>
            <w:tcW w:w="6252"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2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结果维持</w:t>
            </w:r>
          </w:p>
        </w:tc>
        <w:tc>
          <w:tcPr>
            <w:tcW w:w="553"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结果纠正</w:t>
            </w:r>
          </w:p>
        </w:tc>
        <w:tc>
          <w:tcPr>
            <w:tcW w:w="55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其他结果</w:t>
            </w:r>
          </w:p>
        </w:tc>
        <w:tc>
          <w:tcPr>
            <w:tcW w:w="55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尚未审结</w:t>
            </w:r>
          </w:p>
        </w:tc>
        <w:tc>
          <w:tcPr>
            <w:tcW w:w="611"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总计</w:t>
            </w:r>
          </w:p>
        </w:tc>
        <w:tc>
          <w:tcPr>
            <w:tcW w:w="2812"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未经复议直接起诉</w:t>
            </w:r>
          </w:p>
        </w:tc>
        <w:tc>
          <w:tcPr>
            <w:tcW w:w="344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12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53"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5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5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611"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shd w:val="clear"/>
              <w:kinsoku/>
              <w:wordWrap/>
              <w:overflowPunct/>
              <w:topLinePunct w:val="0"/>
              <w:autoSpaceDE/>
              <w:autoSpaceDN/>
              <w:bidi w:val="0"/>
              <w:adjustRightInd/>
              <w:snapToGrid/>
              <w:spacing w:line="400" w:lineRule="exact"/>
              <w:textAlignment w:val="auto"/>
              <w:rPr>
                <w:rFonts w:hint="default" w:ascii="Times New Roman" w:hAnsi="Times New Roman" w:cs="Times New Roman"/>
                <w:b/>
                <w:bCs/>
                <w:sz w:val="24"/>
                <w:szCs w:val="24"/>
              </w:rPr>
            </w:pPr>
          </w:p>
        </w:tc>
        <w:tc>
          <w:tcPr>
            <w:tcW w:w="5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结果维持</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结果纠正</w:t>
            </w:r>
          </w:p>
        </w:tc>
        <w:tc>
          <w:tcPr>
            <w:tcW w:w="55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其他结果</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尚未审结</w:t>
            </w:r>
          </w:p>
        </w:tc>
        <w:tc>
          <w:tcPr>
            <w:tcW w:w="58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总计</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结果维持</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结果纠正</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其他结果</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尚未审结</w:t>
            </w:r>
          </w:p>
        </w:tc>
        <w:tc>
          <w:tcPr>
            <w:tcW w:w="113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127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b/>
                <w:bCs/>
                <w:color w:val="333333"/>
                <w:sz w:val="24"/>
                <w:szCs w:val="24"/>
                <w:lang w:val="en-US" w:eastAsia="zh-CN"/>
              </w:rPr>
            </w:pPr>
            <w:r>
              <w:rPr>
                <w:rFonts w:hint="default" w:ascii="Times New Roman" w:hAnsi="Times New Roman" w:cs="Times New Roman"/>
                <w:b/>
                <w:bCs/>
                <w:color w:val="333333"/>
                <w:sz w:val="19"/>
                <w:szCs w:val="19"/>
                <w:lang w:val="en-US" w:eastAsia="zh-CN"/>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6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宋体" w:cs="Times New Roman"/>
                <w:b/>
                <w:bCs/>
                <w:color w:val="333333"/>
                <w:sz w:val="24"/>
                <w:szCs w:val="24"/>
                <w:lang w:val="en-US" w:eastAsia="zh-CN"/>
              </w:rPr>
            </w:pPr>
            <w:r>
              <w:rPr>
                <w:rFonts w:hint="default" w:ascii="Times New Roman" w:hAnsi="Times New Roman" w:cs="Times New Roman"/>
                <w:b/>
                <w:bCs/>
                <w:color w:val="333333"/>
                <w:sz w:val="24"/>
                <w:szCs w:val="24"/>
                <w:lang w:val="en-US" w:eastAsia="zh-CN"/>
              </w:rPr>
              <w:t>0</w:t>
            </w:r>
          </w:p>
        </w:tc>
        <w:tc>
          <w:tcPr>
            <w:tcW w:w="5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19"/>
                <w:szCs w:val="19"/>
              </w:rPr>
              <w:t>0</w:t>
            </w:r>
          </w:p>
        </w:tc>
        <w:tc>
          <w:tcPr>
            <w:tcW w:w="113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b/>
                <w:bCs/>
                <w:color w:val="333333"/>
                <w:sz w:val="24"/>
                <w:szCs w:val="24"/>
              </w:rPr>
            </w:pPr>
            <w:r>
              <w:rPr>
                <w:rFonts w:hint="default" w:ascii="Times New Roman" w:hAnsi="Times New Roman" w:eastAsia="宋体" w:cs="Times New Roman"/>
                <w:b/>
                <w:bCs/>
                <w:color w:val="333333"/>
                <w:sz w:val="24"/>
                <w:szCs w:val="24"/>
              </w:rPr>
              <w:t>0</w:t>
            </w:r>
          </w:p>
        </w:tc>
      </w:tr>
    </w:tbl>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Style w:val="7"/>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pPr>
      <w:r>
        <w:rPr>
          <w:rStyle w:val="7"/>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t>四、政府信息公开行政复议、行政诉讼情况</w:t>
      </w:r>
    </w:p>
    <w:p>
      <w:pPr>
        <w:pStyle w:val="4"/>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600" w:lineRule="exact"/>
        <w:ind w:left="256" w:right="0" w:firstLine="420"/>
        <w:jc w:val="both"/>
        <w:textAlignment w:val="auto"/>
        <w:rPr>
          <w:rFonts w:hint="default" w:ascii="Times New Roman" w:hAnsi="Times New Roman" w:eastAsia="方正黑体简体" w:cs="Times New Roman"/>
          <w:color w:val="000000" w:themeColor="text1"/>
          <w:sz w:val="32"/>
          <w:szCs w:val="32"/>
          <w14:textFill>
            <w14:solidFill>
              <w14:schemeClr w14:val="tx1"/>
            </w14:solidFill>
          </w14:textFill>
        </w:rPr>
      </w:pPr>
      <w:r>
        <w:rPr>
          <w:rStyle w:val="7"/>
          <w:rFonts w:hint="default" w:ascii="Times New Roman" w:hAnsi="Times New Roman" w:eastAsia="方正黑体简体" w:cs="Times New Roman"/>
          <w:b/>
          <w:color w:val="000000" w:themeColor="text1"/>
          <w:sz w:val="32"/>
          <w:szCs w:val="32"/>
          <w:shd w:val="clear" w:fill="FFFFFF"/>
          <w14:textFill>
            <w14:solidFill>
              <w14:schemeClr w14:val="tx1"/>
            </w14:solidFill>
          </w14:textFill>
        </w:rPr>
        <w:t>五、存在的主要问题及改进情况</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方正仿宋简体" w:cs="Times New Roman"/>
          <w:b/>
          <w:bCs/>
          <w:color w:val="000000" w:themeColor="text1"/>
          <w:sz w:val="32"/>
          <w:szCs w:val="32"/>
          <w14:textFill>
            <w14:solidFill>
              <w14:schemeClr w14:val="tx1"/>
            </w14:solidFill>
          </w14:textFill>
        </w:rPr>
        <w:t>年存在的主要问题</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有</w:t>
      </w:r>
      <w:r>
        <w:rPr>
          <w:rFonts w:hint="default" w:ascii="Times New Roman" w:hAnsi="Times New Roman" w:eastAsia="方正仿宋简体" w:cs="Times New Roman"/>
          <w:b/>
          <w:bCs/>
          <w:color w:val="000000" w:themeColor="text1"/>
          <w:sz w:val="32"/>
          <w:szCs w:val="32"/>
          <w14:textFill>
            <w14:solidFill>
              <w14:schemeClr w14:val="tx1"/>
            </w14:solidFill>
          </w14:textFill>
        </w:rPr>
        <w:t>：一是对部分信息是否可以公开、信息公开范围、公开程度把握不准，对政务公开的理解不到位。二是信息公开工作的长效机制需进一步完善，主动公开的意识有待增强；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三</w:t>
      </w:r>
      <w:r>
        <w:rPr>
          <w:rFonts w:hint="default" w:ascii="Times New Roman" w:hAnsi="Times New Roman" w:eastAsia="方正仿宋简体" w:cs="Times New Roman"/>
          <w:b/>
          <w:bCs/>
          <w:color w:val="000000" w:themeColor="text1"/>
          <w:sz w:val="32"/>
          <w:szCs w:val="32"/>
          <w14:textFill>
            <w14:solidFill>
              <w14:schemeClr w14:val="tx1"/>
            </w14:solidFill>
          </w14:textFill>
        </w:rPr>
        <w:t>是人员配置有待进一步强化，从事政务公开的人员变动较为频繁，队伍专业化程度不够强；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四</w:t>
      </w:r>
      <w:r>
        <w:rPr>
          <w:rFonts w:hint="default" w:ascii="Times New Roman" w:hAnsi="Times New Roman" w:eastAsia="方正仿宋简体" w:cs="Times New Roman"/>
          <w:b/>
          <w:bCs/>
          <w:color w:val="000000" w:themeColor="text1"/>
          <w:sz w:val="32"/>
          <w:szCs w:val="32"/>
          <w14:textFill>
            <w14:solidFill>
              <w14:schemeClr w14:val="tx1"/>
            </w14:solidFill>
          </w14:textFill>
        </w:rPr>
        <w:t>是目前本机关政策解读仍以图片和文字解读为主，政策解读的形式有待于进一步丰富。</w:t>
      </w:r>
    </w:p>
    <w:p>
      <w:pPr>
        <w:keepNext w:val="0"/>
        <w:keepLines w:val="0"/>
        <w:pageBreakBefore w:val="0"/>
        <w:widowControl w:val="0"/>
        <w:shd w:val="clear"/>
        <w:kinsoku/>
        <w:wordWrap/>
        <w:overflowPunct/>
        <w:topLinePunct w:val="0"/>
        <w:autoSpaceDE/>
        <w:autoSpaceDN/>
        <w:bidi w:val="0"/>
        <w:adjustRightInd/>
        <w:snapToGrid/>
        <w:spacing w:line="600" w:lineRule="exact"/>
        <w:ind w:firstLine="622" w:firstLineChars="200"/>
        <w:textAlignment w:val="auto"/>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针对存在的问题，</w:t>
      </w:r>
      <w:r>
        <w:rPr>
          <w:rFonts w:hint="default" w:ascii="Times New Roman" w:hAnsi="Times New Roman" w:eastAsia="方正仿宋简体" w:cs="Times New Roman"/>
          <w:b/>
          <w:bCs/>
          <w:color w:val="000000" w:themeColor="text1"/>
          <w:spacing w:val="0"/>
          <w:w w:val="100"/>
          <w:sz w:val="32"/>
          <w:szCs w:val="32"/>
          <w14:textFill>
            <w14:solidFill>
              <w14:schemeClr w14:val="tx1"/>
            </w14:solidFill>
          </w14:textFill>
        </w:rPr>
        <w:t>2021</w:t>
      </w: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年市教育局将进一步增强依法公开意识，完善工作制度，不断提升政务公开的广度和深度，努力提升政务公开工作实效，切实保障人民群众对教育的知情权、参与权、表达权和监督权。今后的工作中，我们将认真按照市政府的各项要求，做好以下几项工作：一是明确责任，进一步做好《中华人民共和国政府信息公开条例》的实施工作，持续将政府信息公开工作纳入考核项目，</w:t>
      </w:r>
      <w:r>
        <w:rPr>
          <w:rFonts w:hint="eastAsia" w:ascii="Times New Roman" w:hAnsi="Times New Roman" w:eastAsia="方正仿宋简体" w:cs="Times New Roman"/>
          <w:b/>
          <w:bCs/>
          <w:color w:val="000000" w:themeColor="text1"/>
          <w:spacing w:val="0"/>
          <w:w w:val="97"/>
          <w:sz w:val="32"/>
          <w:szCs w:val="32"/>
          <w:lang w:eastAsia="zh-CN"/>
          <w14:textFill>
            <w14:solidFill>
              <w14:schemeClr w14:val="tx1"/>
            </w14:solidFill>
          </w14:textFill>
        </w:rPr>
        <w:t>结合《山东省中等及中等以下学校信息公开办法》，</w:t>
      </w:r>
      <w:r>
        <w:rPr>
          <w:rFonts w:hint="default" w:ascii="Times New Roman" w:hAnsi="Times New Roman" w:eastAsia="方正仿宋简体" w:cs="Times New Roman"/>
          <w:b/>
          <w:bCs/>
          <w:color w:val="000000" w:themeColor="text1"/>
          <w:spacing w:val="0"/>
          <w:w w:val="97"/>
          <w:sz w:val="32"/>
          <w:szCs w:val="32"/>
          <w14:textFill>
            <w14:solidFill>
              <w14:schemeClr w14:val="tx1"/>
            </w14:solidFill>
          </w14:textFill>
        </w:rPr>
        <w:t>进一步做好全市教育系统信息公开工作；二是加强管理，进一步增强信息公开工作实效；三是加大宣传，提高信息公开的社会参与度。</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六、其他需要报告的事项</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市教育局在本年度未向信息公开申请人收取任何费用</w:t>
      </w:r>
      <w:r>
        <w:rPr>
          <w:rFonts w:hint="eastAsia" w:ascii="Times New Roman" w:hAnsi="Times New Roman" w:eastAsia="方正仿宋简体" w:cs="Times New Roman"/>
          <w:b/>
          <w:bCs/>
          <w:sz w:val="32"/>
          <w:szCs w:val="32"/>
          <w:lang w:eastAsia="zh-CN"/>
        </w:rPr>
        <w:t>。</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市教育局高度重视人大建议政协提案的办理工作，每年都将建议提案的办理列入重要议事日程，将认真办理人大建议政协提案作为拉近与人大代表政协委员了解教育支持教育的重要工作，努力提高人民群众对教育工作的满意度。202</w:t>
      </w:r>
      <w:r>
        <w:rPr>
          <w:rFonts w:hint="default"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年市教育局共收到人大建议</w:t>
      </w:r>
      <w:r>
        <w:rPr>
          <w:rFonts w:hint="default" w:ascii="Times New Roman" w:hAnsi="Times New Roman" w:eastAsia="方正仿宋简体" w:cs="Times New Roman"/>
          <w:b/>
          <w:bCs/>
          <w:sz w:val="32"/>
          <w:szCs w:val="32"/>
          <w:lang w:val="en-US" w:eastAsia="zh-CN"/>
        </w:rPr>
        <w:t>18</w:t>
      </w:r>
      <w:r>
        <w:rPr>
          <w:rFonts w:hint="default" w:ascii="Times New Roman" w:hAnsi="Times New Roman" w:eastAsia="方正仿宋简体" w:cs="Times New Roman"/>
          <w:b/>
          <w:bCs/>
          <w:sz w:val="32"/>
          <w:szCs w:val="32"/>
        </w:rPr>
        <w:t>件，政协提案4</w:t>
      </w:r>
      <w:r>
        <w:rPr>
          <w:rFonts w:hint="default"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rPr>
        <w:t>件，已经全部完成面对面答复，办结率100%</w:t>
      </w:r>
      <w:r>
        <w:rPr>
          <w:rFonts w:hint="eastAsia" w:ascii="Times New Roman" w:hAnsi="Times New Roman" w:eastAsia="方正仿宋简体" w:cs="Times New Roman"/>
          <w:b/>
          <w:bCs/>
          <w:sz w:val="32"/>
          <w:szCs w:val="32"/>
          <w:lang w:eastAsia="zh-CN"/>
        </w:rPr>
        <w:t>，市教育局荣获提案办理先进单位称号。</w:t>
      </w:r>
      <w:r>
        <w:rPr>
          <w:rFonts w:hint="default" w:ascii="Times New Roman" w:hAnsi="Times New Roman" w:eastAsia="方正仿宋简体" w:cs="Times New Roman"/>
          <w:b/>
          <w:bCs/>
          <w:spacing w:val="-2"/>
          <w:sz w:val="32"/>
          <w:szCs w:val="32"/>
        </w:rPr>
        <w:t>市教育局扎实推动直属各单位、市直各学校的信息公开工作，截至202</w:t>
      </w:r>
      <w:r>
        <w:rPr>
          <w:rFonts w:hint="default" w:ascii="Times New Roman" w:hAnsi="Times New Roman" w:eastAsia="方正仿宋简体" w:cs="Times New Roman"/>
          <w:b/>
          <w:bCs/>
          <w:spacing w:val="-2"/>
          <w:sz w:val="32"/>
          <w:szCs w:val="32"/>
          <w:lang w:val="en-US" w:eastAsia="zh-CN"/>
        </w:rPr>
        <w:t>1</w:t>
      </w:r>
      <w:r>
        <w:rPr>
          <w:rFonts w:hint="default" w:ascii="Times New Roman" w:hAnsi="Times New Roman" w:eastAsia="方正仿宋简体" w:cs="Times New Roman"/>
          <w:b/>
          <w:bCs/>
          <w:spacing w:val="-2"/>
          <w:sz w:val="32"/>
          <w:szCs w:val="32"/>
        </w:rPr>
        <w:t>年</w:t>
      </w:r>
      <w:r>
        <w:rPr>
          <w:rFonts w:hint="default" w:ascii="Times New Roman" w:hAnsi="Times New Roman" w:eastAsia="方正仿宋简体" w:cs="Times New Roman"/>
          <w:b/>
          <w:bCs/>
          <w:spacing w:val="-2"/>
          <w:sz w:val="32"/>
          <w:szCs w:val="32"/>
          <w:lang w:val="en-US" w:eastAsia="zh-CN"/>
        </w:rPr>
        <w:t>12</w:t>
      </w:r>
      <w:r>
        <w:rPr>
          <w:rFonts w:hint="default" w:ascii="Times New Roman" w:hAnsi="Times New Roman" w:eastAsia="方正仿宋简体" w:cs="Times New Roman"/>
          <w:b/>
          <w:bCs/>
          <w:spacing w:val="-2"/>
          <w:sz w:val="32"/>
          <w:szCs w:val="32"/>
        </w:rPr>
        <w:t>月</w:t>
      </w:r>
      <w:r>
        <w:rPr>
          <w:rFonts w:hint="default" w:ascii="Times New Roman" w:hAnsi="Times New Roman" w:eastAsia="方正仿宋简体" w:cs="Times New Roman"/>
          <w:b/>
          <w:bCs/>
          <w:spacing w:val="-2"/>
          <w:sz w:val="32"/>
          <w:szCs w:val="32"/>
          <w:lang w:val="en-US" w:eastAsia="zh-CN"/>
        </w:rPr>
        <w:t>31</w:t>
      </w:r>
      <w:r>
        <w:rPr>
          <w:rFonts w:hint="default" w:ascii="Times New Roman" w:hAnsi="Times New Roman" w:eastAsia="方正仿宋简体" w:cs="Times New Roman"/>
          <w:b/>
          <w:bCs/>
          <w:spacing w:val="-2"/>
          <w:sz w:val="32"/>
          <w:szCs w:val="32"/>
        </w:rPr>
        <w:t xml:space="preserve">日, </w:t>
      </w:r>
      <w:r>
        <w:rPr>
          <w:rFonts w:hint="default" w:ascii="Times New Roman" w:hAnsi="Times New Roman" w:eastAsia="方正仿宋简体" w:cs="Times New Roman"/>
          <w:b/>
          <w:bCs/>
          <w:color w:val="000000" w:themeColor="text1"/>
          <w:spacing w:val="-2"/>
          <w:sz w:val="32"/>
          <w:szCs w:val="32"/>
          <w14:textFill>
            <w14:solidFill>
              <w14:schemeClr w14:val="tx1"/>
            </w14:solidFill>
          </w14:textFill>
        </w:rPr>
        <w:t>直属各单位、市直各学校主动公开信息</w:t>
      </w:r>
      <w:r>
        <w:rPr>
          <w:rFonts w:hint="default" w:ascii="Times New Roman" w:hAnsi="Times New Roman" w:eastAsia="方正仿宋简体" w:cs="Times New Roman"/>
          <w:b/>
          <w:bCs/>
          <w:color w:val="000000" w:themeColor="text1"/>
          <w:spacing w:val="-2"/>
          <w:sz w:val="32"/>
          <w:szCs w:val="32"/>
          <w:lang w:val="en-US" w:eastAsia="zh-CN"/>
          <w14:textFill>
            <w14:solidFill>
              <w14:schemeClr w14:val="tx1"/>
            </w14:solidFill>
          </w14:textFill>
        </w:rPr>
        <w:t>7632</w:t>
      </w:r>
      <w:r>
        <w:rPr>
          <w:rFonts w:hint="default" w:ascii="Times New Roman" w:hAnsi="Times New Roman" w:eastAsia="方正仿宋简体" w:cs="Times New Roman"/>
          <w:b/>
          <w:bCs/>
          <w:color w:val="000000" w:themeColor="text1"/>
          <w:spacing w:val="-2"/>
          <w:sz w:val="32"/>
          <w:szCs w:val="32"/>
          <w14:textFill>
            <w14:solidFill>
              <w14:schemeClr w14:val="tx1"/>
            </w14:solidFill>
          </w14:textFill>
        </w:rPr>
        <w:t>条，其中，在网站公开信息</w:t>
      </w:r>
      <w:r>
        <w:rPr>
          <w:rFonts w:hint="default" w:ascii="Times New Roman" w:hAnsi="Times New Roman" w:eastAsia="方正仿宋简体" w:cs="Times New Roman"/>
          <w:b/>
          <w:bCs/>
          <w:color w:val="000000" w:themeColor="text1"/>
          <w:spacing w:val="-2"/>
          <w:sz w:val="32"/>
          <w:szCs w:val="32"/>
          <w:lang w:val="en-US" w:eastAsia="zh-CN"/>
          <w14:textFill>
            <w14:solidFill>
              <w14:schemeClr w14:val="tx1"/>
            </w14:solidFill>
          </w14:textFill>
        </w:rPr>
        <w:t>3825</w:t>
      </w:r>
      <w:r>
        <w:rPr>
          <w:rFonts w:hint="default" w:ascii="Times New Roman" w:hAnsi="Times New Roman" w:eastAsia="方正仿宋简体" w:cs="Times New Roman"/>
          <w:b/>
          <w:bCs/>
          <w:color w:val="000000" w:themeColor="text1"/>
          <w:spacing w:val="-2"/>
          <w:sz w:val="32"/>
          <w:szCs w:val="32"/>
          <w14:textFill>
            <w14:solidFill>
              <w14:schemeClr w14:val="tx1"/>
            </w14:solidFill>
          </w14:textFill>
        </w:rPr>
        <w:t>条，济宁微教育、美篇、济宁日报、济宁晚报等发布信息</w:t>
      </w:r>
      <w:r>
        <w:rPr>
          <w:rFonts w:hint="default" w:ascii="Times New Roman" w:hAnsi="Times New Roman" w:eastAsia="方正仿宋简体" w:cs="Times New Roman"/>
          <w:b/>
          <w:bCs/>
          <w:color w:val="000000" w:themeColor="text1"/>
          <w:spacing w:val="-2"/>
          <w:sz w:val="32"/>
          <w:szCs w:val="32"/>
          <w:lang w:val="en-US" w:eastAsia="zh-CN"/>
          <w14:textFill>
            <w14:solidFill>
              <w14:schemeClr w14:val="tx1"/>
            </w14:solidFill>
          </w14:textFill>
        </w:rPr>
        <w:t>3807</w:t>
      </w:r>
      <w:r>
        <w:rPr>
          <w:rFonts w:hint="default" w:ascii="Times New Roman" w:hAnsi="Times New Roman" w:eastAsia="方正仿宋简体" w:cs="Times New Roman"/>
          <w:b/>
          <w:bCs/>
          <w:color w:val="000000" w:themeColor="text1"/>
          <w:spacing w:val="-2"/>
          <w:sz w:val="32"/>
          <w:szCs w:val="32"/>
          <w14:textFill>
            <w14:solidFill>
              <w14:schemeClr w14:val="tx1"/>
            </w14:solidFill>
          </w14:textFill>
        </w:rPr>
        <w:t>条，</w:t>
      </w:r>
      <w:r>
        <w:rPr>
          <w:rFonts w:hint="default" w:ascii="Times New Roman" w:hAnsi="Times New Roman" w:eastAsia="方正仿宋简体" w:cs="Times New Roman"/>
          <w:b/>
          <w:bCs/>
          <w:spacing w:val="-2"/>
          <w:sz w:val="32"/>
          <w:szCs w:val="32"/>
        </w:rPr>
        <w:t>所公开的信息主要涵盖了学校概况、现行规章、学校发展规划与计划、教学科研管理、财务与资产管理、党的建设、党风廉政建设、干部人事与人才工作、基本建设与维修工程、招生工作、学校收费、学生工作、教职工管理与权益保障、安全管理制度、应急预案、其他事项等16个方面的内容,及时公开了群众关心的教育工作情况，搭建了家校合育的新桥梁。</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方正仿宋简体" w:cs="Times New Roman"/>
          <w:b/>
          <w:bCs/>
          <w:sz w:val="32"/>
          <w:szCs w:val="32"/>
        </w:rPr>
      </w:pPr>
    </w:p>
    <w:p>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eastAsia="zh-CN"/>
        </w:rPr>
        <w:t>济宁市教育局</w:t>
      </w:r>
    </w:p>
    <w:p>
      <w:pPr>
        <w:keepNext w:val="0"/>
        <w:keepLines w:val="0"/>
        <w:pageBreakBefore w:val="0"/>
        <w:widowControl w:val="0"/>
        <w:shd w:val="clear"/>
        <w:kinsoku/>
        <w:wordWrap/>
        <w:overflowPunct/>
        <w:topLinePunct w:val="0"/>
        <w:autoSpaceDE/>
        <w:autoSpaceDN/>
        <w:bidi w:val="0"/>
        <w:adjustRightInd/>
        <w:snapToGrid/>
        <w:spacing w:line="600" w:lineRule="exact"/>
        <w:ind w:firstLine="642" w:firstLineChars="200"/>
        <w:jc w:val="righ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2022年1月12日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2"/>
                            <w:rPr>
                              <w:rFonts w:hint="eastAsia" w:eastAsiaTheme="minorEastAsia"/>
                              <w:lang w:eastAsia="zh-CN"/>
                            </w:rPr>
                          </w:pPr>
                          <w:r>
                            <w:rPr>
                              <w:rFonts w:hint="eastAsia" w:ascii="仿宋_GB2312" w:hAnsi="仿宋_GB2312" w:eastAsia="仿宋_GB2312" w:cs="仿宋_GB2312"/>
                              <w:b/>
                              <w:bCs/>
                              <w:sz w:val="28"/>
                              <w:szCs w:val="28"/>
                              <w:lang w:eastAsia="zh-CN"/>
                            </w:rPr>
                            <w:fldChar w:fldCharType="begin"/>
                          </w:r>
                          <w:r>
                            <w:rPr>
                              <w:rFonts w:hint="eastAsia" w:ascii="仿宋_GB2312" w:hAnsi="仿宋_GB2312" w:eastAsia="仿宋_GB2312" w:cs="仿宋_GB2312"/>
                              <w:b/>
                              <w:bCs/>
                              <w:sz w:val="28"/>
                              <w:szCs w:val="28"/>
                              <w:lang w:eastAsia="zh-CN"/>
                            </w:rPr>
                            <w:instrText xml:space="preserve"> PAGE  \* MERGEFORMAT </w:instrText>
                          </w:r>
                          <w:r>
                            <w:rPr>
                              <w:rFonts w:hint="eastAsia" w:ascii="仿宋_GB2312" w:hAnsi="仿宋_GB2312" w:eastAsia="仿宋_GB2312" w:cs="仿宋_GB2312"/>
                              <w:b/>
                              <w:bCs/>
                              <w:sz w:val="28"/>
                              <w:szCs w:val="28"/>
                              <w:lang w:eastAsia="zh-CN"/>
                            </w:rPr>
                            <w:fldChar w:fldCharType="separate"/>
                          </w:r>
                          <w:r>
                            <w:rPr>
                              <w:rFonts w:hint="eastAsia" w:ascii="仿宋_GB2312" w:hAnsi="仿宋_GB2312" w:eastAsia="仿宋_GB2312" w:cs="仿宋_GB2312"/>
                              <w:b/>
                              <w:bCs/>
                              <w:sz w:val="28"/>
                              <w:szCs w:val="28"/>
                              <w:lang w:eastAsia="zh-CN"/>
                            </w:rPr>
                            <w:t>1</w:t>
                          </w:r>
                          <w:r>
                            <w:rPr>
                              <w:rFonts w:hint="eastAsia" w:ascii="仿宋_GB2312" w:hAnsi="仿宋_GB2312" w:eastAsia="仿宋_GB2312" w:cs="仿宋_GB2312"/>
                              <w:b/>
                              <w:bCs/>
                              <w:sz w:val="28"/>
                              <w:szCs w:val="28"/>
                              <w:lang w:eastAsia="zh-CN"/>
                            </w:rPr>
                            <w:fldChar w:fldCharType="end"/>
                          </w:r>
                        </w:p>
                      </w:txbxContent>
                    </wps:txbx>
                    <wps:bodyPr vert="horz" wrap="none" lIns="0" tIns="0" rIns="0" bIns="0" anchor="t"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DPfshyywEAAHIDAAAOAAAA&#10;AAAAAAEAIAAAADQBAABkcnMvZTJvRG9jLnhtbFBLBQYAAAAABgAGAFkBAABxBQAAAAA=&#10;">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ascii="仿宋_GB2312" w:hAnsi="仿宋_GB2312" w:eastAsia="仿宋_GB2312" w:cs="仿宋_GB2312"/>
                        <w:b/>
                        <w:bCs/>
                        <w:sz w:val="28"/>
                        <w:szCs w:val="28"/>
                        <w:lang w:eastAsia="zh-CN"/>
                      </w:rPr>
                      <w:fldChar w:fldCharType="begin"/>
                    </w:r>
                    <w:r>
                      <w:rPr>
                        <w:rFonts w:hint="eastAsia" w:ascii="仿宋_GB2312" w:hAnsi="仿宋_GB2312" w:eastAsia="仿宋_GB2312" w:cs="仿宋_GB2312"/>
                        <w:b/>
                        <w:bCs/>
                        <w:sz w:val="28"/>
                        <w:szCs w:val="28"/>
                        <w:lang w:eastAsia="zh-CN"/>
                      </w:rPr>
                      <w:instrText xml:space="preserve"> PAGE  \* MERGEFORMAT </w:instrText>
                    </w:r>
                    <w:r>
                      <w:rPr>
                        <w:rFonts w:hint="eastAsia" w:ascii="仿宋_GB2312" w:hAnsi="仿宋_GB2312" w:eastAsia="仿宋_GB2312" w:cs="仿宋_GB2312"/>
                        <w:b/>
                        <w:bCs/>
                        <w:sz w:val="28"/>
                        <w:szCs w:val="28"/>
                        <w:lang w:eastAsia="zh-CN"/>
                      </w:rPr>
                      <w:fldChar w:fldCharType="separate"/>
                    </w:r>
                    <w:r>
                      <w:rPr>
                        <w:rFonts w:hint="eastAsia" w:ascii="仿宋_GB2312" w:hAnsi="仿宋_GB2312" w:eastAsia="仿宋_GB2312" w:cs="仿宋_GB2312"/>
                        <w:b/>
                        <w:bCs/>
                        <w:sz w:val="28"/>
                        <w:szCs w:val="28"/>
                        <w:lang w:eastAsia="zh-CN"/>
                      </w:rPr>
                      <w:t>1</w:t>
                    </w:r>
                    <w:r>
                      <w:rPr>
                        <w:rFonts w:hint="eastAsia" w:ascii="仿宋_GB2312" w:hAnsi="仿宋_GB2312" w:eastAsia="仿宋_GB2312" w:cs="仿宋_GB2312"/>
                        <w:b/>
                        <w:bCs/>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83FAF"/>
    <w:multiLevelType w:val="singleLevel"/>
    <w:tmpl w:val="5FF83FA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0B"/>
    <w:rsid w:val="00027305"/>
    <w:rsid w:val="005529B1"/>
    <w:rsid w:val="00773E00"/>
    <w:rsid w:val="00C03E0B"/>
    <w:rsid w:val="00C66A22"/>
    <w:rsid w:val="00D9663E"/>
    <w:rsid w:val="00F45BBA"/>
    <w:rsid w:val="00FD6619"/>
    <w:rsid w:val="02E54EC2"/>
    <w:rsid w:val="04B37C8B"/>
    <w:rsid w:val="080F261A"/>
    <w:rsid w:val="0BE07CDB"/>
    <w:rsid w:val="11227E49"/>
    <w:rsid w:val="12294A96"/>
    <w:rsid w:val="14960B0D"/>
    <w:rsid w:val="159A2077"/>
    <w:rsid w:val="15EC153F"/>
    <w:rsid w:val="16962455"/>
    <w:rsid w:val="18D25736"/>
    <w:rsid w:val="1D230D33"/>
    <w:rsid w:val="1D694E78"/>
    <w:rsid w:val="1EC578F6"/>
    <w:rsid w:val="1F896D6A"/>
    <w:rsid w:val="22CF2CE6"/>
    <w:rsid w:val="235B6B53"/>
    <w:rsid w:val="24573CAB"/>
    <w:rsid w:val="27025DC8"/>
    <w:rsid w:val="27DD467A"/>
    <w:rsid w:val="2B9401AE"/>
    <w:rsid w:val="2BFB7F11"/>
    <w:rsid w:val="2E9D6D70"/>
    <w:rsid w:val="2F8B6DDD"/>
    <w:rsid w:val="300C37CC"/>
    <w:rsid w:val="31216E03"/>
    <w:rsid w:val="33B10912"/>
    <w:rsid w:val="34261564"/>
    <w:rsid w:val="37976998"/>
    <w:rsid w:val="37B0719F"/>
    <w:rsid w:val="388C7D87"/>
    <w:rsid w:val="38907BC9"/>
    <w:rsid w:val="3A2401F7"/>
    <w:rsid w:val="3A4246EC"/>
    <w:rsid w:val="3A4B1162"/>
    <w:rsid w:val="3B5051EC"/>
    <w:rsid w:val="3E910E16"/>
    <w:rsid w:val="41AD1C97"/>
    <w:rsid w:val="43194CE6"/>
    <w:rsid w:val="47A271BE"/>
    <w:rsid w:val="47FD3963"/>
    <w:rsid w:val="4C7A57C0"/>
    <w:rsid w:val="4C9C2080"/>
    <w:rsid w:val="4D0E5EE0"/>
    <w:rsid w:val="4FD16AEF"/>
    <w:rsid w:val="52D01608"/>
    <w:rsid w:val="53712025"/>
    <w:rsid w:val="546C3B80"/>
    <w:rsid w:val="57BF2645"/>
    <w:rsid w:val="5AA625A5"/>
    <w:rsid w:val="5CB305B1"/>
    <w:rsid w:val="5CBF2194"/>
    <w:rsid w:val="5D822525"/>
    <w:rsid w:val="5DF3340F"/>
    <w:rsid w:val="5F6E0E91"/>
    <w:rsid w:val="619C7C5C"/>
    <w:rsid w:val="64D83027"/>
    <w:rsid w:val="64FE474C"/>
    <w:rsid w:val="671910DE"/>
    <w:rsid w:val="6761434B"/>
    <w:rsid w:val="69313380"/>
    <w:rsid w:val="6A4C72CE"/>
    <w:rsid w:val="6C7D539C"/>
    <w:rsid w:val="6CC664D5"/>
    <w:rsid w:val="6F696E1A"/>
    <w:rsid w:val="702754DC"/>
    <w:rsid w:val="70A06274"/>
    <w:rsid w:val="70ED0E69"/>
    <w:rsid w:val="72D55DAC"/>
    <w:rsid w:val="72E77EDF"/>
    <w:rsid w:val="73520AC2"/>
    <w:rsid w:val="73B530C3"/>
    <w:rsid w:val="73C32BCA"/>
    <w:rsid w:val="797B891C"/>
    <w:rsid w:val="7AB61937"/>
    <w:rsid w:val="7C8C0001"/>
    <w:rsid w:val="7C9E4717"/>
    <w:rsid w:val="7CE0464F"/>
    <w:rsid w:val="7E5311F7"/>
    <w:rsid w:val="7E9FC249"/>
    <w:rsid w:val="7F296D60"/>
    <w:rsid w:val="7F9B3E10"/>
    <w:rsid w:val="DFBF7219"/>
    <w:rsid w:val="FF5FC206"/>
    <w:rsid w:val="FFBFE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character" w:styleId="7">
    <w:name w:val="Strong"/>
    <w:basedOn w:val="6"/>
    <w:qFormat/>
    <w:uiPriority w:val="22"/>
    <w:rPr>
      <w:b/>
    </w:rPr>
  </w:style>
  <w:style w:type="paragraph" w:customStyle="1" w:styleId="8">
    <w:name w:val="样式1"/>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64</Words>
  <Characters>367</Characters>
  <Lines>3</Lines>
  <Paragraphs>1</Paragraphs>
  <TotalTime>0</TotalTime>
  <ScaleCrop>false</ScaleCrop>
  <LinksUpToDate>false</LinksUpToDate>
  <CharactersWithSpaces>430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2021-06-21T09:13:00Z</dcterms:created>
  <dc:creator>微软用户</dc:creator>
  <cp:lastModifiedBy>user</cp:lastModifiedBy>
  <cp:lastPrinted>2022-01-13T10:58:00Z</cp:lastPrinted>
  <dcterms:modified xsi:type="dcterms:W3CDTF">2022-07-19T10:47:18Z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SaveFontToCloudKey">
    <vt:lpwstr>702540993_cloud</vt:lpwstr>
  </property>
  <property fmtid="{D5CDD505-2E9C-101B-9397-08002B2CF9AE}" pid="4" name="ICV">
    <vt:lpwstr>9C1FAB371FCA481799B26F49DE20802A</vt:lpwstr>
  </property>
</Properties>
</file>