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pPr>
      <w:r>
        <w:t>济宁市公共资源交易服务中心</w:t>
      </w:r>
    </w:p>
    <w:p>
      <w:pPr>
        <w:pStyle w:val="2"/>
        <w:bidi w:val="0"/>
      </w:pPr>
      <w:r>
        <w:t>202</w:t>
      </w:r>
      <w:r>
        <w:rPr>
          <w:rFonts w:hint="eastAsia"/>
          <w:lang w:val="en-US" w:eastAsia="zh-CN"/>
        </w:rPr>
        <w:t>3</w:t>
      </w:r>
      <w:r>
        <w:t>年政府信息公开工作年度报告</w:t>
      </w:r>
    </w:p>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本报告由济宁市公共资源交易服务中心按照《中华人民共和国政府信息公开条例》(国务院令第711号</w:t>
      </w:r>
      <w:r>
        <w:rPr>
          <w:rFonts w:hint="eastAsia" w:ascii="方正仿宋简体" w:hAnsi="方正仿宋简体" w:cs="方正仿宋简体"/>
          <w:sz w:val="32"/>
          <w:szCs w:val="32"/>
          <w:lang w:eastAsia="zh-CN"/>
        </w:rPr>
        <w:t>，</w:t>
      </w:r>
      <w:r>
        <w:rPr>
          <w:rFonts w:hint="eastAsia" w:ascii="方正仿宋简体" w:hAnsi="方正仿宋简体" w:eastAsia="方正仿宋简体" w:cs="方正仿宋简体"/>
          <w:sz w:val="32"/>
          <w:szCs w:val="32"/>
        </w:rPr>
        <w:t>以下简称《条例》）</w:t>
      </w:r>
      <w:r>
        <w:rPr>
          <w:rFonts w:hint="eastAsia" w:ascii="方正仿宋简体" w:hAnsi="方正仿宋简体" w:cs="方正仿宋简体"/>
          <w:sz w:val="32"/>
          <w:szCs w:val="32"/>
          <w:lang w:eastAsia="zh-CN"/>
        </w:rPr>
        <w:t>、《国务院办公厅政府信息与政务公开办公室关于政府信息公开工作年度报告有关事项的通知》（国办公开办函〔2019〕60号）</w:t>
      </w:r>
      <w:r>
        <w:rPr>
          <w:rFonts w:hint="eastAsia" w:ascii="方正仿宋简体" w:hAnsi="方正仿宋简体" w:eastAsia="方正仿宋简体" w:cs="方正仿宋简体"/>
          <w:sz w:val="32"/>
          <w:szCs w:val="32"/>
        </w:rPr>
        <w:t>和《中华人民共和国政府信息公开工作年度报告格式》（国办公开办函〔2021〕30号）要求编制。</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报告内容包括总体情况、主动公开政府信息情况、收到和处理政府信息公开申请情况、政府信息公开行政复议和行政诉讼情况、存在的主要问题及改进情况、其他需要报告的事项等六部分内容。</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本报告所列数据的统计期限自202</w:t>
      </w:r>
      <w:r>
        <w:rPr>
          <w:rFonts w:hint="eastAsia" w:ascii="方正仿宋简体" w:hAnsi="方正仿宋简体" w:cs="方正仿宋简体"/>
          <w:sz w:val="32"/>
          <w:szCs w:val="32"/>
          <w:lang w:val="en-US" w:eastAsia="zh-CN"/>
        </w:rPr>
        <w:t>3</w:t>
      </w:r>
      <w:r>
        <w:rPr>
          <w:rFonts w:hint="eastAsia" w:ascii="方正仿宋简体" w:hAnsi="方正仿宋简体" w:eastAsia="方正仿宋简体" w:cs="方正仿宋简体"/>
          <w:sz w:val="32"/>
          <w:szCs w:val="32"/>
        </w:rPr>
        <w:t>年1月1日起至202</w:t>
      </w:r>
      <w:r>
        <w:rPr>
          <w:rFonts w:hint="eastAsia" w:ascii="方正仿宋简体" w:hAnsi="方正仿宋简体" w:cs="方正仿宋简体"/>
          <w:sz w:val="32"/>
          <w:szCs w:val="32"/>
          <w:lang w:val="en-US" w:eastAsia="zh-CN"/>
        </w:rPr>
        <w:t>3</w:t>
      </w:r>
      <w:r>
        <w:rPr>
          <w:rFonts w:hint="eastAsia" w:ascii="方正仿宋简体" w:hAnsi="方正仿宋简体" w:eastAsia="方正仿宋简体" w:cs="方正仿宋简体"/>
          <w:sz w:val="32"/>
          <w:szCs w:val="32"/>
        </w:rPr>
        <w:t>年12月31日止。本报告电子版可在“中国·济宁”政府门户网站（www.jining.gov.cn）查阅或下载。如对本报告有疑问，请与济宁市公共资源交易服务中心联系（地址：济宁市太白湖新区济宁大道与运河路口西南角为民服务中心</w:t>
      </w:r>
      <w:r>
        <w:rPr>
          <w:rFonts w:hint="eastAsia" w:ascii="方正仿宋简体" w:hAnsi="方正仿宋简体" w:cs="方正仿宋简体"/>
          <w:sz w:val="32"/>
          <w:szCs w:val="32"/>
          <w:lang w:val="en-US" w:eastAsia="zh-CN"/>
        </w:rPr>
        <w:t>5楼</w:t>
      </w:r>
      <w:r>
        <w:rPr>
          <w:rFonts w:hint="eastAsia" w:ascii="方正仿宋简体" w:hAnsi="方正仿宋简体" w:eastAsia="方正仿宋简体" w:cs="方正仿宋简体"/>
          <w:sz w:val="32"/>
          <w:szCs w:val="32"/>
        </w:rPr>
        <w:t>，联系电话：0537-7817005）。</w:t>
      </w:r>
    </w:p>
    <w:p>
      <w:pPr>
        <w:pStyle w:val="3"/>
        <w:bidi w:val="0"/>
        <w:rPr>
          <w:rFonts w:hint="eastAsia"/>
        </w:rPr>
      </w:pPr>
      <w:r>
        <w:rPr>
          <w:rFonts w:hint="eastAsia"/>
        </w:rPr>
        <w:t>一、总体情况</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w:t>
      </w:r>
      <w:r>
        <w:rPr>
          <w:rFonts w:hint="eastAsia" w:ascii="方正仿宋简体" w:hAnsi="方正仿宋简体" w:cs="方正仿宋简体"/>
          <w:sz w:val="32"/>
          <w:szCs w:val="32"/>
          <w:lang w:val="en-US" w:eastAsia="zh-CN"/>
        </w:rPr>
        <w:t>3</w:t>
      </w:r>
      <w:r>
        <w:rPr>
          <w:rFonts w:hint="eastAsia" w:ascii="方正仿宋简体" w:hAnsi="方正仿宋简体" w:eastAsia="方正仿宋简体" w:cs="方正仿宋简体"/>
          <w:sz w:val="32"/>
          <w:szCs w:val="32"/>
        </w:rPr>
        <w:t>年，市公共资源交易服务中心坚持以习近平新时代中国特色社会主义思想为指导，以</w:t>
      </w:r>
      <w:r>
        <w:rPr>
          <w:rFonts w:hint="eastAsia" w:ascii="方正仿宋简体" w:hAnsi="方正仿宋简体" w:cs="方正仿宋简体"/>
          <w:sz w:val="32"/>
          <w:szCs w:val="32"/>
          <w:lang w:val="en-US" w:eastAsia="zh-CN"/>
        </w:rPr>
        <w:t>学习贯彻</w:t>
      </w:r>
      <w:r>
        <w:rPr>
          <w:rFonts w:hint="eastAsia" w:ascii="方正仿宋简体" w:hAnsi="方正仿宋简体" w:eastAsia="方正仿宋简体" w:cs="方正仿宋简体"/>
          <w:sz w:val="32"/>
          <w:szCs w:val="32"/>
        </w:rPr>
        <w:t>党的二十大精神为主线，按照市委办公室、市政府办公室关于全面推进政务公开工作的要求，聚焦便民利民、坚持规范创新，以更高站位、更实举措、更严要求全面深化政务公开，围绕主动公开、依申请公开、政府信息管理、公开平台建设、监督保障等方面不断深化政务公开，充分发挥以公开促落实、以公开强监管功能，政务公开工作取得良好成效。</w:t>
      </w:r>
    </w:p>
    <w:p>
      <w:pPr>
        <w:pStyle w:val="4"/>
        <w:bidi w:val="0"/>
        <w:rPr>
          <w:rFonts w:hint="eastAsia"/>
        </w:rPr>
      </w:pPr>
      <w:r>
        <w:rPr>
          <w:rFonts w:hint="eastAsia"/>
        </w:rPr>
        <w:t>（一）主动公开情况</w:t>
      </w:r>
    </w:p>
    <w:p>
      <w:pPr>
        <w:rPr>
          <w:rFonts w:hint="eastAsia" w:ascii="方正仿宋简体" w:hAnsi="方正仿宋简体" w:cs="方正仿宋简体"/>
          <w:sz w:val="32"/>
          <w:szCs w:val="32"/>
          <w:lang w:val="en-US" w:eastAsia="zh-CN"/>
        </w:rPr>
      </w:pPr>
      <w:r>
        <w:rPr>
          <w:rFonts w:hint="eastAsia" w:ascii="方正仿宋简体" w:hAnsi="方正仿宋简体" w:eastAsia="方正仿宋简体" w:cs="方正仿宋简体"/>
          <w:sz w:val="32"/>
          <w:szCs w:val="32"/>
        </w:rPr>
        <w:t>紧紧围绕数字政府建设、优化营商环境等重点工作抓好信息公开工作，多渠道、多形式加强信息</w:t>
      </w:r>
      <w:r>
        <w:rPr>
          <w:rFonts w:hint="eastAsia" w:ascii="方正仿宋简体" w:hAnsi="方正仿宋简体" w:cs="方正仿宋简体"/>
          <w:sz w:val="32"/>
          <w:szCs w:val="32"/>
          <w:lang w:val="en-US" w:eastAsia="zh-CN"/>
        </w:rPr>
        <w:t>主动</w:t>
      </w:r>
      <w:r>
        <w:rPr>
          <w:rFonts w:hint="eastAsia" w:ascii="方正仿宋简体" w:hAnsi="方正仿宋简体" w:eastAsia="方正仿宋简体" w:cs="方正仿宋简体"/>
          <w:sz w:val="32"/>
          <w:szCs w:val="32"/>
        </w:rPr>
        <w:t>公开。</w:t>
      </w:r>
      <w:r>
        <w:rPr>
          <w:rFonts w:hint="eastAsia" w:ascii="方正仿宋简体" w:hAnsi="方正仿宋简体" w:cs="方正仿宋简体"/>
          <w:sz w:val="32"/>
          <w:szCs w:val="32"/>
          <w:lang w:val="en-US" w:eastAsia="zh-CN"/>
        </w:rPr>
        <w:t>全年共主动公开各类政务信息63条，具体数量详见表格1。</w:t>
      </w:r>
    </w:p>
    <w:p>
      <w:pPr>
        <w:jc w:val="center"/>
        <w:rPr>
          <w:rFonts w:hint="eastAsia" w:ascii="方正仿宋简体" w:hAnsi="方正仿宋简体" w:cs="方正仿宋简体"/>
          <w:sz w:val="32"/>
          <w:szCs w:val="32"/>
          <w:lang w:val="en-US" w:eastAsia="zh-CN"/>
        </w:rPr>
      </w:pPr>
      <w:r>
        <w:rPr>
          <w:rFonts w:hint="eastAsia" w:ascii="方正楷体简体" w:hAnsi="方正楷体简体" w:eastAsia="方正楷体简体" w:cs="方正楷体简体"/>
          <w:sz w:val="21"/>
          <w:szCs w:val="21"/>
          <w:lang w:val="en-US" w:eastAsia="zh-CN"/>
        </w:rPr>
        <w:t>表格1：政务公开信息统计表</w:t>
      </w:r>
    </w:p>
    <w:tbl>
      <w:tblPr>
        <w:tblStyle w:val="9"/>
        <w:tblW w:w="4014" w:type="pct"/>
        <w:jc w:val="center"/>
        <w:tblCellSpacing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0" w:type="dxa"/>
          <w:left w:w="0" w:type="dxa"/>
          <w:bottom w:w="0" w:type="dxa"/>
          <w:right w:w="0" w:type="dxa"/>
        </w:tblCellMar>
      </w:tblPr>
      <w:tblGrid>
        <w:gridCol w:w="3497"/>
        <w:gridCol w:w="2201"/>
        <w:gridCol w:w="140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rHeight w:val="375"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栏目名称</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录入信息数</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采用信息数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政务公开组织领导</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政务公开业务培训</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新闻媒体解读</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数字图文解读</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6</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音频视频解读</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全体会议</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工作计划</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部门预算</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部门决算</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涉企行政事业性收费目录</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2</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人大代表建议办理</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政协委员提案办理</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通知公告</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部门会议</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18</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部门主动公开目录</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依申请文件目录</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2</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部门文件</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5</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政府信息公开年报</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采购目录和标准</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 年报解读</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01" w:hRule="atLeast"/>
          <w:tblCellSpacing w:w="0" w:type="dxa"/>
          <w:jc w:val="center"/>
        </w:trPr>
        <w:tc>
          <w:tcPr>
            <w:tcW w:w="2463"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小 计</w:t>
            </w:r>
          </w:p>
        </w:tc>
        <w:tc>
          <w:tcPr>
            <w:tcW w:w="1550"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lang w:val="en-US" w:eastAsia="zh-CN"/>
              </w:rPr>
            </w:pPr>
            <w:r>
              <w:rPr>
                <w:rFonts w:hint="eastAsia" w:ascii="方正仿宋简体" w:hAnsi="方正仿宋简体" w:eastAsia="方正仿宋简体" w:cs="方正仿宋简体"/>
                <w:sz w:val="21"/>
                <w:szCs w:val="21"/>
                <w:lang w:val="en-US" w:eastAsia="zh-CN"/>
              </w:rPr>
              <w:t>64</w:t>
            </w:r>
          </w:p>
        </w:tc>
        <w:tc>
          <w:tcPr>
            <w:tcW w:w="986" w:type="pct"/>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方正仿宋简体" w:hAnsi="方正仿宋简体" w:eastAsia="方正仿宋简体" w:cs="方正仿宋简体"/>
                <w:sz w:val="21"/>
                <w:szCs w:val="21"/>
                <w:lang w:val="en-US" w:eastAsia="zh-CN"/>
              </w:rPr>
            </w:pPr>
            <w:r>
              <w:rPr>
                <w:rFonts w:hint="eastAsia" w:ascii="方正仿宋简体" w:hAnsi="方正仿宋简体" w:cs="方正仿宋简体"/>
                <w:sz w:val="21"/>
                <w:szCs w:val="21"/>
                <w:lang w:val="en-US" w:eastAsia="zh-CN"/>
              </w:rPr>
              <w:t>63</w:t>
            </w:r>
          </w:p>
        </w:tc>
      </w:tr>
    </w:tbl>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r>
        <w:rPr>
          <w:rFonts w:hint="eastAsia" w:ascii="方正楷体简体" w:hAnsi="方正楷体简体" w:eastAsia="方正楷体简体" w:cs="方正楷体简体"/>
          <w:sz w:val="21"/>
          <w:szCs w:val="21"/>
          <w:lang w:val="en-US" w:eastAsia="zh-CN"/>
        </w:rPr>
        <w:drawing>
          <wp:anchor distT="0" distB="0" distL="114300" distR="114300" simplePos="0" relativeHeight="251661312" behindDoc="0" locked="0" layoutInCell="1" allowOverlap="1">
            <wp:simplePos x="0" y="0"/>
            <wp:positionH relativeFrom="column">
              <wp:posOffset>-264160</wp:posOffset>
            </wp:positionH>
            <wp:positionV relativeFrom="paragraph">
              <wp:posOffset>158750</wp:posOffset>
            </wp:positionV>
            <wp:extent cx="5865495" cy="2708275"/>
            <wp:effectExtent l="0" t="0" r="1905" b="15875"/>
            <wp:wrapNone/>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7"/>
                    <a:stretch>
                      <a:fillRect/>
                    </a:stretch>
                  </pic:blipFill>
                  <pic:spPr>
                    <a:xfrm>
                      <a:off x="0" y="0"/>
                      <a:ext cx="5865495" cy="2708275"/>
                    </a:xfrm>
                    <a:prstGeom prst="rect">
                      <a:avLst/>
                    </a:prstGeom>
                  </pic:spPr>
                </pic:pic>
              </a:graphicData>
            </a:graphic>
          </wp:anchor>
        </w:drawing>
      </w: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jc w:val="center"/>
        <w:rPr>
          <w:rFonts w:hint="eastAsia" w:ascii="方正楷体简体" w:hAnsi="方正楷体简体" w:eastAsia="方正楷体简体" w:cs="方正楷体简体"/>
          <w:sz w:val="21"/>
          <w:szCs w:val="21"/>
          <w:lang w:val="en-US" w:eastAsia="zh-CN"/>
        </w:rPr>
      </w:pPr>
    </w:p>
    <w:p>
      <w:pPr>
        <w:rPr>
          <w:rFonts w:hint="eastAsia" w:ascii="方正仿宋简体" w:hAnsi="方正仿宋简体" w:eastAsia="方正仿宋简体" w:cs="方正仿宋简体"/>
          <w:sz w:val="32"/>
          <w:szCs w:val="32"/>
        </w:rPr>
      </w:pPr>
      <w:r>
        <w:rPr>
          <w:rFonts w:hint="eastAsia" w:ascii="方正仿宋简体" w:hAnsi="方正仿宋简体" w:cs="方正仿宋简体"/>
          <w:sz w:val="32"/>
          <w:szCs w:val="32"/>
          <w:lang w:val="en-US" w:eastAsia="zh-CN"/>
        </w:rPr>
        <w:t>另一方面，依法依规公开各类公共资源交易信息3024条，</w:t>
      </w:r>
      <w:r>
        <w:rPr>
          <w:rFonts w:hint="eastAsia" w:ascii="方正仿宋简体" w:hAnsi="方正仿宋简体" w:eastAsia="方正仿宋简体" w:cs="方正仿宋简体"/>
          <w:sz w:val="32"/>
          <w:szCs w:val="32"/>
        </w:rPr>
        <w:t>召开</w:t>
      </w:r>
      <w:r>
        <w:rPr>
          <w:rFonts w:hint="eastAsia" w:ascii="方正仿宋简体" w:hAnsi="方正仿宋简体" w:cs="方正仿宋简体"/>
          <w:sz w:val="32"/>
          <w:szCs w:val="32"/>
          <w:lang w:val="en-US" w:eastAsia="zh-CN"/>
        </w:rPr>
        <w:t>2</w:t>
      </w:r>
      <w:r>
        <w:rPr>
          <w:rFonts w:hint="eastAsia" w:ascii="方正仿宋简体" w:hAnsi="方正仿宋简体" w:eastAsia="方正仿宋简体" w:cs="方正仿宋简体"/>
          <w:sz w:val="32"/>
          <w:szCs w:val="32"/>
        </w:rPr>
        <w:t>期新闻发布会，</w:t>
      </w:r>
      <w:r>
        <w:rPr>
          <w:rFonts w:hint="eastAsia" w:ascii="方正仿宋简体" w:hAnsi="方正仿宋简体" w:cs="方正仿宋简体"/>
          <w:sz w:val="32"/>
          <w:szCs w:val="32"/>
          <w:lang w:val="en-US" w:eastAsia="zh-CN"/>
        </w:rPr>
        <w:t>具体数量详见表格2。</w:t>
      </w:r>
    </w:p>
    <w:p>
      <w:pPr>
        <w:jc w:val="center"/>
        <w:rPr>
          <w:rFonts w:hint="eastAsia" w:ascii="方正楷体简体" w:hAnsi="方正楷体简体" w:eastAsia="方正楷体简体" w:cs="方正楷体简体"/>
          <w:sz w:val="21"/>
          <w:szCs w:val="21"/>
          <w:lang w:val="en-US" w:eastAsia="zh-CN"/>
        </w:rPr>
      </w:pPr>
      <w:r>
        <w:rPr>
          <w:rFonts w:hint="eastAsia" w:ascii="方正楷体简体" w:hAnsi="方正楷体简体" w:eastAsia="方正楷体简体" w:cs="方正楷体简体"/>
          <w:sz w:val="21"/>
          <w:szCs w:val="21"/>
          <w:lang w:val="en-US" w:eastAsia="zh-CN"/>
        </w:rPr>
        <w:t>表格2：各类公共资源交易项目公告公示信息统计表</w:t>
      </w:r>
    </w:p>
    <w:p>
      <w:pPr>
        <w:jc w:val="center"/>
        <w:rPr>
          <w:rFonts w:hint="eastAsia" w:ascii="方正楷体简体" w:hAnsi="方正楷体简体" w:eastAsia="方正楷体简体" w:cs="方正楷体简体"/>
          <w:sz w:val="21"/>
          <w:szCs w:val="21"/>
          <w:lang w:val="en-US" w:eastAsia="zh-CN"/>
        </w:rPr>
      </w:pPr>
    </w:p>
    <w:tbl>
      <w:tblPr>
        <w:tblStyle w:val="10"/>
        <w:tblW w:w="810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969"/>
        <w:gridCol w:w="680"/>
        <w:gridCol w:w="680"/>
        <w:gridCol w:w="680"/>
        <w:gridCol w:w="680"/>
        <w:gridCol w:w="680"/>
        <w:gridCol w:w="7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17" w:hRule="atLeast"/>
          <w:jc w:val="center"/>
        </w:trPr>
        <w:tc>
          <w:tcPr>
            <w:tcW w:w="3969" w:type="dxa"/>
            <w:vAlign w:val="center"/>
            <mc:AlternateContent>
              <mc:Choice Requires="wpsCustomData">
                <wpsCustomData:diagonals>
                  <wpsCustomData:diagonal from="5000" to="30000">
                    <wpsCustomData:border w:val="single" w:color="auto" w:sz="8" w:space="0"/>
                  </wpsCustomData:diagonal>
                  <wpsCustomData:diagonal from="15000" to="30000">
                    <wpsCustomData:border w:val="single" w:color="auto" w:sz="8"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mc:AlternateContent>
                <mc:Choice Requires="wpsCustomData">
                  <wpsCustomData:diagonalParaType/>
                </mc:Choice>
              </mc:AlternateContent>
              <w:rPr>
                <w:rFonts w:hint="default" w:ascii="方正仿宋简体" w:hAnsi="方正仿宋简体" w:eastAsia="方正仿宋简体" w:cs="方正仿宋简体"/>
                <w:sz w:val="21"/>
                <w:szCs w:val="21"/>
                <w:vertAlign w:val="baseline"/>
                <w:lang w:val="en-US" w:eastAsia="zh-CN"/>
              </w:rPr>
            </w:pPr>
            <w:r>
              <w:rPr>
                <w:rFonts w:hint="eastAsia" w:ascii="方正仿宋简体" w:hAnsi="方正仿宋简体" w:cs="方正仿宋简体"/>
                <w:sz w:val="21"/>
                <w:szCs w:val="21"/>
                <w:vertAlign w:val="baseline"/>
                <w:lang w:val="en-US" w:eastAsia="zh-CN"/>
              </w:rPr>
              <w:t>公示类型</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公示数量</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项目类型</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建设工程</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政府采购</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地矿资源</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产权交易</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其他交易</w:t>
            </w:r>
          </w:p>
        </w:tc>
        <w:tc>
          <w:tcPr>
            <w:tcW w:w="74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合计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7" w:hRule="atLeast"/>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招标计划</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default" w:ascii="方正仿宋简体" w:hAnsi="方正仿宋简体" w:eastAsia="方正仿宋简体" w:cs="方正仿宋简体"/>
                <w:sz w:val="21"/>
                <w:szCs w:val="21"/>
                <w:vertAlign w:val="baseline"/>
                <w:lang w:eastAsia="zh-CN"/>
              </w:rPr>
            </w:pPr>
            <w:r>
              <w:rPr>
                <w:rFonts w:hint="default" w:ascii="方正仿宋简体" w:hAnsi="方正仿宋简体" w:eastAsia="方正仿宋简体" w:cs="方正仿宋简体"/>
                <w:b/>
                <w:bCs/>
                <w:i w:val="0"/>
                <w:iCs w:val="0"/>
                <w:color w:val="000000"/>
                <w:kern w:val="0"/>
                <w:sz w:val="21"/>
                <w:szCs w:val="21"/>
                <w:u w:val="none"/>
                <w:lang w:eastAsia="zh-CN" w:bidi="ar"/>
              </w:rPr>
              <w:t>8</w:t>
            </w:r>
            <w:r>
              <w:rPr>
                <w:rFonts w:hint="default" w:ascii="方正仿宋简体" w:hAnsi="方正仿宋简体" w:cs="方正仿宋简体"/>
                <w:b/>
                <w:bCs/>
                <w:i w:val="0"/>
                <w:iCs w:val="0"/>
                <w:color w:val="000000"/>
                <w:kern w:val="0"/>
                <w:sz w:val="21"/>
                <w:szCs w:val="21"/>
                <w:u w:val="none"/>
                <w:lang w:eastAsia="zh-CN" w:bidi="ar"/>
              </w:rPr>
              <w:t>7</w:t>
            </w: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default" w:ascii="方正仿宋简体" w:hAnsi="方正仿宋简体" w:eastAsia="方正仿宋简体" w:cs="方正仿宋简体"/>
                <w:sz w:val="21"/>
                <w:szCs w:val="21"/>
                <w:vertAlign w:val="baseline"/>
                <w:lang w:eastAsia="zh-CN"/>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default" w:ascii="方正仿宋简体" w:hAnsi="方正仿宋简体" w:eastAsia="方正仿宋简体" w:cs="方正仿宋简体"/>
                <w:sz w:val="21"/>
                <w:szCs w:val="21"/>
                <w:vertAlign w:val="baseline"/>
                <w:lang w:eastAsia="zh-CN"/>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default"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default"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default"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default"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default"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default" w:ascii="方正仿宋简体" w:hAnsi="方正仿宋简体" w:eastAsia="方正仿宋简体" w:cs="方正仿宋简体"/>
                <w:sz w:val="21"/>
                <w:szCs w:val="21"/>
                <w:vertAlign w:val="baseline"/>
              </w:rPr>
            </w:pPr>
          </w:p>
        </w:tc>
        <w:tc>
          <w:tcPr>
            <w:tcW w:w="74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default"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b/>
                <w:bCs/>
                <w:i w:val="0"/>
                <w:iCs w:val="0"/>
                <w:color w:val="000000"/>
                <w:kern w:val="0"/>
                <w:sz w:val="21"/>
                <w:szCs w:val="21"/>
                <w:u w:val="none"/>
                <w:lang w:val="en-US" w:eastAsia="zh-CN" w:bidi="ar"/>
              </w:rPr>
              <w:t>87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招标公告（</w:t>
            </w:r>
            <w:r>
              <w:rPr>
                <w:rFonts w:hint="eastAsia" w:ascii="方正仿宋简体" w:hAnsi="方正仿宋简体" w:cs="方正仿宋简体"/>
                <w:sz w:val="21"/>
                <w:szCs w:val="21"/>
                <w:vertAlign w:val="baseline"/>
                <w:lang w:val="en-US" w:eastAsia="zh-CN"/>
              </w:rPr>
              <w:t>含</w:t>
            </w:r>
            <w:r>
              <w:rPr>
                <w:rFonts w:hint="eastAsia" w:ascii="方正仿宋简体" w:hAnsi="方正仿宋简体" w:eastAsia="方正仿宋简体" w:cs="方正仿宋简体"/>
                <w:sz w:val="21"/>
                <w:szCs w:val="21"/>
                <w:vertAlign w:val="baseline"/>
                <w:lang w:val="en-US" w:eastAsia="zh-CN"/>
              </w:rPr>
              <w:t>资格预审公告）</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default"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b/>
                <w:bCs/>
                <w:i w:val="0"/>
                <w:iCs w:val="0"/>
                <w:color w:val="000000"/>
                <w:kern w:val="0"/>
                <w:sz w:val="21"/>
                <w:szCs w:val="21"/>
                <w:u w:val="none"/>
                <w:lang w:val="en-US" w:eastAsia="zh-CN" w:bidi="ar"/>
              </w:rPr>
              <w:t>81</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626</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26</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158</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90</w:t>
            </w:r>
          </w:p>
        </w:tc>
        <w:tc>
          <w:tcPr>
            <w:tcW w:w="74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981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9" w:hRule="atLeast"/>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澄清</w:t>
            </w:r>
            <w:r>
              <w:rPr>
                <w:rFonts w:hint="eastAsia" w:ascii="方正仿宋简体" w:hAnsi="方正仿宋简体" w:cs="方正仿宋简体"/>
                <w:sz w:val="21"/>
                <w:szCs w:val="21"/>
                <w:vertAlign w:val="baseline"/>
                <w:lang w:val="en-US" w:eastAsia="zh-CN"/>
              </w:rPr>
              <w:t>、</w:t>
            </w:r>
            <w:r>
              <w:rPr>
                <w:rFonts w:hint="eastAsia" w:ascii="方正仿宋简体" w:hAnsi="方正仿宋简体" w:eastAsia="方正仿宋简体" w:cs="方正仿宋简体"/>
                <w:sz w:val="21"/>
                <w:szCs w:val="21"/>
                <w:vertAlign w:val="baseline"/>
                <w:lang w:val="en-US" w:eastAsia="zh-CN"/>
              </w:rPr>
              <w:t>修改</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46</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147</w:t>
            </w: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17</w:t>
            </w:r>
          </w:p>
        </w:tc>
        <w:tc>
          <w:tcPr>
            <w:tcW w:w="74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210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中标公告（</w:t>
            </w:r>
            <w:r>
              <w:rPr>
                <w:rFonts w:hint="eastAsia" w:ascii="方正仿宋简体" w:hAnsi="方正仿宋简体" w:cs="方正仿宋简体"/>
                <w:sz w:val="21"/>
                <w:szCs w:val="21"/>
                <w:vertAlign w:val="baseline"/>
                <w:lang w:val="en-US" w:eastAsia="zh-CN"/>
              </w:rPr>
              <w:t>含</w:t>
            </w:r>
            <w:r>
              <w:rPr>
                <w:rFonts w:hint="eastAsia" w:ascii="方正仿宋简体" w:hAnsi="方正仿宋简体" w:eastAsia="方正仿宋简体" w:cs="方正仿宋简体"/>
                <w:sz w:val="21"/>
                <w:szCs w:val="21"/>
                <w:vertAlign w:val="baseline"/>
                <w:lang w:val="en-US" w:eastAsia="zh-CN"/>
              </w:rPr>
              <w:t>中标候选人公示）</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187</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1075</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58</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172</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99</w:t>
            </w:r>
          </w:p>
        </w:tc>
        <w:tc>
          <w:tcPr>
            <w:tcW w:w="74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1591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0" w:hRule="atLeast"/>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方正仿宋简体" w:hAnsi="方正仿宋简体" w:eastAsia="方正仿宋简体" w:cs="方正仿宋简体"/>
                <w:sz w:val="21"/>
                <w:szCs w:val="21"/>
                <w:vertAlign w:val="baseline"/>
                <w:lang w:val="en-US" w:eastAsia="zh-CN"/>
              </w:rPr>
            </w:pPr>
            <w:r>
              <w:rPr>
                <w:rFonts w:hint="eastAsia" w:ascii="方正仿宋简体" w:hAnsi="方正仿宋简体" w:eastAsia="方正仿宋简体" w:cs="方正仿宋简体"/>
                <w:sz w:val="21"/>
                <w:szCs w:val="21"/>
                <w:vertAlign w:val="baseline"/>
                <w:lang w:val="en-US" w:eastAsia="zh-CN"/>
              </w:rPr>
              <w:t>其他公示信息（</w:t>
            </w:r>
            <w:r>
              <w:rPr>
                <w:rFonts w:hint="eastAsia" w:ascii="方正仿宋简体" w:hAnsi="方正仿宋简体" w:cs="方正仿宋简体"/>
                <w:sz w:val="21"/>
                <w:szCs w:val="21"/>
                <w:vertAlign w:val="baseline"/>
                <w:lang w:val="en-US" w:eastAsia="zh-CN"/>
              </w:rPr>
              <w:t>包括</w:t>
            </w:r>
            <w:r>
              <w:rPr>
                <w:rFonts w:hint="eastAsia" w:ascii="方正仿宋简体" w:hAnsi="方正仿宋简体" w:eastAsia="方正仿宋简体" w:cs="方正仿宋简体"/>
                <w:sz w:val="21"/>
                <w:szCs w:val="21"/>
                <w:vertAlign w:val="baseline"/>
                <w:lang w:val="en-US" w:eastAsia="zh-CN"/>
              </w:rPr>
              <w:t>异常信息、中标通知书、合同、履约及变更信息等）</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155</w:t>
            </w: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680"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keepNext w:val="0"/>
              <w:keepLines w:val="0"/>
              <w:pageBreakBefore w:val="0"/>
              <w:widowControl/>
              <w:kinsoku/>
              <w:wordWrap/>
              <w:overflowPunct/>
              <w:topLinePunct w:val="0"/>
              <w:autoSpaceDE/>
              <w:autoSpaceDN/>
              <w:bidi w:val="0"/>
              <w:adjustRightInd/>
              <w:snapToGrid w:val="0"/>
              <w:spacing w:line="300" w:lineRule="exact"/>
              <w:ind w:firstLine="0" w:firstLineChars="0"/>
              <w:jc w:val="both"/>
              <mc:AlternateContent>
                <mc:Choice Requires="wpsCustomData">
                  <wpsCustomData:diagonalParaType/>
                </mc:Choice>
              </mc:AlternateContent>
              <w:rPr>
                <w:rFonts w:hint="eastAsia" w:ascii="方正仿宋简体" w:hAnsi="方正仿宋简体" w:eastAsia="方正仿宋简体" w:cs="方正仿宋简体"/>
                <w:sz w:val="21"/>
                <w:szCs w:val="21"/>
                <w:vertAlign w:val="baseli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方正仿宋简体" w:hAnsi="方正仿宋简体" w:eastAsia="方正仿宋简体" w:cs="方正仿宋简体"/>
                <w:sz w:val="21"/>
                <w:szCs w:val="21"/>
                <w:vertAlign w:val="baseline"/>
              </w:rPr>
            </w:pPr>
          </w:p>
        </w:tc>
        <w:tc>
          <w:tcPr>
            <w:tcW w:w="74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ascii="方正仿宋简体" w:hAnsi="方正仿宋简体" w:eastAsia="方正仿宋简体" w:cs="方正仿宋简体"/>
                <w:sz w:val="21"/>
                <w:szCs w:val="21"/>
                <w:vertAlign w:val="baseline"/>
                <w:lang w:val="en-US" w:eastAsia="zh-CN"/>
              </w:rPr>
            </w:pPr>
            <w:r>
              <w:rPr>
                <w:rFonts w:hint="eastAsia" w:ascii="方正仿宋简体" w:hAnsi="方正仿宋简体" w:cs="方正仿宋简体"/>
                <w:sz w:val="21"/>
                <w:szCs w:val="21"/>
                <w:vertAlign w:val="baseline"/>
                <w:lang w:val="en-US" w:eastAsia="zh-CN"/>
              </w:rPr>
              <w:t>合计</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556</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1848</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84</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330</w:t>
            </w:r>
          </w:p>
        </w:tc>
        <w:tc>
          <w:tcPr>
            <w:tcW w:w="680"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方正仿宋简体" w:hAnsi="方正仿宋简体" w:eastAsia="方正仿宋简体" w:cs="方正仿宋简体"/>
                <w:b/>
                <w:bCs/>
                <w:sz w:val="21"/>
                <w:szCs w:val="21"/>
                <w:vertAlign w:val="baseline"/>
              </w:rPr>
            </w:pPr>
            <w:r>
              <w:rPr>
                <w:rFonts w:hint="eastAsia" w:ascii="方正仿宋简体" w:hAnsi="方正仿宋简体" w:eastAsia="方正仿宋简体" w:cs="方正仿宋简体"/>
                <w:b/>
                <w:bCs/>
                <w:i w:val="0"/>
                <w:iCs w:val="0"/>
                <w:color w:val="000000"/>
                <w:kern w:val="0"/>
                <w:sz w:val="21"/>
                <w:szCs w:val="21"/>
                <w:u w:val="none"/>
                <w:lang w:val="en-US" w:eastAsia="zh-CN" w:bidi="ar"/>
              </w:rPr>
              <w:t>206</w:t>
            </w:r>
          </w:p>
        </w:tc>
        <w:tc>
          <w:tcPr>
            <w:tcW w:w="740"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default"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3024</w:t>
            </w:r>
          </w:p>
        </w:tc>
      </w:tr>
    </w:tbl>
    <w:p>
      <w:pPr>
        <w:jc w:val="center"/>
        <w:rPr>
          <w:rFonts w:hint="eastAsia" w:ascii="方正楷体简体" w:hAnsi="方正楷体简体" w:eastAsia="方正楷体简体" w:cs="方正楷体简体"/>
          <w:sz w:val="21"/>
          <w:szCs w:val="21"/>
          <w:lang w:val="en-US" w:eastAsia="zh-CN"/>
        </w:rPr>
      </w:pP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drawing>
          <wp:anchor distT="0" distB="0" distL="114300" distR="114300" simplePos="0" relativeHeight="251660288" behindDoc="0" locked="0" layoutInCell="1" allowOverlap="1">
            <wp:simplePos x="0" y="0"/>
            <wp:positionH relativeFrom="column">
              <wp:posOffset>508635</wp:posOffset>
            </wp:positionH>
            <wp:positionV relativeFrom="paragraph">
              <wp:posOffset>63500</wp:posOffset>
            </wp:positionV>
            <wp:extent cx="4243705" cy="2966720"/>
            <wp:effectExtent l="0" t="0" r="4445" b="5080"/>
            <wp:wrapNone/>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8"/>
                    <a:stretch>
                      <a:fillRect/>
                    </a:stretch>
                  </pic:blipFill>
                  <pic:spPr>
                    <a:xfrm>
                      <a:off x="0" y="0"/>
                      <a:ext cx="4243705" cy="2966720"/>
                    </a:xfrm>
                    <a:prstGeom prst="rect">
                      <a:avLst/>
                    </a:prstGeom>
                  </pic:spPr>
                </pic:pic>
              </a:graphicData>
            </a:graphic>
          </wp:anchor>
        </w:drawing>
      </w: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lang w:eastAsia="zh-CN"/>
        </w:rPr>
      </w:pP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p>
      <w:pPr>
        <w:pStyle w:val="4"/>
        <w:bidi w:val="0"/>
        <w:rPr>
          <w:rFonts w:hint="eastAsia"/>
        </w:rPr>
      </w:pPr>
      <w:r>
        <w:rPr>
          <w:rFonts w:hint="eastAsia"/>
        </w:rPr>
        <w:t>（二）依申请公开情况</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w:t>
      </w:r>
      <w:r>
        <w:rPr>
          <w:rFonts w:hint="eastAsia" w:ascii="方正仿宋简体" w:hAnsi="方正仿宋简体" w:eastAsia="方正仿宋简体" w:cs="方正仿宋简体"/>
          <w:sz w:val="32"/>
          <w:szCs w:val="32"/>
          <w:lang w:val="en-US" w:eastAsia="zh-CN"/>
        </w:rPr>
        <w:t>3</w:t>
      </w:r>
      <w:r>
        <w:rPr>
          <w:rFonts w:hint="eastAsia" w:ascii="方正仿宋简体" w:hAnsi="方正仿宋简体" w:eastAsia="方正仿宋简体" w:cs="方正仿宋简体"/>
          <w:sz w:val="32"/>
          <w:szCs w:val="32"/>
        </w:rPr>
        <w:t>年，中心未收到政务信息公开申请。</w:t>
      </w:r>
    </w:p>
    <w:p>
      <w:pPr>
        <w:pStyle w:val="4"/>
        <w:bidi w:val="0"/>
        <w:rPr>
          <w:rFonts w:hint="eastAsia"/>
        </w:rPr>
      </w:pPr>
      <w:r>
        <w:rPr>
          <w:rFonts w:hint="eastAsia"/>
        </w:rPr>
        <w:t>（三）政府信息管理情况</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严格落实《济宁市公共资源交易服务中心政府信息公开工作制度》，加强门户网站和政务新媒体日常管理和常态化监管，定期对网站专题栏目更新情况、网站链接等方面进行自查</w:t>
      </w:r>
      <w:r>
        <w:rPr>
          <w:rFonts w:hint="eastAsia" w:ascii="方正仿宋简体" w:hAnsi="方正仿宋简体" w:cs="方正仿宋简体"/>
          <w:sz w:val="32"/>
          <w:szCs w:val="32"/>
          <w:lang w:val="en-US" w:eastAsia="zh-CN"/>
        </w:rPr>
        <w:t>自检</w:t>
      </w:r>
      <w:r>
        <w:rPr>
          <w:rFonts w:hint="eastAsia" w:ascii="方正仿宋简体" w:hAnsi="方正仿宋简体" w:eastAsia="方正仿宋简体" w:cs="方正仿宋简体"/>
          <w:sz w:val="32"/>
          <w:szCs w:val="32"/>
        </w:rPr>
        <w:t>，确保信息内容安全和平稳高效运行。</w:t>
      </w:r>
    </w:p>
    <w:p>
      <w:pPr>
        <w:pStyle w:val="4"/>
        <w:bidi w:val="0"/>
        <w:rPr>
          <w:rFonts w:hint="eastAsia"/>
        </w:rPr>
      </w:pPr>
      <w:r>
        <w:rPr>
          <w:rFonts w:hint="eastAsia"/>
        </w:rPr>
        <w:t>（四）政府信息公开平台建设情况</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严格落实网络意识形态责任制，持续做好门户网站和政务新媒体的运营管理工作，</w:t>
      </w:r>
      <w:r>
        <w:rPr>
          <w:rFonts w:hint="eastAsia" w:ascii="方正仿宋简体" w:hAnsi="方正仿宋简体" w:cs="方正仿宋简体"/>
          <w:sz w:val="32"/>
          <w:szCs w:val="32"/>
          <w:lang w:val="en-US" w:eastAsia="zh-CN"/>
        </w:rPr>
        <w:t>用好</w:t>
      </w:r>
      <w:r>
        <w:rPr>
          <w:rFonts w:hint="eastAsia" w:ascii="方正仿宋简体" w:hAnsi="方正仿宋简体" w:eastAsia="方正仿宋简体" w:cs="方正仿宋简体"/>
          <w:sz w:val="32"/>
          <w:szCs w:val="32"/>
        </w:rPr>
        <w:t>营商环境专栏、中小企业政策专栏、操作指南等，分门别类公开法规政策文件</w:t>
      </w: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最新动态、创新案例等</w:t>
      </w:r>
      <w:r>
        <w:rPr>
          <w:rFonts w:hint="eastAsia" w:ascii="方正仿宋简体" w:hAnsi="方正仿宋简体" w:eastAsia="方正仿宋简体" w:cs="方正仿宋简体"/>
          <w:sz w:val="32"/>
          <w:szCs w:val="32"/>
        </w:rPr>
        <w:t>。</w:t>
      </w:r>
    </w:p>
    <w:p>
      <w:pPr>
        <w:pStyle w:val="4"/>
        <w:bidi w:val="0"/>
        <w:rPr>
          <w:rFonts w:hint="eastAsia"/>
        </w:rPr>
      </w:pPr>
      <w:r>
        <w:rPr>
          <w:rFonts w:hint="eastAsia"/>
        </w:rPr>
        <w:t>（五）监督保障情况</w:t>
      </w:r>
    </w:p>
    <w:p>
      <w:pP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强化政务公开</w:t>
      </w:r>
      <w:r>
        <w:rPr>
          <w:rFonts w:hint="eastAsia" w:ascii="方正仿宋简体" w:hAnsi="方正仿宋简体" w:cs="方正仿宋简体"/>
          <w:sz w:val="32"/>
          <w:szCs w:val="32"/>
          <w:lang w:val="en-US" w:eastAsia="zh-CN"/>
        </w:rPr>
        <w:t>组织保障，根据人员和科室调整情况，及时调整政务公开工作领导小组，强化</w:t>
      </w:r>
      <w:r>
        <w:rPr>
          <w:rFonts w:hint="eastAsia" w:ascii="方正仿宋简体" w:hAnsi="方正仿宋简体" w:eastAsia="方正仿宋简体" w:cs="方正仿宋简体"/>
          <w:sz w:val="32"/>
          <w:szCs w:val="32"/>
        </w:rPr>
        <w:t>层层推进的工作格局。注重强化日常检查和考评督促，及时发现问题，加强提醒整改</w:t>
      </w:r>
      <w:r>
        <w:rPr>
          <w:rFonts w:hint="eastAsia" w:ascii="方正仿宋简体" w:hAnsi="方正仿宋简体" w:cs="方正仿宋简体"/>
          <w:sz w:val="32"/>
          <w:szCs w:val="32"/>
          <w:lang w:eastAsia="zh-CN"/>
        </w:rPr>
        <w:t>。</w:t>
      </w:r>
    </w:p>
    <w:p>
      <w:pPr>
        <w:pStyle w:val="3"/>
        <w:numPr>
          <w:ilvl w:val="0"/>
          <w:numId w:val="0"/>
        </w:numPr>
        <w:bidi w:val="0"/>
        <w:ind w:firstLine="641" w:firstLineChars="200"/>
        <w:rPr>
          <w:rFonts w:hint="eastAsia"/>
        </w:rPr>
      </w:pPr>
      <w:r>
        <w:rPr>
          <w:rFonts w:hint="eastAsia" w:ascii="Arial" w:hAnsi="Arial" w:eastAsia="方正黑体简体" w:cstheme="minorBidi"/>
          <w:b/>
          <w:kern w:val="2"/>
          <w:sz w:val="32"/>
          <w:szCs w:val="24"/>
          <w:lang w:val="en-US" w:eastAsia="zh-CN" w:bidi="ar-SA"/>
        </w:rPr>
        <w:t>二、</w:t>
      </w:r>
      <w:r>
        <w:rPr>
          <w:rFonts w:hint="eastAsia"/>
        </w:rPr>
        <w:t>主动公开政府信息情况</w:t>
      </w:r>
    </w:p>
    <w:p>
      <w:pPr>
        <w:jc w:val="center"/>
        <w:rPr>
          <w:rFonts w:hint="eastAsia" w:ascii="方正楷体简体" w:hAnsi="方正楷体简体" w:eastAsia="方正楷体简体" w:cs="方正楷体简体"/>
          <w:sz w:val="21"/>
          <w:szCs w:val="21"/>
          <w:lang w:val="en-US" w:eastAsia="zh-CN"/>
        </w:rPr>
      </w:pPr>
      <w:r>
        <w:rPr>
          <w:rFonts w:hint="eastAsia" w:ascii="方正楷体简体" w:hAnsi="方正楷体简体" w:eastAsia="方正楷体简体" w:cs="方正楷体简体"/>
          <w:sz w:val="21"/>
          <w:szCs w:val="21"/>
          <w:lang w:val="en-US" w:eastAsia="zh-CN"/>
        </w:rPr>
        <w:t>表格3：主动公开信息统计表</w:t>
      </w:r>
    </w:p>
    <w:tbl>
      <w:tblPr>
        <w:tblStyle w:val="9"/>
        <w:tblW w:w="877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430"/>
        <w:gridCol w:w="2130"/>
        <w:gridCol w:w="2220"/>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8775" w:type="dxa"/>
            <w:gridSpan w:val="4"/>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信息内容</w:t>
            </w:r>
          </w:p>
        </w:tc>
        <w:tc>
          <w:tcPr>
            <w:tcW w:w="21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本年制发件数</w:t>
            </w:r>
          </w:p>
        </w:tc>
        <w:tc>
          <w:tcPr>
            <w:tcW w:w="222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本年废止件数</w:t>
            </w:r>
          </w:p>
        </w:tc>
        <w:tc>
          <w:tcPr>
            <w:tcW w:w="1995"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规章</w:t>
            </w:r>
          </w:p>
        </w:tc>
        <w:tc>
          <w:tcPr>
            <w:tcW w:w="21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222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1995"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行政规范性文件</w:t>
            </w:r>
          </w:p>
        </w:tc>
        <w:tc>
          <w:tcPr>
            <w:tcW w:w="21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222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1995"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8775" w:type="dxa"/>
            <w:gridSpan w:val="4"/>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信息内容</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行政许可</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8775" w:type="dxa"/>
            <w:gridSpan w:val="4"/>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信息内容</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行政处罚</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行政强制</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8775" w:type="dxa"/>
            <w:gridSpan w:val="4"/>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信息内容</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jc w:val="center"/>
        </w:trPr>
        <w:tc>
          <w:tcPr>
            <w:tcW w:w="2430" w:type="dxa"/>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行政事业性收费</w:t>
            </w:r>
          </w:p>
        </w:tc>
        <w:tc>
          <w:tcPr>
            <w:tcW w:w="6345" w:type="dxa"/>
            <w:gridSpan w:val="3"/>
            <w:shd w:val="clear" w:color="auto" w:fill="FFFFFF"/>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bl>
    <w:p>
      <w:pPr>
        <w:pStyle w:val="3"/>
        <w:bidi w:val="0"/>
        <w:rPr>
          <w:rFonts w:hint="eastAsia"/>
        </w:rPr>
      </w:pPr>
      <w:r>
        <w:rPr>
          <w:rFonts w:hint="eastAsia"/>
          <w:lang w:val="en-US" w:eastAsia="zh-CN"/>
        </w:rPr>
        <w:t>三、</w:t>
      </w:r>
      <w:r>
        <w:rPr>
          <w:rFonts w:hint="eastAsia"/>
        </w:rPr>
        <w:t>收到和处理政府信息公开申请情况</w:t>
      </w:r>
    </w:p>
    <w:p>
      <w:pPr>
        <w:numPr>
          <w:ilvl w:val="0"/>
          <w:numId w:val="0"/>
        </w:numPr>
        <w:jc w:val="center"/>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sz w:val="21"/>
          <w:szCs w:val="21"/>
          <w:lang w:val="en-US" w:eastAsia="zh-CN"/>
        </w:rPr>
        <w:t>表格4：依申请公开信息统计表</w:t>
      </w:r>
    </w:p>
    <w:tbl>
      <w:tblPr>
        <w:tblStyle w:val="9"/>
        <w:tblW w:w="882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765"/>
        <w:gridCol w:w="945"/>
        <w:gridCol w:w="2880"/>
        <w:gridCol w:w="795"/>
        <w:gridCol w:w="600"/>
        <w:gridCol w:w="585"/>
        <w:gridCol w:w="600"/>
        <w:gridCol w:w="570"/>
        <w:gridCol w:w="555"/>
        <w:gridCol w:w="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4590" w:type="dxa"/>
            <w:gridSpan w:val="3"/>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sz w:val="21"/>
                <w:szCs w:val="21"/>
              </w:rPr>
            </w:pPr>
            <w:r>
              <w:rPr>
                <w:sz w:val="21"/>
                <w:szCs w:val="21"/>
              </w:rPr>
              <w:t>（本列数据的勾稽关系为：第一项加第二项之和，等于第三项加第四项之和）</w:t>
            </w:r>
          </w:p>
        </w:tc>
        <w:tc>
          <w:tcPr>
            <w:tcW w:w="4230" w:type="dxa"/>
            <w:gridSpan w:val="7"/>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590" w:type="dxa"/>
            <w:gridSpan w:val="3"/>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79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自然人</w:t>
            </w:r>
          </w:p>
        </w:tc>
        <w:tc>
          <w:tcPr>
            <w:tcW w:w="2910" w:type="dxa"/>
            <w:gridSpan w:val="5"/>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法人或其他组织</w:t>
            </w:r>
          </w:p>
        </w:tc>
        <w:tc>
          <w:tcPr>
            <w:tcW w:w="52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590" w:type="dxa"/>
            <w:gridSpan w:val="3"/>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79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商业</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企业</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科研</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机构</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社会公益组织</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法律服务机构</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其他</w:t>
            </w:r>
          </w:p>
        </w:tc>
        <w:tc>
          <w:tcPr>
            <w:tcW w:w="52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CellSpacing w:w="0" w:type="dxa"/>
        </w:trPr>
        <w:tc>
          <w:tcPr>
            <w:tcW w:w="4590" w:type="dxa"/>
            <w:gridSpan w:val="3"/>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sz w:val="21"/>
                <w:szCs w:val="21"/>
              </w:rPr>
              <w:t>一、本年新收政府信息公开申请数量</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blCellSpacing w:w="0" w:type="dxa"/>
        </w:trPr>
        <w:tc>
          <w:tcPr>
            <w:tcW w:w="4590" w:type="dxa"/>
            <w:gridSpan w:val="3"/>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二、上年结转政府信息公开申请数量</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76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三、本年度办理结果</w:t>
            </w:r>
          </w:p>
        </w:tc>
        <w:tc>
          <w:tcPr>
            <w:tcW w:w="3825" w:type="dxa"/>
            <w:gridSpan w:val="2"/>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（一）予以公开</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3825" w:type="dxa"/>
            <w:gridSpan w:val="2"/>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（二）部分公开（区分处理的，只计这一情形，不计其他情形）</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（三）不予公开</w:t>
            </w: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1.属于国家秘密</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2.其他法律行政法规禁止公开</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3.危及“三安全一稳定”</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4.保护第三方合法权益</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5.属于三类内部事务信息</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6.属于四类过程性信息</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7.属于行政执法案卷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8.属于行政查询事项</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（四）无法提供</w:t>
            </w: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1.本机关不掌握相关政府信息</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2.没有现成信息需要另行制作</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3.补正后申请内容仍不明确</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（五）不予处理</w:t>
            </w: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1.信访举报投诉类申请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2.重复申请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3.要求提供公开出版物</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4.无正当理由大量反复申请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53" w:hRule="atLeast"/>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5.要求行政机关确认或重新出具已获取信息</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restart"/>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（六）其他处理</w:t>
            </w:r>
          </w:p>
        </w:tc>
        <w:tc>
          <w:tcPr>
            <w:tcW w:w="288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1.申请人无正当理由逾期不补正、行政机关不再处理其政府信息公开申请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2.申请人逾期未按收费通知要求缴纳费用、行政机关不再处理其政府信息公开申请</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94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288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3.其他</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65" w:type="dxa"/>
            <w:vMerge w:val="continue"/>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p>
        </w:tc>
        <w:tc>
          <w:tcPr>
            <w:tcW w:w="3825" w:type="dxa"/>
            <w:gridSpan w:val="2"/>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（七）总计</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4590" w:type="dxa"/>
            <w:gridSpan w:val="3"/>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sz w:val="21"/>
                <w:szCs w:val="21"/>
              </w:rPr>
            </w:pPr>
            <w:r>
              <w:rPr>
                <w:rFonts w:hint="eastAsia"/>
                <w:sz w:val="21"/>
                <w:szCs w:val="21"/>
              </w:rPr>
              <w:t>四、结转下年度继续办理</w:t>
            </w:r>
          </w:p>
        </w:tc>
        <w:tc>
          <w:tcPr>
            <w:tcW w:w="79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8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60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70"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5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c>
          <w:tcPr>
            <w:tcW w:w="525" w:type="dxa"/>
            <w:shd w:val="clear" w:color="auto" w:fill="auto"/>
            <w:tcMar>
              <w:left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1"/>
                <w:szCs w:val="21"/>
              </w:rPr>
            </w:pPr>
            <w:r>
              <w:rPr>
                <w:rFonts w:hint="eastAsia"/>
                <w:sz w:val="21"/>
                <w:szCs w:val="21"/>
              </w:rPr>
              <w:t>0</w:t>
            </w:r>
          </w:p>
        </w:tc>
      </w:tr>
    </w:tbl>
    <w:p>
      <w:pPr>
        <w:rPr>
          <w:rFonts w:hint="eastAsia" w:ascii="方正仿宋简体" w:hAnsi="方正仿宋简体" w:eastAsia="方正仿宋简体" w:cs="方正仿宋简体"/>
          <w:sz w:val="32"/>
          <w:szCs w:val="32"/>
        </w:rPr>
      </w:pPr>
    </w:p>
    <w:p>
      <w:pPr>
        <w:pStyle w:val="3"/>
        <w:numPr>
          <w:ilvl w:val="0"/>
          <w:numId w:val="0"/>
        </w:numPr>
        <w:bidi w:val="0"/>
        <w:ind w:firstLine="641" w:firstLineChars="200"/>
        <w:rPr>
          <w:rFonts w:hint="eastAsia"/>
        </w:rPr>
      </w:pPr>
      <w:r>
        <w:rPr>
          <w:rFonts w:hint="eastAsia" w:ascii="Arial" w:hAnsi="Arial" w:eastAsia="方正黑体简体" w:cstheme="minorBidi"/>
          <w:b/>
          <w:kern w:val="2"/>
          <w:sz w:val="32"/>
          <w:szCs w:val="24"/>
          <w:lang w:val="en-US" w:eastAsia="zh-CN" w:bidi="ar-SA"/>
        </w:rPr>
        <w:t>四、</w:t>
      </w:r>
      <w:r>
        <w:rPr>
          <w:rFonts w:hint="eastAsia"/>
        </w:rPr>
        <w:t>政府信息公开行政复议、行政诉讼情况</w:t>
      </w:r>
    </w:p>
    <w:p>
      <w:pPr>
        <w:numPr>
          <w:ilvl w:val="0"/>
          <w:numId w:val="0"/>
        </w:numPr>
        <w:ind w:firstLine="422" w:firstLineChars="200"/>
        <w:jc w:val="center"/>
        <w:rPr>
          <w:rFonts w:hint="eastAsia"/>
        </w:rPr>
      </w:pPr>
      <w:r>
        <w:rPr>
          <w:rFonts w:hint="eastAsia" w:ascii="方正楷体简体" w:hAnsi="方正楷体简体" w:eastAsia="方正楷体简体" w:cs="方正楷体简体"/>
          <w:sz w:val="21"/>
          <w:szCs w:val="21"/>
          <w:lang w:val="en-US" w:eastAsia="zh-CN"/>
        </w:rPr>
        <w:t>表格5：行政复议、行政诉讼情况统计表</w:t>
      </w:r>
    </w:p>
    <w:tbl>
      <w:tblPr>
        <w:tblStyle w:val="9"/>
        <w:tblW w:w="880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11"/>
        <w:gridCol w:w="612"/>
        <w:gridCol w:w="597"/>
        <w:gridCol w:w="583"/>
        <w:gridCol w:w="479"/>
        <w:gridCol w:w="642"/>
        <w:gridCol w:w="642"/>
        <w:gridCol w:w="642"/>
        <w:gridCol w:w="627"/>
        <w:gridCol w:w="450"/>
        <w:gridCol w:w="642"/>
        <w:gridCol w:w="642"/>
        <w:gridCol w:w="642"/>
        <w:gridCol w:w="553"/>
        <w:gridCol w:w="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2882" w:type="dxa"/>
            <w:gridSpan w:val="5"/>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行政复议</w:t>
            </w:r>
          </w:p>
        </w:tc>
        <w:tc>
          <w:tcPr>
            <w:tcW w:w="5923" w:type="dxa"/>
            <w:gridSpan w:val="10"/>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1" w:type="dxa"/>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结果维持</w:t>
            </w:r>
          </w:p>
        </w:tc>
        <w:tc>
          <w:tcPr>
            <w:tcW w:w="612" w:type="dxa"/>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结果</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纠正</w:t>
            </w:r>
          </w:p>
        </w:tc>
        <w:tc>
          <w:tcPr>
            <w:tcW w:w="597" w:type="dxa"/>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其他</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结果</w:t>
            </w:r>
          </w:p>
        </w:tc>
        <w:tc>
          <w:tcPr>
            <w:tcW w:w="583" w:type="dxa"/>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尚未</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审结</w:t>
            </w:r>
          </w:p>
        </w:tc>
        <w:tc>
          <w:tcPr>
            <w:tcW w:w="479" w:type="dxa"/>
            <w:vMerge w:val="restart"/>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总计</w:t>
            </w:r>
          </w:p>
        </w:tc>
        <w:tc>
          <w:tcPr>
            <w:tcW w:w="3003" w:type="dxa"/>
            <w:gridSpan w:val="5"/>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未经复议直接起诉</w:t>
            </w:r>
          </w:p>
        </w:tc>
        <w:tc>
          <w:tcPr>
            <w:tcW w:w="2920" w:type="dxa"/>
            <w:gridSpan w:val="5"/>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1" w:type="dxa"/>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p>
        </w:tc>
        <w:tc>
          <w:tcPr>
            <w:tcW w:w="612" w:type="dxa"/>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p>
        </w:tc>
        <w:tc>
          <w:tcPr>
            <w:tcW w:w="597" w:type="dxa"/>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p>
        </w:tc>
        <w:tc>
          <w:tcPr>
            <w:tcW w:w="583" w:type="dxa"/>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p>
        </w:tc>
        <w:tc>
          <w:tcPr>
            <w:tcW w:w="479" w:type="dxa"/>
            <w:vMerge w:val="continue"/>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结果</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维持</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结果</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纠正</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其他</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结果</w:t>
            </w:r>
          </w:p>
        </w:tc>
        <w:tc>
          <w:tcPr>
            <w:tcW w:w="627"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尚未</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审结</w:t>
            </w:r>
          </w:p>
        </w:tc>
        <w:tc>
          <w:tcPr>
            <w:tcW w:w="450"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总计</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结果</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维持</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结果</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纠正</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其他</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结果</w:t>
            </w:r>
          </w:p>
        </w:tc>
        <w:tc>
          <w:tcPr>
            <w:tcW w:w="553"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lang w:eastAsia="zh-CN"/>
              </w:rPr>
            </w:pPr>
            <w:r>
              <w:rPr>
                <w:rFonts w:hint="eastAsia" w:ascii="方正仿宋简体" w:hAnsi="方正仿宋简体" w:eastAsia="方正仿宋简体" w:cs="方正仿宋简体"/>
                <w:sz w:val="21"/>
                <w:szCs w:val="21"/>
              </w:rPr>
              <w:t>尚未</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审结</w:t>
            </w:r>
          </w:p>
        </w:tc>
        <w:tc>
          <w:tcPr>
            <w:tcW w:w="441"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75" w:hRule="atLeast"/>
          <w:tblCellSpacing w:w="0" w:type="dxa"/>
          <w:jc w:val="center"/>
        </w:trPr>
        <w:tc>
          <w:tcPr>
            <w:tcW w:w="611"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1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597"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583"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479"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27"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450"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642"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553"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c>
          <w:tcPr>
            <w:tcW w:w="441" w:type="dxa"/>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0</w:t>
            </w:r>
          </w:p>
        </w:tc>
      </w:tr>
    </w:tbl>
    <w:p>
      <w:pPr>
        <w:pStyle w:val="3"/>
        <w:bidi w:val="0"/>
        <w:rPr>
          <w:rFonts w:hint="eastAsia"/>
        </w:rPr>
      </w:pPr>
      <w:r>
        <w:rPr>
          <w:rFonts w:hint="eastAsia"/>
        </w:rPr>
        <w:t>五、存在的主要问题及改进情况</w:t>
      </w:r>
    </w:p>
    <w:p>
      <w:pP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202</w:t>
      </w:r>
      <w:r>
        <w:rPr>
          <w:rFonts w:hint="eastAsia" w:ascii="方正仿宋简体" w:hAnsi="方正仿宋简体" w:cs="方正仿宋简体"/>
          <w:sz w:val="32"/>
          <w:szCs w:val="32"/>
          <w:lang w:val="en-US" w:eastAsia="zh-CN"/>
        </w:rPr>
        <w:t>3</w:t>
      </w:r>
      <w:r>
        <w:rPr>
          <w:rFonts w:hint="eastAsia" w:ascii="方正仿宋简体" w:hAnsi="方正仿宋简体" w:eastAsia="方正仿宋简体" w:cs="方正仿宋简体"/>
          <w:sz w:val="32"/>
          <w:szCs w:val="32"/>
        </w:rPr>
        <w:t>年，中心政府信息公开工作总体运行情况良好，但仍然存在政府信息公开的广度和深度不足</w:t>
      </w:r>
      <w:r>
        <w:rPr>
          <w:rFonts w:hint="eastAsia" w:ascii="方正仿宋简体" w:hAnsi="方正仿宋简体" w:cs="方正仿宋简体"/>
          <w:sz w:val="32"/>
          <w:szCs w:val="32"/>
          <w:lang w:val="en-US" w:eastAsia="zh-CN"/>
        </w:rPr>
        <w:t>的问题，</w:t>
      </w:r>
      <w:r>
        <w:rPr>
          <w:rFonts w:hint="eastAsia" w:ascii="方正仿宋简体" w:hAnsi="方正仿宋简体" w:eastAsia="方正仿宋简体" w:cs="方正仿宋简体"/>
          <w:sz w:val="32"/>
          <w:szCs w:val="32"/>
        </w:rPr>
        <w:t>主要表现在政策解读</w:t>
      </w:r>
      <w:r>
        <w:rPr>
          <w:rFonts w:hint="eastAsia" w:ascii="方正仿宋简体" w:hAnsi="方正仿宋简体" w:cs="方正仿宋简体"/>
          <w:sz w:val="32"/>
          <w:szCs w:val="32"/>
          <w:lang w:val="en-US" w:eastAsia="zh-CN"/>
        </w:rPr>
        <w:t>形式单一、</w:t>
      </w:r>
      <w:r>
        <w:rPr>
          <w:rFonts w:hint="eastAsia" w:ascii="方正仿宋简体" w:hAnsi="方正仿宋简体" w:eastAsia="方正仿宋简体" w:cs="方正仿宋简体"/>
          <w:sz w:val="32"/>
          <w:szCs w:val="32"/>
        </w:rPr>
        <w:t>不够通俗</w:t>
      </w: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同时信息发布不及时的情况也时有发生</w:t>
      </w:r>
      <w:r>
        <w:rPr>
          <w:rFonts w:hint="eastAsia" w:ascii="方正仿宋简体" w:hAnsi="方正仿宋简体" w:eastAsia="方正仿宋简体" w:cs="方正仿宋简体"/>
          <w:sz w:val="32"/>
          <w:szCs w:val="32"/>
        </w:rPr>
        <w:t>，</w:t>
      </w:r>
      <w:r>
        <w:rPr>
          <w:rFonts w:hint="eastAsia" w:ascii="方正仿宋简体" w:hAnsi="方正仿宋简体" w:cs="方正仿宋简体"/>
          <w:sz w:val="32"/>
          <w:szCs w:val="32"/>
          <w:lang w:val="en-US" w:eastAsia="zh-CN"/>
        </w:rPr>
        <w:t>企业和</w:t>
      </w:r>
      <w:r>
        <w:rPr>
          <w:rFonts w:hint="eastAsia" w:ascii="方正仿宋简体" w:hAnsi="方正仿宋简体" w:eastAsia="方正仿宋简体" w:cs="方正仿宋简体"/>
          <w:sz w:val="32"/>
          <w:szCs w:val="32"/>
        </w:rPr>
        <w:t>群众获取政府信息的便捷性不高。</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w:t>
      </w:r>
      <w:r>
        <w:rPr>
          <w:rFonts w:hint="eastAsia" w:ascii="方正仿宋简体" w:hAnsi="方正仿宋简体" w:cs="方正仿宋简体"/>
          <w:sz w:val="32"/>
          <w:szCs w:val="32"/>
          <w:lang w:val="en-US" w:eastAsia="zh-CN"/>
        </w:rPr>
        <w:t>4</w:t>
      </w:r>
      <w:r>
        <w:rPr>
          <w:rFonts w:hint="eastAsia" w:ascii="方正仿宋简体" w:hAnsi="方正仿宋简体" w:eastAsia="方正仿宋简体" w:cs="方正仿宋简体"/>
          <w:sz w:val="32"/>
          <w:szCs w:val="32"/>
        </w:rPr>
        <w:t>年政务公开工作重点：一是</w:t>
      </w:r>
      <w:r>
        <w:rPr>
          <w:rFonts w:hint="eastAsia" w:ascii="方正仿宋简体" w:hAnsi="方正仿宋简体" w:cs="方正仿宋简体"/>
          <w:sz w:val="32"/>
          <w:szCs w:val="32"/>
          <w:lang w:val="en-US" w:eastAsia="zh-CN"/>
        </w:rPr>
        <w:t>提高信息公开的质量，主要是进一步丰富解读的形式，</w:t>
      </w:r>
      <w:r>
        <w:rPr>
          <w:rFonts w:hint="eastAsia" w:ascii="方正仿宋简体" w:hAnsi="方正仿宋简体" w:eastAsia="方正仿宋简体" w:cs="方正仿宋简体"/>
          <w:sz w:val="32"/>
          <w:szCs w:val="32"/>
        </w:rPr>
        <w:t>增强</w:t>
      </w:r>
      <w:r>
        <w:rPr>
          <w:rFonts w:hint="eastAsia" w:ascii="方正仿宋简体" w:hAnsi="方正仿宋简体" w:cs="方正仿宋简体"/>
          <w:sz w:val="32"/>
          <w:szCs w:val="32"/>
          <w:lang w:val="en-US" w:eastAsia="zh-CN"/>
        </w:rPr>
        <w:t>解读</w:t>
      </w:r>
      <w:r>
        <w:rPr>
          <w:rFonts w:hint="eastAsia" w:ascii="方正仿宋简体" w:hAnsi="方正仿宋简体" w:eastAsia="方正仿宋简体" w:cs="方正仿宋简体"/>
          <w:sz w:val="32"/>
          <w:szCs w:val="32"/>
        </w:rPr>
        <w:t>的深度</w:t>
      </w: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同时</w:t>
      </w:r>
      <w:r>
        <w:rPr>
          <w:rFonts w:hint="eastAsia" w:ascii="方正仿宋简体" w:hAnsi="方正仿宋简体" w:eastAsia="方正仿宋简体" w:cs="方正仿宋简体"/>
          <w:sz w:val="32"/>
          <w:szCs w:val="32"/>
        </w:rPr>
        <w:t>加强保密</w:t>
      </w:r>
      <w:r>
        <w:rPr>
          <w:rFonts w:hint="eastAsia" w:ascii="方正仿宋简体" w:hAnsi="方正仿宋简体" w:cs="方正仿宋简体"/>
          <w:sz w:val="32"/>
          <w:szCs w:val="32"/>
          <w:lang w:val="en-US" w:eastAsia="zh-CN"/>
        </w:rPr>
        <w:t>信息</w:t>
      </w:r>
      <w:r>
        <w:rPr>
          <w:rFonts w:hint="eastAsia" w:ascii="方正仿宋简体" w:hAnsi="方正仿宋简体" w:eastAsia="方正仿宋简体" w:cs="方正仿宋简体"/>
          <w:sz w:val="32"/>
          <w:szCs w:val="32"/>
        </w:rPr>
        <w:t>审核，</w:t>
      </w:r>
      <w:r>
        <w:rPr>
          <w:rFonts w:hint="eastAsia" w:ascii="方正仿宋简体" w:hAnsi="方正仿宋简体" w:cs="方正仿宋简体"/>
          <w:sz w:val="32"/>
          <w:szCs w:val="32"/>
          <w:lang w:val="en-US" w:eastAsia="zh-CN"/>
        </w:rPr>
        <w:t>明确每份文件、通知、函件的公开属性</w:t>
      </w:r>
      <w:r>
        <w:rPr>
          <w:rFonts w:hint="eastAsia" w:ascii="方正仿宋简体" w:hAnsi="方正仿宋简体" w:cs="方正仿宋简体"/>
          <w:sz w:val="32"/>
          <w:szCs w:val="32"/>
          <w:lang w:eastAsia="zh-CN"/>
        </w:rPr>
        <w:t>；</w:t>
      </w:r>
      <w:r>
        <w:rPr>
          <w:rFonts w:hint="eastAsia" w:ascii="方正仿宋简体" w:hAnsi="方正仿宋简体" w:eastAsia="方正仿宋简体" w:cs="方正仿宋简体"/>
          <w:sz w:val="32"/>
          <w:szCs w:val="32"/>
        </w:rPr>
        <w:t>二是进一步加强《政府信息公开条例》的学习，定期组织开展培训会，教育引导相关工作人员学习和掌握政府信息公开政策及工作要求，深化对政府信息公开工作重要性的认识，增强工作主动性、自觉性，切实提升信息公开的质量和水平</w:t>
      </w: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三是进一步明确政务公开职责，尤其是明确文件起草科室在明确公开属性、有效性等方面的职责，提高文件公开的准确性、时效性</w:t>
      </w:r>
      <w:r>
        <w:rPr>
          <w:rFonts w:hint="eastAsia" w:ascii="方正仿宋简体" w:hAnsi="方正仿宋简体" w:eastAsia="方正仿宋简体" w:cs="方正仿宋简体"/>
          <w:sz w:val="32"/>
          <w:szCs w:val="32"/>
        </w:rPr>
        <w:t>。</w:t>
      </w:r>
    </w:p>
    <w:p>
      <w:pPr>
        <w:pStyle w:val="3"/>
        <w:bidi w:val="0"/>
        <w:rPr>
          <w:rFonts w:hint="eastAsia"/>
        </w:rPr>
      </w:pPr>
      <w:r>
        <w:rPr>
          <w:rFonts w:hint="eastAsia"/>
        </w:rPr>
        <w:t>六、其他需要报告的事项</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（一）依据《政府信息公开信息处理费管理办法》，未收取信息处理费。</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（二）公布了本级政府集中采购项目的目录、标准及202</w:t>
      </w:r>
      <w:r>
        <w:rPr>
          <w:rFonts w:hint="eastAsia" w:ascii="方正仿宋简体" w:hAnsi="方正仿宋简体" w:cs="方正仿宋简体"/>
          <w:sz w:val="32"/>
          <w:szCs w:val="32"/>
          <w:lang w:val="en-US" w:eastAsia="zh-CN"/>
        </w:rPr>
        <w:t>3</w:t>
      </w:r>
      <w:r>
        <w:rPr>
          <w:rFonts w:hint="eastAsia" w:ascii="方正仿宋简体" w:hAnsi="方正仿宋简体" w:eastAsia="方正仿宋简体" w:cs="方正仿宋简体"/>
          <w:sz w:val="32"/>
          <w:szCs w:val="32"/>
        </w:rPr>
        <w:t>年市级政府采购项目实施情况；及时公开公共资源交易公告、资格审查结果、交易过程信息、成交信息、履约信息以及有关变更信息；围绕优化营商环境等重点工作开展专项解读。</w:t>
      </w:r>
    </w:p>
    <w:p>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（三）20</w:t>
      </w:r>
      <w:r>
        <w:rPr>
          <w:rFonts w:hint="eastAsia" w:ascii="方正仿宋简体" w:hAnsi="方正仿宋简体" w:cs="方正仿宋简体"/>
          <w:sz w:val="32"/>
          <w:szCs w:val="32"/>
          <w:lang w:val="en-US" w:eastAsia="zh-CN"/>
        </w:rPr>
        <w:t>23</w:t>
      </w:r>
      <w:r>
        <w:rPr>
          <w:rFonts w:hint="eastAsia" w:ascii="方正仿宋简体" w:hAnsi="方正仿宋简体" w:eastAsia="方正仿宋简体" w:cs="方正仿宋简体"/>
          <w:sz w:val="32"/>
          <w:szCs w:val="32"/>
        </w:rPr>
        <w:t>年度未收到政协委员提案和人大代表建议。</w:t>
      </w:r>
      <w:r>
        <w:rPr>
          <w:rFonts w:hint="eastAsia" w:ascii="方正仿宋简体" w:hAnsi="方正仿宋简体" w:eastAsia="方正仿宋简体" w:cs="方正仿宋简体"/>
          <w:sz w:val="32"/>
          <w:szCs w:val="32"/>
          <w:lang w:val="en-US" w:eastAsia="zh-CN"/>
        </w:rPr>
        <w:t>仅协助市税务局、市</w:t>
      </w:r>
      <w:r>
        <w:rPr>
          <w:rFonts w:hint="eastAsia" w:ascii="方正仿宋简体" w:hAnsi="方正仿宋简体" w:cs="方正仿宋简体"/>
          <w:sz w:val="32"/>
          <w:szCs w:val="32"/>
          <w:lang w:val="en-US" w:eastAsia="zh-CN"/>
        </w:rPr>
        <w:t>卫生</w:t>
      </w:r>
      <w:r>
        <w:rPr>
          <w:rFonts w:hint="eastAsia" w:ascii="方正仿宋简体" w:hAnsi="方正仿宋简体" w:eastAsia="方正仿宋简体" w:cs="方正仿宋简体"/>
          <w:sz w:val="32"/>
          <w:szCs w:val="32"/>
          <w:lang w:val="en-US" w:eastAsia="zh-CN"/>
        </w:rPr>
        <w:t>健康委分别办理《关于实现不动产交易及税收系统和公共资源交易信息互联互通的建议》（14020052号提案）和《关于优化医疗设备及配套试剂耗材采购的建议》（14020150号提案）两项提案，均已办理答复。</w:t>
      </w:r>
    </w:p>
    <w:p>
      <w:pPr>
        <w:rPr>
          <w:rFonts w:hint="eastAsia" w:ascii="方正仿宋简体" w:hAnsi="方正仿宋简体" w:eastAsia="方正仿宋简体" w:cs="方正仿宋简体"/>
          <w:sz w:val="32"/>
          <w:szCs w:val="32"/>
          <w:lang w:eastAsia="zh-CN"/>
        </w:rPr>
      </w:pP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四</w:t>
      </w:r>
      <w:r>
        <w:rPr>
          <w:rFonts w:hint="eastAsia" w:ascii="方正仿宋简体" w:hAnsi="方正仿宋简体" w:cs="方正仿宋简体"/>
          <w:sz w:val="32"/>
          <w:szCs w:val="32"/>
          <w:lang w:eastAsia="zh-CN"/>
        </w:rPr>
        <w:t>）</w:t>
      </w:r>
      <w:r>
        <w:rPr>
          <w:rFonts w:hint="eastAsia" w:ascii="方正仿宋简体" w:hAnsi="方正仿宋简体" w:cs="方正仿宋简体"/>
          <w:sz w:val="32"/>
          <w:szCs w:val="32"/>
          <w:lang w:val="en-US" w:eastAsia="zh-CN"/>
        </w:rPr>
        <w:t>我市积极参与全省的公共资源交易信息同频共振试点任务，打通了与省公共资源中心和其他6个地市，不同交易平台之间的数据深度共享渠道，实现了交易公告、公示等交易信息的交互共享，做到了“一市发布、全省共振”。截至目前，已交互交易信息8083条。</w:t>
      </w:r>
    </w:p>
    <w:p>
      <w:bookmarkStart w:id="0" w:name="_GoBack"/>
      <w:bookmarkEnd w:id="0"/>
    </w:p>
    <w:p/>
    <w:p>
      <w:r>
        <w:rPr>
          <w:rFonts w:hint="eastAsia"/>
        </w:rPr>
        <w:t>https://flbook.com.cn/c/PnTpNsrHpo#page/1</w:t>
      </w:r>
    </w:p>
    <w:sectPr>
      <w:footerReference r:id="rId5" w:type="default"/>
      <w:pgSz w:w="11906" w:h="16838"/>
      <w:pgMar w:top="2120" w:right="1519" w:bottom="1950" w:left="1576"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3"/>
      </w:pPr>
      <w:r>
        <w:separator/>
      </w:r>
    </w:p>
  </w:endnote>
  <w:endnote w:type="continuationSeparator" w:id="1">
    <w:p>
      <w:pPr>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3"/>
      </w:pPr>
      <w:r>
        <w:separator/>
      </w:r>
    </w:p>
  </w:footnote>
  <w:footnote w:type="continuationSeparator" w:id="1">
    <w:p>
      <w:pPr>
        <w:ind w:firstLine="64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WZmMGEwMmJjYmM1NjZlYTFmNjc1YmFhZjdiNzkifQ=="/>
  </w:docVars>
  <w:rsids>
    <w:rsidRoot w:val="00000000"/>
    <w:rsid w:val="00027B74"/>
    <w:rsid w:val="00A50713"/>
    <w:rsid w:val="02E421D0"/>
    <w:rsid w:val="033D49F5"/>
    <w:rsid w:val="045F4DED"/>
    <w:rsid w:val="05FD29C0"/>
    <w:rsid w:val="07B76CEE"/>
    <w:rsid w:val="099B33DF"/>
    <w:rsid w:val="0AFA2B41"/>
    <w:rsid w:val="0AFD383D"/>
    <w:rsid w:val="0B1F0E32"/>
    <w:rsid w:val="0B2B326A"/>
    <w:rsid w:val="0BC33A5C"/>
    <w:rsid w:val="0E2716CA"/>
    <w:rsid w:val="105756CA"/>
    <w:rsid w:val="10993435"/>
    <w:rsid w:val="11C75D80"/>
    <w:rsid w:val="12A915D6"/>
    <w:rsid w:val="12E22157"/>
    <w:rsid w:val="13195CAA"/>
    <w:rsid w:val="17D6198C"/>
    <w:rsid w:val="18B65219"/>
    <w:rsid w:val="19C9433C"/>
    <w:rsid w:val="1A650261"/>
    <w:rsid w:val="1C2D275B"/>
    <w:rsid w:val="1CE67A02"/>
    <w:rsid w:val="1D2A799E"/>
    <w:rsid w:val="1D994B15"/>
    <w:rsid w:val="20E144FE"/>
    <w:rsid w:val="22D60519"/>
    <w:rsid w:val="23494ECF"/>
    <w:rsid w:val="24C0322E"/>
    <w:rsid w:val="26633E71"/>
    <w:rsid w:val="269E01E7"/>
    <w:rsid w:val="269F0C21"/>
    <w:rsid w:val="26E56F7C"/>
    <w:rsid w:val="27C6707C"/>
    <w:rsid w:val="2A102562"/>
    <w:rsid w:val="2AE05ACC"/>
    <w:rsid w:val="2B604D66"/>
    <w:rsid w:val="2B9B40AD"/>
    <w:rsid w:val="2BFE097E"/>
    <w:rsid w:val="2E78119F"/>
    <w:rsid w:val="2EAB205F"/>
    <w:rsid w:val="2F362B68"/>
    <w:rsid w:val="2F7C46FB"/>
    <w:rsid w:val="2FFD4E80"/>
    <w:rsid w:val="32331516"/>
    <w:rsid w:val="32EA7018"/>
    <w:rsid w:val="35931184"/>
    <w:rsid w:val="35A06690"/>
    <w:rsid w:val="361D16BD"/>
    <w:rsid w:val="376278BD"/>
    <w:rsid w:val="37737C8C"/>
    <w:rsid w:val="3816608A"/>
    <w:rsid w:val="3B6A7F86"/>
    <w:rsid w:val="3BCE2D0D"/>
    <w:rsid w:val="3EA564F5"/>
    <w:rsid w:val="3FE0432D"/>
    <w:rsid w:val="40653FA2"/>
    <w:rsid w:val="41A27AEC"/>
    <w:rsid w:val="422746A1"/>
    <w:rsid w:val="43530F99"/>
    <w:rsid w:val="440A2AAE"/>
    <w:rsid w:val="45BE6EBE"/>
    <w:rsid w:val="462C1A65"/>
    <w:rsid w:val="4AB75EA6"/>
    <w:rsid w:val="4DD04387"/>
    <w:rsid w:val="4F8555EB"/>
    <w:rsid w:val="507765E7"/>
    <w:rsid w:val="508E23AC"/>
    <w:rsid w:val="539179C0"/>
    <w:rsid w:val="54D86B02"/>
    <w:rsid w:val="553906E8"/>
    <w:rsid w:val="56293EE0"/>
    <w:rsid w:val="56FF6F26"/>
    <w:rsid w:val="57A46969"/>
    <w:rsid w:val="59F132C2"/>
    <w:rsid w:val="5AA71877"/>
    <w:rsid w:val="5BFE2D91"/>
    <w:rsid w:val="5DC664B8"/>
    <w:rsid w:val="61D54F1C"/>
    <w:rsid w:val="621A77A6"/>
    <w:rsid w:val="62474C28"/>
    <w:rsid w:val="636D5D54"/>
    <w:rsid w:val="63C72F0C"/>
    <w:rsid w:val="65A23ABB"/>
    <w:rsid w:val="65F44311"/>
    <w:rsid w:val="66974E96"/>
    <w:rsid w:val="66D62B44"/>
    <w:rsid w:val="6733495E"/>
    <w:rsid w:val="677D4DF4"/>
    <w:rsid w:val="69D1246D"/>
    <w:rsid w:val="6A130CD7"/>
    <w:rsid w:val="6A2C3149"/>
    <w:rsid w:val="6A4277BB"/>
    <w:rsid w:val="6A9C3978"/>
    <w:rsid w:val="6AFE1987"/>
    <w:rsid w:val="6B0C1B7F"/>
    <w:rsid w:val="6C3E52A3"/>
    <w:rsid w:val="6CC55A9F"/>
    <w:rsid w:val="6D5B49E8"/>
    <w:rsid w:val="6D5C4743"/>
    <w:rsid w:val="6ECB070D"/>
    <w:rsid w:val="71C92D3B"/>
    <w:rsid w:val="724760D2"/>
    <w:rsid w:val="72DF0C7A"/>
    <w:rsid w:val="73E01C2A"/>
    <w:rsid w:val="760158BF"/>
    <w:rsid w:val="793D7B1F"/>
    <w:rsid w:val="795B7FA5"/>
    <w:rsid w:val="7B7B048A"/>
    <w:rsid w:val="7BA077E5"/>
    <w:rsid w:val="7BAE7195"/>
    <w:rsid w:val="7D4967E1"/>
    <w:rsid w:val="7E074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420" w:firstLineChars="200"/>
      <w:jc w:val="both"/>
    </w:pPr>
    <w:rPr>
      <w:rFonts w:eastAsia="方正仿宋简体" w:asciiTheme="minorAscii" w:hAnsiTheme="minorAscii" w:cstheme="minorBidi"/>
      <w:b/>
      <w:kern w:val="2"/>
      <w:sz w:val="32"/>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600" w:lineRule="exact"/>
      <w:ind w:firstLine="0" w:firstLineChars="0"/>
      <w:jc w:val="center"/>
      <w:outlineLvl w:val="0"/>
    </w:pPr>
    <w:rPr>
      <w:rFonts w:eastAsia="方正小标宋简体"/>
      <w:kern w:val="44"/>
      <w:sz w:val="44"/>
    </w:rPr>
  </w:style>
  <w:style w:type="paragraph" w:styleId="3">
    <w:name w:val="heading 2"/>
    <w:basedOn w:val="1"/>
    <w:next w:val="1"/>
    <w:autoRedefine/>
    <w:unhideWhenUsed/>
    <w:qFormat/>
    <w:uiPriority w:val="0"/>
    <w:pPr>
      <w:keepNext/>
      <w:keepLines/>
      <w:spacing w:beforeLines="0" w:beforeAutospacing="0" w:afterLines="0" w:afterAutospacing="0" w:line="240" w:lineRule="auto"/>
      <w:ind w:firstLine="420" w:firstLineChars="200"/>
      <w:outlineLvl w:val="1"/>
    </w:pPr>
    <w:rPr>
      <w:rFonts w:ascii="Arial" w:hAnsi="Arial" w:eastAsia="方正黑体简体"/>
    </w:rPr>
  </w:style>
  <w:style w:type="paragraph" w:styleId="4">
    <w:name w:val="heading 3"/>
    <w:basedOn w:val="1"/>
    <w:next w:val="1"/>
    <w:autoRedefine/>
    <w:unhideWhenUsed/>
    <w:qFormat/>
    <w:uiPriority w:val="0"/>
    <w:pPr>
      <w:keepNext/>
      <w:keepLines/>
      <w:spacing w:beforeLines="0" w:beforeAutospacing="0" w:afterLines="0" w:afterAutospacing="0" w:line="240" w:lineRule="auto"/>
      <w:ind w:firstLine="420" w:firstLineChars="200"/>
      <w:outlineLvl w:val="2"/>
    </w:pPr>
    <w:rPr>
      <w:rFonts w:eastAsia="方正楷体简体"/>
    </w:rPr>
  </w:style>
  <w:style w:type="paragraph" w:styleId="5">
    <w:name w:val="heading 4"/>
    <w:basedOn w:val="1"/>
    <w:next w:val="1"/>
    <w:autoRedefine/>
    <w:semiHidden/>
    <w:unhideWhenUsed/>
    <w:qFormat/>
    <w:uiPriority w:val="0"/>
    <w:pPr>
      <w:keepNext/>
      <w:keepLines/>
      <w:spacing w:beforeLines="0" w:beforeAutospacing="0" w:afterLines="0" w:afterAutospacing="0" w:line="240" w:lineRule="auto"/>
      <w:ind w:firstLine="420" w:firstLineChars="200"/>
      <w:outlineLvl w:val="3"/>
    </w:pPr>
    <w:rPr>
      <w:rFonts w:ascii="Arial" w:hAnsi="Arial"/>
      <w:sz w:val="28"/>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3053</Words>
  <Characters>3211</Characters>
  <Lines>0</Lines>
  <Paragraphs>0</Paragraphs>
  <TotalTime>49</TotalTime>
  <ScaleCrop>false</ScaleCrop>
  <LinksUpToDate>false</LinksUpToDate>
  <CharactersWithSpaces>3232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2023-04-21T06:05:00Z</dcterms:created>
  <dc:creator>Administrator</dc:creator>
  <cp:lastModifiedBy>微信用户</cp:lastModifiedBy>
  <dcterms:modified xsi:type="dcterms:W3CDTF">2024-01-24T06:09:00Z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212AA2A07F454A62BF16C970A5E373E1_12</vt:lpwstr>
  </property>
</Properties>
</file>