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济宁市</w:t>
      </w:r>
      <w:r>
        <w:rPr>
          <w:rFonts w:hint="eastAsia" w:ascii="方正小标宋简体" w:hAnsi="方正小标宋简体" w:eastAsia="方正小标宋简体" w:cs="方正小标宋简体"/>
          <w:i w:val="0"/>
          <w:iCs w:val="0"/>
          <w:caps w:val="0"/>
          <w:color w:val="333333"/>
          <w:spacing w:val="0"/>
          <w:sz w:val="44"/>
          <w:szCs w:val="44"/>
          <w:lang w:eastAsia="zh-CN"/>
        </w:rPr>
        <w:t>司法</w:t>
      </w:r>
      <w:r>
        <w:rPr>
          <w:rFonts w:hint="eastAsia" w:ascii="方正小标宋简体" w:hAnsi="方正小标宋简体" w:eastAsia="方正小标宋简体" w:cs="方正小标宋简体"/>
          <w:i w:val="0"/>
          <w:iCs w:val="0"/>
          <w:caps w:val="0"/>
          <w:color w:val="333333"/>
          <w:spacing w:val="0"/>
          <w:sz w:val="44"/>
          <w:szCs w:val="44"/>
        </w:rPr>
        <w:t>局202</w:t>
      </w:r>
      <w:r>
        <w:rPr>
          <w:rFonts w:hint="eastAsia" w:ascii="方正小标宋简体" w:hAnsi="方正小标宋简体" w:eastAsia="方正小标宋简体" w:cs="方正小标宋简体"/>
          <w:i w:val="0"/>
          <w:iCs w:val="0"/>
          <w:caps w:val="0"/>
          <w:color w:val="333333"/>
          <w:spacing w:val="0"/>
          <w:sz w:val="44"/>
          <w:szCs w:val="44"/>
          <w:lang w:val="en-US" w:eastAsia="zh-CN"/>
        </w:rPr>
        <w:t>2</w:t>
      </w:r>
      <w:r>
        <w:rPr>
          <w:rFonts w:hint="eastAsia" w:ascii="方正小标宋简体" w:hAnsi="方正小标宋简体" w:eastAsia="方正小标宋简体" w:cs="方正小标宋简体"/>
          <w:i w:val="0"/>
          <w:iCs w:val="0"/>
          <w:caps w:val="0"/>
          <w:color w:val="333333"/>
          <w:spacing w:val="0"/>
          <w:sz w:val="44"/>
          <w:szCs w:val="44"/>
        </w:rPr>
        <w:t>年政府信息公开工作</w:t>
      </w:r>
    </w:p>
    <w:p>
      <w:pPr>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年度报告</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lang w:eastAsia="zh-CN"/>
        </w:rPr>
        <w:t>本报告由济宁市司法局按照</w:t>
      </w:r>
      <w:r>
        <w:rPr>
          <w:rFonts w:hint="eastAsia" w:ascii="方正仿宋简体" w:hAnsi="方正仿宋简体" w:eastAsia="方正仿宋简体" w:cs="方正仿宋简体"/>
          <w:b/>
          <w:bCs/>
          <w:i w:val="0"/>
          <w:iCs w:val="0"/>
          <w:caps w:val="0"/>
          <w:color w:val="333333"/>
          <w:spacing w:val="0"/>
          <w:sz w:val="31"/>
          <w:szCs w:val="31"/>
        </w:rPr>
        <w:t>《中华人民共和国政府信息公开条例》</w:t>
      </w:r>
      <w:r>
        <w:rPr>
          <w:rFonts w:hint="eastAsia" w:ascii="方正仿宋简体" w:hAnsi="方正仿宋简体" w:eastAsia="方正仿宋简体" w:cs="方正仿宋简体"/>
          <w:b/>
          <w:bCs/>
          <w:i w:val="0"/>
          <w:iCs w:val="0"/>
          <w:caps w:val="0"/>
          <w:color w:val="333333"/>
          <w:spacing w:val="0"/>
          <w:sz w:val="31"/>
          <w:szCs w:val="31"/>
          <w:lang w:eastAsia="zh-CN"/>
        </w:rPr>
        <w:t>（以下简称《条例》）</w:t>
      </w:r>
      <w:r>
        <w:rPr>
          <w:rFonts w:hint="eastAsia" w:ascii="方正仿宋简体" w:hAnsi="方正仿宋简体" w:eastAsia="方正仿宋简体" w:cs="方正仿宋简体"/>
          <w:b/>
          <w:bCs/>
          <w:i w:val="0"/>
          <w:iCs w:val="0"/>
          <w:caps w:val="0"/>
          <w:color w:val="333333"/>
          <w:spacing w:val="0"/>
          <w:sz w:val="31"/>
          <w:szCs w:val="31"/>
        </w:rPr>
        <w:t>和《中华人民共和国政府信息公开工作年度报告格式》（国办公开办函〔2021〕30号）要求编制。</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本报告所列数据的统计期限自202</w:t>
      </w:r>
      <w:r>
        <w:rPr>
          <w:rFonts w:hint="eastAsia" w:ascii="方正仿宋简体" w:hAnsi="方正仿宋简体" w:eastAsia="方正仿宋简体" w:cs="方正仿宋简体"/>
          <w:b/>
          <w:bCs/>
          <w:i w:val="0"/>
          <w:iCs w:val="0"/>
          <w:caps w:val="0"/>
          <w:color w:val="333333"/>
          <w:spacing w:val="0"/>
          <w:sz w:val="31"/>
          <w:szCs w:val="31"/>
          <w:lang w:val="en-US" w:eastAsia="zh-CN"/>
        </w:rPr>
        <w:t>2</w:t>
      </w:r>
      <w:r>
        <w:rPr>
          <w:rFonts w:hint="eastAsia" w:ascii="方正仿宋简体" w:hAnsi="方正仿宋简体" w:eastAsia="方正仿宋简体" w:cs="方正仿宋简体"/>
          <w:b/>
          <w:bCs/>
          <w:i w:val="0"/>
          <w:iCs w:val="0"/>
          <w:caps w:val="0"/>
          <w:color w:val="333333"/>
          <w:spacing w:val="0"/>
          <w:sz w:val="31"/>
          <w:szCs w:val="31"/>
        </w:rPr>
        <w:t>年1月1日起至202</w:t>
      </w:r>
      <w:r>
        <w:rPr>
          <w:rFonts w:hint="eastAsia" w:ascii="方正仿宋简体" w:hAnsi="方正仿宋简体" w:eastAsia="方正仿宋简体" w:cs="方正仿宋简体"/>
          <w:b/>
          <w:bCs/>
          <w:i w:val="0"/>
          <w:iCs w:val="0"/>
          <w:caps w:val="0"/>
          <w:color w:val="333333"/>
          <w:spacing w:val="0"/>
          <w:sz w:val="31"/>
          <w:szCs w:val="31"/>
          <w:lang w:val="en-US" w:eastAsia="zh-CN"/>
        </w:rPr>
        <w:t>2</w:t>
      </w:r>
      <w:r>
        <w:rPr>
          <w:rFonts w:hint="eastAsia" w:ascii="方正仿宋简体" w:hAnsi="方正仿宋简体" w:eastAsia="方正仿宋简体" w:cs="方正仿宋简体"/>
          <w:b/>
          <w:bCs/>
          <w:i w:val="0"/>
          <w:iCs w:val="0"/>
          <w:caps w:val="0"/>
          <w:color w:val="333333"/>
          <w:spacing w:val="0"/>
          <w:sz w:val="31"/>
          <w:szCs w:val="31"/>
        </w:rPr>
        <w:t>年12月31日止。本报告电子版可在“中国·济宁”政府门户网站（www.jining.gov.cn）查阅或下载。如对本报告有疑问，请与济宁市司法局办公室联系（地址：山东省济宁市高新区崇文大道西首路南，联系电话：0537-7710000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000000"/>
          <w:spacing w:val="0"/>
          <w:sz w:val="43"/>
          <w:szCs w:val="43"/>
        </w:rPr>
      </w:pPr>
      <w:r>
        <w:rPr>
          <w:rStyle w:val="6"/>
          <w:rFonts w:ascii="黑体" w:hAnsi="宋体" w:eastAsia="黑体" w:cs="黑体"/>
          <w:b/>
          <w:i w:val="0"/>
          <w:iCs w:val="0"/>
          <w:caps w:val="0"/>
          <w:color w:val="000000"/>
          <w:spacing w:val="0"/>
          <w:sz w:val="31"/>
          <w:szCs w:val="31"/>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方正仿宋简体" w:hAnsi="方正仿宋简体" w:eastAsia="方正仿宋简体" w:cs="方正仿宋简体"/>
          <w:b/>
          <w:bCs/>
          <w:i w:val="0"/>
          <w:iCs w:val="0"/>
          <w:caps w:val="0"/>
          <w:color w:val="333333"/>
          <w:spacing w:val="0"/>
          <w:kern w:val="2"/>
          <w:sz w:val="31"/>
          <w:szCs w:val="31"/>
          <w:lang w:val="en-US" w:eastAsia="zh-CN" w:bidi="ar-SA"/>
        </w:rPr>
      </w:pPr>
      <w:r>
        <w:rPr>
          <w:rFonts w:hint="eastAsia" w:ascii="方正仿宋简体" w:hAnsi="方正仿宋简体" w:eastAsia="方正仿宋简体" w:cs="方正仿宋简体"/>
          <w:b/>
          <w:bCs/>
          <w:i w:val="0"/>
          <w:iCs w:val="0"/>
          <w:caps w:val="0"/>
          <w:color w:val="333333"/>
          <w:spacing w:val="0"/>
          <w:kern w:val="2"/>
          <w:sz w:val="31"/>
          <w:szCs w:val="31"/>
          <w:lang w:val="en-US" w:eastAsia="zh-CN" w:bidi="ar-SA"/>
        </w:rPr>
        <w:t>2022年，市司法局坚持以习近平新时代中国特色社会主义思想为指导，深入学习贯彻习近平法治思想，全面学习宣传贯彻党的二十大精神，认真贯彻落实市委、市政府关于全面推进政务公开工作的决策部署，持续贯彻落实《政府信息公开条例》规定,紧紧围绕市委、市政府中心工作和群众关注关切，大力推进行政权力运行全过程、政府服务全流程信息公开，依法保障人民群众知情权、参与权、表达权、监督权，不断提升市司法局信息公开工作法治化、规范化水平，助力司法行政决策和管理服务更加透明规范。</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方正仿宋简体" w:hAnsi="方正仿宋简体" w:eastAsia="方正仿宋简体" w:cs="方正仿宋简体"/>
          <w:b/>
          <w:bCs/>
          <w:i w:val="0"/>
          <w:iCs w:val="0"/>
          <w:caps w:val="0"/>
          <w:color w:val="333333"/>
          <w:spacing w:val="0"/>
          <w:kern w:val="2"/>
          <w:sz w:val="31"/>
          <w:szCs w:val="31"/>
          <w:lang w:val="en-US" w:eastAsia="zh-CN" w:bidi="ar-SA"/>
        </w:rPr>
      </w:pPr>
      <w:r>
        <w:rPr>
          <w:rFonts w:hint="eastAsia" w:ascii="方正仿宋简体" w:hAnsi="方正仿宋简体" w:eastAsia="方正仿宋简体" w:cs="方正仿宋简体"/>
          <w:b/>
          <w:bCs/>
          <w:i w:val="0"/>
          <w:iCs w:val="0"/>
          <w:caps w:val="0"/>
          <w:color w:val="333333"/>
          <w:spacing w:val="0"/>
          <w:kern w:val="2"/>
          <w:sz w:val="31"/>
          <w:szCs w:val="31"/>
          <w:lang w:val="en-US" w:eastAsia="zh-CN" w:bidi="ar-SA"/>
        </w:rPr>
        <w:t>多措并举强化主动公开</w:t>
      </w:r>
    </w:p>
    <w:p>
      <w:pPr>
        <w:numPr>
          <w:ilvl w:val="0"/>
          <w:numId w:val="0"/>
        </w:numPr>
        <w:ind w:firstLine="620" w:firstLineChars="200"/>
        <w:rPr>
          <w:rFonts w:hint="eastAsia" w:ascii="方正仿宋简体" w:hAnsi="方正仿宋简体" w:eastAsia="方正仿宋简体" w:cs="方正仿宋简体"/>
          <w:b/>
          <w:bCs/>
          <w:i w:val="0"/>
          <w:iCs w:val="0"/>
          <w:caps w:val="0"/>
          <w:color w:val="333333"/>
          <w:spacing w:val="0"/>
          <w:kern w:val="2"/>
          <w:sz w:val="31"/>
          <w:szCs w:val="31"/>
          <w:lang w:val="en-US" w:eastAsia="zh-CN" w:bidi="ar-SA"/>
        </w:rPr>
      </w:pPr>
      <w:r>
        <w:rPr>
          <w:rFonts w:hint="eastAsia" w:ascii="方正仿宋简体" w:hAnsi="方正仿宋简体" w:eastAsia="方正仿宋简体" w:cs="方正仿宋简体"/>
          <w:b/>
          <w:bCs/>
          <w:i w:val="0"/>
          <w:iCs w:val="0"/>
          <w:caps w:val="0"/>
          <w:color w:val="333333"/>
          <w:spacing w:val="0"/>
          <w:kern w:val="2"/>
          <w:sz w:val="31"/>
          <w:szCs w:val="31"/>
          <w:lang w:val="en-US" w:eastAsia="zh-CN" w:bidi="ar-SA"/>
        </w:rPr>
        <w:t>完善政府信息公开指南，持续更新主动公开全清单，严格按照公开内容和时限及时公开市司法局2021年度政府信息公开年报、2022年度政务公开工作要点，市司法局2021年度部门决算、2021年度财政支出项目绩效评价结果、2022年度部门政府采购项目的采购意向、2022年度部门预算、2022年度财政支出项目绩效目标等财政信息，市人大代表建议、议案和政协提案办理情况。通过局门户网站、市政府政务公开网站，面向社会发布政府公开信息287条，“法治济宁”微信公众号发文812篇，“济宁司法”微博发文179篇。落实主要负责同志“第一解读人和责任人”制度，规范解读程序，重点解读政策背景、决策依据、出台目的、重要举措等。增强解读效果，进一步拓宽解读渠道，通过媒体解读、音频解读、图表解读、文字解读等多种方式进行解读，及时准确传递政策意图。</w:t>
      </w:r>
    </w:p>
    <w:p>
      <w:pPr>
        <w:numPr>
          <w:ilvl w:val="0"/>
          <w:numId w:val="0"/>
        </w:numPr>
        <w:ind w:firstLine="620" w:firstLineChars="200"/>
        <w:rPr>
          <w:rFonts w:hint="eastAsia" w:ascii="仿宋_GB2312" w:hAnsi="宋体" w:eastAsia="仿宋_GB2312" w:cs="仿宋_GB2312"/>
          <w:i w:val="0"/>
          <w:iCs w:val="0"/>
          <w:caps w:val="0"/>
          <w:color w:val="333333"/>
          <w:spacing w:val="0"/>
          <w:sz w:val="31"/>
          <w:szCs w:val="31"/>
          <w:lang w:eastAsia="zh-CN"/>
        </w:rPr>
      </w:pPr>
      <w:r>
        <w:rPr>
          <w:rFonts w:hint="eastAsia" w:ascii="仿宋_GB2312" w:hAnsi="宋体" w:eastAsia="仿宋_GB2312" w:cs="仿宋_GB2312"/>
          <w:i w:val="0"/>
          <w:iCs w:val="0"/>
          <w:caps w:val="0"/>
          <w:color w:val="333333"/>
          <w:spacing w:val="0"/>
          <w:sz w:val="31"/>
          <w:szCs w:val="31"/>
          <w:lang w:eastAsia="zh-CN"/>
        </w:rPr>
        <w:drawing>
          <wp:inline distT="0" distB="0" distL="114300" distR="114300">
            <wp:extent cx="4584065" cy="2755265"/>
            <wp:effectExtent l="0" t="0" r="6985" b="6985"/>
            <wp:docPr id="1" name="图片 1" descr="主动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动公开情况"/>
                    <pic:cNvPicPr>
                      <a:picLocks noChangeAspect="1"/>
                    </pic:cNvPicPr>
                  </pic:nvPicPr>
                  <pic:blipFill>
                    <a:blip r:embed="rId4"/>
                    <a:stretch>
                      <a:fillRect/>
                    </a:stretch>
                  </pic:blipFill>
                  <pic:spPr>
                    <a:xfrm>
                      <a:off x="0" y="0"/>
                      <a:ext cx="4584065" cy="2755265"/>
                    </a:xfrm>
                    <a:prstGeom prst="rect">
                      <a:avLst/>
                    </a:prstGeom>
                    <a:noFill/>
                    <a:ln>
                      <a:noFill/>
                    </a:ln>
                  </pic:spPr>
                </pic:pic>
              </a:graphicData>
            </a:graphic>
          </wp:inline>
        </w:drawing>
      </w:r>
    </w:p>
    <w:p>
      <w:pPr>
        <w:numPr>
          <w:ilvl w:val="0"/>
          <w:numId w:val="0"/>
        </w:numPr>
        <w:ind w:firstLine="620" w:firstLineChars="200"/>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pPr>
      <w:r>
        <w:rPr>
          <w:rFonts w:hint="eastAsia" w:ascii="方正仿宋简体" w:hAnsi="方正仿宋简体" w:eastAsia="方正仿宋简体" w:cs="方正仿宋简体"/>
          <w:b/>
          <w:bCs/>
          <w:i w:val="0"/>
          <w:iCs w:val="0"/>
          <w:caps w:val="0"/>
          <w:color w:val="333333"/>
          <w:spacing w:val="0"/>
          <w:sz w:val="31"/>
          <w:szCs w:val="31"/>
          <w:lang w:eastAsia="zh-CN"/>
        </w:rPr>
        <w:t>（二）持续规范做好</w:t>
      </w:r>
      <w:r>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t>依申请公开</w:t>
      </w:r>
    </w:p>
    <w:p>
      <w:pPr>
        <w:numPr>
          <w:ilvl w:val="0"/>
          <w:numId w:val="0"/>
        </w:numPr>
        <w:ind w:firstLine="620" w:firstLineChars="200"/>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pPr>
      <w:r>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t>2022年，共收到依申请公开申请4件，通过网络收到4件，内容涉及到本单位机构职能、业务数据统计等方面，已按规定予以办理，并未收取相关费用。</w:t>
      </w:r>
    </w:p>
    <w:p>
      <w:pPr>
        <w:numPr>
          <w:ilvl w:val="0"/>
          <w:numId w:val="0"/>
        </w:numPr>
        <w:ind w:firstLine="620" w:firstLineChars="200"/>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pPr>
      <w:r>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t>(三）持续完善政府信息管理</w:t>
      </w:r>
    </w:p>
    <w:p>
      <w:pPr>
        <w:numPr>
          <w:ilvl w:val="0"/>
          <w:numId w:val="0"/>
        </w:numPr>
        <w:ind w:firstLine="620" w:firstLineChars="200"/>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pPr>
      <w:r>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t>利用数字化手段抓好政府信息源头分类管理，特别是进一步明确公文的公开属性，强化工作协同联动，及时发布、移送应主动公开的政策文件。开展文件清理工作，后续将按清理结果及时调整公开内容。坚持政策解读材料与政策性文件同步组织、同时发布。</w:t>
      </w:r>
    </w:p>
    <w:p>
      <w:pPr>
        <w:numPr>
          <w:ilvl w:val="0"/>
          <w:numId w:val="2"/>
        </w:numPr>
        <w:ind w:left="10" w:leftChars="0" w:firstLine="620" w:firstLineChars="0"/>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pPr>
      <w:r>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t>加强政府信息公开平台建设</w:t>
      </w:r>
    </w:p>
    <w:p>
      <w:pPr>
        <w:numPr>
          <w:ilvl w:val="0"/>
          <w:numId w:val="0"/>
        </w:numPr>
        <w:ind w:firstLine="620" w:firstLineChars="200"/>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pPr>
      <w:r>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t>进一步加强移动新媒体的使用和维护，明确网站安全责任人，按时开展应急演练，建立安全检测预警机制，进行安全检测评估3次，局网站实现无障碍浏览。开展政务公开自查工作，对照标准，逐项检查，及时发现网站栏目设置、内容更新等方面不足，认真落实信息更细要求，及时更新。</w:t>
      </w:r>
    </w:p>
    <w:p>
      <w:pPr>
        <w:numPr>
          <w:ilvl w:val="0"/>
          <w:numId w:val="2"/>
        </w:numPr>
        <w:ind w:left="10" w:leftChars="0" w:firstLine="620" w:firstLineChars="0"/>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pPr>
      <w:r>
        <w:rPr>
          <w:rFonts w:hint="eastAsia" w:ascii="方正仿宋简体" w:hAnsi="方正仿宋简体" w:eastAsia="方正仿宋简体" w:cs="方正仿宋简体"/>
          <w:b/>
          <w:bCs/>
          <w:i w:val="0"/>
          <w:iCs w:val="0"/>
          <w:caps w:val="0"/>
          <w:color w:val="333333"/>
          <w:spacing w:val="0"/>
          <w:kern w:val="0"/>
          <w:sz w:val="31"/>
          <w:szCs w:val="31"/>
          <w:lang w:val="en-US" w:eastAsia="zh-CN" w:bidi="ar"/>
        </w:rPr>
        <w:t>监督保障方面 加大政务公开绩效考核力度，将政务公开绩效考核纳入业务处室及个人年度考核。加强业务指导，组织举办市司法局系统政府信息公开培训班，覆盖局内全部业务处室及政务公开工作人员，规范政府信息的审核、发布、归档以及依申请公开的答复等相关工作。</w:t>
      </w:r>
    </w:p>
    <w:p>
      <w:pPr>
        <w:numPr>
          <w:ilvl w:val="0"/>
          <w:numId w:val="0"/>
        </w:numPr>
        <w:ind w:leftChars="200"/>
        <w:rPr>
          <w:rFonts w:hint="eastAsia" w:ascii="仿宋_GB2312" w:hAnsi="微软雅黑" w:eastAsia="仿宋_GB2312" w:cs="仿宋_GB2312"/>
          <w:i w:val="0"/>
          <w:iCs w:val="0"/>
          <w:caps w:val="0"/>
          <w:color w:val="333333"/>
          <w:spacing w:val="0"/>
          <w:kern w:val="0"/>
          <w:sz w:val="31"/>
          <w:szCs w:val="31"/>
          <w:lang w:val="en-US" w:eastAsia="zh-CN" w:bidi="ar"/>
        </w:rPr>
      </w:pPr>
      <w:r>
        <w:rPr>
          <w:rStyle w:val="6"/>
          <w:rFonts w:ascii="方正黑体简体" w:hAnsi="方正黑体简体" w:eastAsia="方正黑体简体" w:cs="方正黑体简体"/>
          <w:i w:val="0"/>
          <w:iCs w:val="0"/>
          <w:caps w:val="0"/>
          <w:color w:val="333333"/>
          <w:spacing w:val="0"/>
          <w:sz w:val="31"/>
          <w:szCs w:val="31"/>
        </w:rPr>
        <w:t>二、主动公开政府信息情况</w:t>
      </w:r>
    </w:p>
    <w:tbl>
      <w:tblPr>
        <w:tblStyle w:val="4"/>
        <w:tblW w:w="87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ascii="方正黑体简体" w:hAnsi="方正黑体简体" w:eastAsia="方正黑体简体" w:cs="方正黑体简体"/>
                <w:i w:val="0"/>
                <w:iCs w:val="0"/>
                <w:caps w:val="0"/>
                <w:color w:val="000000"/>
                <w:spacing w:val="0"/>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ascii="方正仿宋简体" w:hAnsi="方正仿宋简体" w:eastAsia="方正仿宋简体" w:cs="方正仿宋简体"/>
                <w:i w:val="0"/>
                <w:iCs w:val="0"/>
                <w:caps w:val="0"/>
                <w:color w:val="000000"/>
                <w:spacing w:val="0"/>
                <w:sz w:val="24"/>
                <w:szCs w:val="24"/>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规章</w:t>
            </w:r>
          </w:p>
        </w:tc>
        <w:tc>
          <w:tcPr>
            <w:tcW w:w="21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　　0</w:t>
            </w:r>
          </w:p>
        </w:tc>
        <w:tc>
          <w:tcPr>
            <w:tcW w:w="222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宋体" w:hAnsi="宋体" w:eastAsia="宋体" w:cs="宋体"/>
                <w:i w:val="0"/>
                <w:iCs w:val="0"/>
                <w:caps w:val="0"/>
                <w:color w:val="000000"/>
                <w:spacing w:val="0"/>
                <w:sz w:val="24"/>
                <w:szCs w:val="24"/>
              </w:rPr>
              <w:t> </w:t>
            </w:r>
            <w:r>
              <w:rPr>
                <w:rStyle w:val="6"/>
                <w:rFonts w:hint="default" w:ascii="方正仿宋简体" w:hAnsi="方正仿宋简体" w:eastAsia="方正仿宋简体" w:cs="方正仿宋简体"/>
                <w:i w:val="0"/>
                <w:iCs w:val="0"/>
                <w:caps w:val="0"/>
                <w:color w:val="000000"/>
                <w:spacing w:val="0"/>
                <w:sz w:val="24"/>
                <w:szCs w:val="24"/>
              </w:rPr>
              <w:t>　0</w:t>
            </w:r>
          </w:p>
        </w:tc>
        <w:tc>
          <w:tcPr>
            <w:tcW w:w="1995"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ascii="Calibri" w:hAnsi="Calibri" w:eastAsia="方正仿宋简体" w:cs="Calibri"/>
                <w:i w:val="0"/>
                <w:iCs w:val="0"/>
                <w:caps w:val="0"/>
                <w:color w:val="000000"/>
                <w:spacing w:val="0"/>
                <w:sz w:val="24"/>
                <w:szCs w:val="24"/>
              </w:rPr>
              <w:t> </w:t>
            </w:r>
            <w:r>
              <w:rPr>
                <w:rStyle w:val="6"/>
                <w:rFonts w:hint="default" w:ascii="方正仿宋简体" w:hAnsi="方正仿宋简体" w:eastAsia="方正仿宋简体" w:cs="方正仿宋简体"/>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行政规范性文件</w:t>
            </w:r>
          </w:p>
        </w:tc>
        <w:tc>
          <w:tcPr>
            <w:tcW w:w="21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　　0</w:t>
            </w:r>
          </w:p>
        </w:tc>
        <w:tc>
          <w:tcPr>
            <w:tcW w:w="222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eastAsia" w:ascii="宋体" w:hAnsi="宋体" w:eastAsia="宋体" w:cs="宋体"/>
                <w:i w:val="0"/>
                <w:iCs w:val="0"/>
                <w:caps w:val="0"/>
                <w:color w:val="000000"/>
                <w:spacing w:val="0"/>
                <w:sz w:val="24"/>
                <w:szCs w:val="24"/>
              </w:rPr>
              <w:t> </w:t>
            </w:r>
            <w:r>
              <w:rPr>
                <w:rStyle w:val="6"/>
                <w:rFonts w:hint="default" w:ascii="方正仿宋简体" w:hAnsi="方正仿宋简体" w:eastAsia="方正仿宋简体" w:cs="方正仿宋简体"/>
                <w:i w:val="0"/>
                <w:iCs w:val="0"/>
                <w:caps w:val="0"/>
                <w:color w:val="000000"/>
                <w:spacing w:val="0"/>
                <w:sz w:val="24"/>
                <w:szCs w:val="24"/>
              </w:rPr>
              <w:t>　0</w:t>
            </w:r>
          </w:p>
        </w:tc>
        <w:tc>
          <w:tcPr>
            <w:tcW w:w="1995"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Calibri" w:hAnsi="Calibri" w:eastAsia="方正仿宋简体" w:cs="Calibri"/>
                <w:i w:val="0"/>
                <w:iCs w:val="0"/>
                <w:caps w:val="0"/>
                <w:color w:val="000000"/>
                <w:spacing w:val="0"/>
                <w:sz w:val="24"/>
                <w:szCs w:val="24"/>
              </w:rPr>
              <w:t> </w:t>
            </w:r>
            <w:r>
              <w:rPr>
                <w:rStyle w:val="6"/>
                <w:rFonts w:hint="default" w:ascii="方正仿宋简体" w:hAnsi="方正仿宋简体" w:eastAsia="方正仿宋简体" w:cs="方正仿宋简体"/>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行政许可</w:t>
            </w:r>
          </w:p>
        </w:tc>
        <w:tc>
          <w:tcPr>
            <w:tcW w:w="6345"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行政处罚</w:t>
            </w:r>
          </w:p>
        </w:tc>
        <w:tc>
          <w:tcPr>
            <w:tcW w:w="6345"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eastAsia="宋体"/>
                <w:sz w:val="21"/>
                <w:szCs w:val="21"/>
                <w:lang w:eastAsia="zh-CN"/>
              </w:rPr>
            </w:pPr>
            <w:r>
              <w:rPr>
                <w:rStyle w:val="6"/>
                <w:rFonts w:hint="eastAsia" w:ascii="方正仿宋简体" w:hAnsi="方正仿宋简体" w:eastAsia="方正仿宋简体" w:cs="方正仿宋简体"/>
                <w:i w:val="0"/>
                <w:iCs w:val="0"/>
                <w:caps w:val="0"/>
                <w:color w:val="000000"/>
                <w:spacing w:val="0"/>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行政强制</w:t>
            </w:r>
          </w:p>
        </w:tc>
        <w:tc>
          <w:tcPr>
            <w:tcW w:w="6345"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8775" w:type="dxa"/>
            <w:gridSpan w:val="4"/>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4"/>
                <w:szCs w:val="24"/>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4"/>
                <w:szCs w:val="24"/>
              </w:rPr>
              <w:t>0</w:t>
            </w:r>
          </w:p>
        </w:tc>
      </w:tr>
    </w:tbl>
    <w:p>
      <w:pPr>
        <w:ind w:firstLine="620" w:firstLineChars="200"/>
      </w:pPr>
      <w:r>
        <w:rPr>
          <w:rStyle w:val="6"/>
          <w:rFonts w:ascii="方正黑体简体" w:hAnsi="方正黑体简体" w:eastAsia="方正黑体简体" w:cs="方正黑体简体"/>
          <w:i w:val="0"/>
          <w:iCs w:val="0"/>
          <w:caps w:val="0"/>
          <w:color w:val="333333"/>
          <w:spacing w:val="0"/>
          <w:sz w:val="31"/>
          <w:szCs w:val="31"/>
        </w:rPr>
        <w:t>三、收到和处理政府信息公开申请情况</w:t>
      </w:r>
    </w:p>
    <w:tbl>
      <w:tblPr>
        <w:tblStyle w:val="4"/>
        <w:tblW w:w="88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90" w:type="dxa"/>
            <w:gridSpan w:val="3"/>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ascii="方正黑体简体" w:hAnsi="方正黑体简体" w:eastAsia="方正黑体简体" w:cs="方正黑体简体"/>
                <w:i w:val="0"/>
                <w:iCs w:val="0"/>
                <w:caps w:val="0"/>
                <w:color w:val="000000"/>
                <w:spacing w:val="0"/>
                <w:sz w:val="21"/>
                <w:szCs w:val="21"/>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90"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sans-serif" w:hAnsi="sans-serif" w:eastAsia="sans-serif" w:cs="sans-serif"/>
                <w:i w:val="0"/>
                <w:iCs w:val="0"/>
                <w:caps w:val="0"/>
                <w:color w:val="000000"/>
                <w:spacing w:val="0"/>
                <w:sz w:val="24"/>
                <w:szCs w:val="24"/>
              </w:rPr>
            </w:pPr>
          </w:p>
        </w:tc>
        <w:tc>
          <w:tcPr>
            <w:tcW w:w="79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自然人</w:t>
            </w:r>
          </w:p>
        </w:tc>
        <w:tc>
          <w:tcPr>
            <w:tcW w:w="2910" w:type="dxa"/>
            <w:gridSpan w:val="5"/>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90"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9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商业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企业</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科研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机构</w:t>
            </w:r>
          </w:p>
        </w:tc>
        <w:tc>
          <w:tcPr>
            <w:tcW w:w="600" w:type="dxa"/>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社会公益组织</w:t>
            </w:r>
          </w:p>
        </w:tc>
        <w:tc>
          <w:tcPr>
            <w:tcW w:w="570" w:type="dxa"/>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法律服务机构</w:t>
            </w:r>
          </w:p>
        </w:tc>
        <w:tc>
          <w:tcPr>
            <w:tcW w:w="555" w:type="dxa"/>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其他</w:t>
            </w:r>
          </w:p>
        </w:tc>
        <w:tc>
          <w:tcPr>
            <w:tcW w:w="525" w:type="dxa"/>
            <w:vMerge w:val="continue"/>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4590"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ascii="方正仿宋简体" w:hAnsi="方正仿宋简体" w:eastAsia="方正仿宋简体" w:cs="方正仿宋简体"/>
                <w:i w:val="0"/>
                <w:iCs w:val="0"/>
                <w:caps w:val="0"/>
                <w:color w:val="000000"/>
                <w:spacing w:val="0"/>
                <w:sz w:val="21"/>
                <w:szCs w:val="21"/>
              </w:rPr>
              <w:t>一、本年新收政府信息公开申请数量</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val="en-US" w:eastAsia="zh-CN"/>
              </w:rPr>
            </w:pPr>
            <w:r>
              <w:rPr>
                <w:rStyle w:val="6"/>
                <w:rFonts w:hint="eastAsia" w:ascii="方正仿宋简体" w:hAnsi="方正仿宋简体" w:eastAsia="方正仿宋简体" w:cs="方正仿宋简体"/>
                <w:i w:val="0"/>
                <w:iCs w:val="0"/>
                <w:caps w:val="0"/>
                <w:color w:val="000000"/>
                <w:spacing w:val="0"/>
                <w:sz w:val="21"/>
                <w:szCs w:val="21"/>
                <w:lang w:val="en-US" w:eastAsia="zh-CN"/>
              </w:rPr>
              <w:t>4</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val="en-US" w:eastAsia="zh-CN"/>
              </w:rPr>
            </w:pPr>
            <w:r>
              <w:rPr>
                <w:rStyle w:val="6"/>
                <w:rFonts w:hint="eastAsia" w:ascii="方正仿宋简体" w:hAnsi="方正仿宋简体" w:eastAsia="方正仿宋简体" w:cs="方正仿宋简体"/>
                <w:i w:val="0"/>
                <w:iCs w:val="0"/>
                <w:caps w:val="0"/>
                <w:color w:val="000000"/>
                <w:spacing w:val="0"/>
                <w:sz w:val="21"/>
                <w:szCs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4590"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二、上年结转政府信息公开申请数量</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三、本年度办理结果</w:t>
            </w:r>
          </w:p>
        </w:tc>
        <w:tc>
          <w:tcPr>
            <w:tcW w:w="3825" w:type="dxa"/>
            <w:gridSpan w:val="2"/>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（一）予以公开</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eastAsia="zh-CN"/>
              </w:rPr>
            </w:pPr>
            <w:r>
              <w:rPr>
                <w:rStyle w:val="6"/>
                <w:rFonts w:hint="eastAsia" w:ascii="方正仿宋简体" w:hAnsi="方正仿宋简体" w:eastAsia="方正仿宋简体" w:cs="方正仿宋简体"/>
                <w:i w:val="0"/>
                <w:iCs w:val="0"/>
                <w:caps w:val="0"/>
                <w:color w:val="000000"/>
                <w:spacing w:val="0"/>
                <w:sz w:val="21"/>
                <w:szCs w:val="21"/>
                <w:lang w:val="en-US" w:eastAsia="zh-CN"/>
              </w:rPr>
              <w:t>4</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val="en-US" w:eastAsia="zh-CN"/>
              </w:rPr>
            </w:pPr>
            <w:r>
              <w:rPr>
                <w:rStyle w:val="6"/>
                <w:rFonts w:hint="eastAsia" w:ascii="方正仿宋简体" w:hAnsi="方正仿宋简体" w:eastAsia="方正仿宋简体" w:cs="方正仿宋简体"/>
                <w:i w:val="0"/>
                <w:iCs w:val="0"/>
                <w:caps w:val="0"/>
                <w:color w:val="000000"/>
                <w:spacing w:val="0"/>
                <w:sz w:val="21"/>
                <w:szCs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3825" w:type="dxa"/>
            <w:gridSpan w:val="2"/>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（二）部分公开（区分处理的，只计这一情形，不计其他情形）</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（三）不予公开</w:t>
            </w: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1.属于国家秘密</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2.其他法律行政法规禁止公开</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3.危及“三安全一稳定”</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90"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4.保护第三方合法权益</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5.属于三类内部事务信息</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6.属于四类过程性信息</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7.属于行政执法案卷</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8.属于行政查询事项</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（四）无法提供</w:t>
            </w: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1.本机关不掌握相关政府信息</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val="en-US" w:eastAsia="zh-CN"/>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eastAsia="zh-CN"/>
              </w:rPr>
            </w:pPr>
            <w:r>
              <w:rPr>
                <w:rStyle w:val="6"/>
                <w:rFonts w:hint="eastAsia" w:ascii="方正仿宋简体" w:hAnsi="方正仿宋简体" w:eastAsia="方正仿宋简体" w:cs="方正仿宋简体"/>
                <w:i w:val="0"/>
                <w:iCs w:val="0"/>
                <w:caps w:val="0"/>
                <w:color w:val="000000"/>
                <w:spacing w:val="0"/>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2.没有现成信息需要另行制作</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3.补正后申请内容仍不明确</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keepNext w:val="0"/>
              <w:keepLines w:val="0"/>
              <w:widowControl/>
              <w:suppressLineNumbers w:val="0"/>
              <w:ind w:left="0" w:firstLine="0"/>
              <w:jc w:val="left"/>
              <w:rPr>
                <w:rFonts w:hint="default" w:ascii="sans-serif" w:hAnsi="sans-serif" w:eastAsia="sans-serif" w:cs="sans-serif"/>
                <w:i w:val="0"/>
                <w:iCs w:val="0"/>
                <w:caps w:val="0"/>
                <w:color w:val="000000"/>
                <w:spacing w:val="0"/>
                <w:sz w:val="24"/>
                <w:szCs w:val="24"/>
              </w:rPr>
            </w:pPr>
          </w:p>
        </w:tc>
        <w:tc>
          <w:tcPr>
            <w:tcW w:w="94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（五）不予处理</w:t>
            </w: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1.信访举报投诉类申请</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2.重复申请</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3.要求提供公开出版物</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4.无正当理由大量反复申请</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80" w:hRule="atLeast"/>
        </w:trPr>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5.要求行政机关确认或重新出具已获取信息</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restar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（六）其他处理</w:t>
            </w: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94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288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3.其他</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65" w:type="dxa"/>
            <w:vMerge w:val="continue"/>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rPr>
                <w:rFonts w:hint="default" w:ascii="sans-serif" w:hAnsi="sans-serif" w:eastAsia="sans-serif" w:cs="sans-serif"/>
                <w:i w:val="0"/>
                <w:iCs w:val="0"/>
                <w:caps w:val="0"/>
                <w:color w:val="000000"/>
                <w:spacing w:val="0"/>
                <w:sz w:val="24"/>
                <w:szCs w:val="24"/>
              </w:rPr>
            </w:pPr>
          </w:p>
        </w:tc>
        <w:tc>
          <w:tcPr>
            <w:tcW w:w="3825" w:type="dxa"/>
            <w:gridSpan w:val="2"/>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（七）总计</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eastAsia="zh-CN"/>
              </w:rPr>
            </w:pPr>
            <w:r>
              <w:rPr>
                <w:rStyle w:val="6"/>
                <w:rFonts w:hint="eastAsia" w:ascii="方正仿宋简体" w:hAnsi="方正仿宋简体" w:eastAsia="方正仿宋简体" w:cs="方正仿宋简体"/>
                <w:i w:val="0"/>
                <w:iCs w:val="0"/>
                <w:caps w:val="0"/>
                <w:color w:val="000000"/>
                <w:spacing w:val="0"/>
                <w:sz w:val="21"/>
                <w:szCs w:val="21"/>
                <w:lang w:val="en-US" w:eastAsia="zh-CN"/>
              </w:rPr>
              <w:t>4</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eastAsia="宋体"/>
                <w:sz w:val="21"/>
                <w:szCs w:val="21"/>
                <w:lang w:eastAsia="zh-CN"/>
              </w:rPr>
            </w:pPr>
            <w:r>
              <w:rPr>
                <w:rStyle w:val="6"/>
                <w:rFonts w:hint="eastAsia" w:ascii="方正仿宋简体" w:hAnsi="方正仿宋简体" w:eastAsia="方正仿宋简体" w:cs="方正仿宋简体"/>
                <w:i w:val="0"/>
                <w:iCs w:val="0"/>
                <w:caps w:val="0"/>
                <w:color w:val="000000"/>
                <w:spacing w:val="0"/>
                <w:sz w:val="21"/>
                <w:szCs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4590"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sz w:val="21"/>
                <w:szCs w:val="21"/>
              </w:rPr>
            </w:pPr>
            <w:r>
              <w:rPr>
                <w:rStyle w:val="6"/>
                <w:rFonts w:hint="default" w:ascii="方正仿宋简体" w:hAnsi="方正仿宋简体" w:eastAsia="方正仿宋简体" w:cs="方正仿宋简体"/>
                <w:i w:val="0"/>
                <w:iCs w:val="0"/>
                <w:caps w:val="0"/>
                <w:color w:val="000000"/>
                <w:spacing w:val="0"/>
                <w:sz w:val="21"/>
                <w:szCs w:val="21"/>
              </w:rPr>
              <w:t>四、结转下年度继续办理</w:t>
            </w:r>
          </w:p>
        </w:tc>
        <w:tc>
          <w:tcPr>
            <w:tcW w:w="79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8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60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70"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5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c>
          <w:tcPr>
            <w:tcW w:w="525"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6"/>
                <w:rFonts w:hint="default" w:ascii="方正仿宋简体" w:hAnsi="方正仿宋简体" w:eastAsia="方正仿宋简体" w:cs="方正仿宋简体"/>
                <w:i w:val="0"/>
                <w:iCs w:val="0"/>
                <w:caps w:val="0"/>
                <w:color w:val="000000"/>
                <w:spacing w:val="0"/>
                <w:sz w:val="21"/>
                <w:szCs w:val="21"/>
              </w:rPr>
              <w:t>0</w:t>
            </w:r>
          </w:p>
        </w:tc>
      </w:tr>
    </w:tbl>
    <w:p>
      <w:pPr>
        <w:numPr>
          <w:ilvl w:val="0"/>
          <w:numId w:val="3"/>
        </w:numPr>
        <w:ind w:firstLine="620" w:firstLineChars="200"/>
        <w:rPr>
          <w:rStyle w:val="6"/>
          <w:rFonts w:ascii="方正黑体简体" w:hAnsi="方正黑体简体" w:eastAsia="方正黑体简体" w:cs="方正黑体简体"/>
          <w:i w:val="0"/>
          <w:iCs w:val="0"/>
          <w:caps w:val="0"/>
          <w:color w:val="333333"/>
          <w:spacing w:val="0"/>
          <w:sz w:val="31"/>
          <w:szCs w:val="31"/>
        </w:rPr>
      </w:pPr>
      <w:r>
        <w:rPr>
          <w:rStyle w:val="6"/>
          <w:rFonts w:ascii="方正黑体简体" w:hAnsi="方正黑体简体" w:eastAsia="方正黑体简体" w:cs="方正黑体简体"/>
          <w:i w:val="0"/>
          <w:iCs w:val="0"/>
          <w:caps w:val="0"/>
          <w:color w:val="333333"/>
          <w:spacing w:val="0"/>
          <w:sz w:val="31"/>
          <w:szCs w:val="31"/>
        </w:rPr>
        <w:t>政府信息公开行政复议、行政诉讼情况</w:t>
      </w:r>
    </w:p>
    <w:p>
      <w:pPr>
        <w:keepNext w:val="0"/>
        <w:keepLines w:val="0"/>
        <w:widowControl/>
        <w:suppressLineNumbers w:val="0"/>
        <w:jc w:val="left"/>
      </w:pPr>
    </w:p>
    <w:tbl>
      <w:tblPr>
        <w:tblStyle w:val="4"/>
        <w:tblW w:w="880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3"/>
        <w:gridCol w:w="613"/>
        <w:gridCol w:w="598"/>
        <w:gridCol w:w="584"/>
        <w:gridCol w:w="480"/>
        <w:gridCol w:w="644"/>
        <w:gridCol w:w="644"/>
        <w:gridCol w:w="644"/>
        <w:gridCol w:w="629"/>
        <w:gridCol w:w="450"/>
        <w:gridCol w:w="644"/>
        <w:gridCol w:w="644"/>
        <w:gridCol w:w="644"/>
        <w:gridCol w:w="554"/>
        <w:gridCol w:w="4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895"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ascii="方正黑体简体" w:hAnsi="方正黑体简体" w:eastAsia="方正黑体简体" w:cs="方正黑体简体"/>
                <w:i w:val="0"/>
                <w:iCs w:val="0"/>
                <w:caps w:val="0"/>
                <w:color w:val="000000"/>
                <w:spacing w:val="0"/>
                <w:sz w:val="21"/>
                <w:szCs w:val="21"/>
              </w:rPr>
              <w:t>行政复议</w:t>
            </w:r>
          </w:p>
        </w:tc>
        <w:tc>
          <w:tcPr>
            <w:tcW w:w="5925" w:type="dxa"/>
            <w:gridSpan w:val="10"/>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结果维持</w:t>
            </w:r>
          </w:p>
        </w:tc>
        <w:tc>
          <w:tcPr>
            <w:tcW w:w="615"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纠正</w:t>
            </w:r>
          </w:p>
        </w:tc>
        <w:tc>
          <w:tcPr>
            <w:tcW w:w="600"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结果</w:t>
            </w:r>
          </w:p>
        </w:tc>
        <w:tc>
          <w:tcPr>
            <w:tcW w:w="585"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审结</w:t>
            </w:r>
          </w:p>
        </w:tc>
        <w:tc>
          <w:tcPr>
            <w:tcW w:w="465"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总计</w:t>
            </w:r>
          </w:p>
        </w:tc>
        <w:tc>
          <w:tcPr>
            <w:tcW w:w="3015" w:type="dxa"/>
            <w:gridSpan w:val="5"/>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未经复议直接起诉</w:t>
            </w:r>
          </w:p>
        </w:tc>
        <w:tc>
          <w:tcPr>
            <w:tcW w:w="2910" w:type="dxa"/>
            <w:gridSpan w:val="5"/>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rPr>
                <w:rFonts w:hint="eastAsia" w:ascii="sans-serif" w:hAnsi="sans-serif" w:eastAsia="sans-serif" w:cs="sans-serif"/>
                <w:i w:val="0"/>
                <w:iCs w:val="0"/>
                <w:caps w:val="0"/>
                <w:color w:val="000000"/>
                <w:spacing w:val="0"/>
                <w:sz w:val="24"/>
                <w:szCs w:val="24"/>
              </w:rPr>
            </w:pPr>
          </w:p>
        </w:tc>
        <w:tc>
          <w:tcPr>
            <w:tcW w:w="615"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600"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585"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465"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维持</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纠正</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结果</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审结</w:t>
            </w:r>
          </w:p>
        </w:tc>
        <w:tc>
          <w:tcPr>
            <w:tcW w:w="42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总计</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维持</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纠正</w:t>
            </w:r>
          </w:p>
        </w:tc>
        <w:tc>
          <w:tcPr>
            <w:tcW w:w="64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结果</w:t>
            </w:r>
          </w:p>
        </w:tc>
        <w:tc>
          <w:tcPr>
            <w:tcW w:w="55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eastAsia="zh-CN"/>
              </w:rPr>
            </w:pPr>
            <w:r>
              <w:rPr>
                <w:rStyle w:val="6"/>
                <w:rFonts w:hint="default" w:ascii="方正黑体简体" w:hAnsi="方正黑体简体" w:eastAsia="方正黑体简体" w:cs="方正黑体简体"/>
                <w:i w:val="0"/>
                <w:iCs w:val="0"/>
                <w:caps w:val="0"/>
                <w:color w:val="000000"/>
                <w:spacing w:val="0"/>
                <w:sz w:val="21"/>
                <w:szCs w:val="21"/>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审结</w:t>
            </w:r>
          </w:p>
        </w:tc>
        <w:tc>
          <w:tcPr>
            <w:tcW w:w="40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615"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5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val="en-US" w:eastAsia="zh-CN"/>
              </w:rPr>
            </w:pPr>
            <w:r>
              <w:rPr>
                <w:rStyle w:val="6"/>
                <w:rFonts w:hint="eastAsia" w:ascii="方正黑体简体" w:hAnsi="方正黑体简体" w:eastAsia="方正黑体简体" w:cs="方正黑体简体"/>
                <w:i w:val="0"/>
                <w:iCs w:val="0"/>
                <w:caps w:val="0"/>
                <w:color w:val="000000"/>
                <w:spacing w:val="0"/>
                <w:sz w:val="21"/>
                <w:szCs w:val="21"/>
                <w:lang w:val="en-US" w:eastAsia="zh-CN"/>
              </w:rPr>
              <w:t>1</w:t>
            </w:r>
          </w:p>
        </w:tc>
        <w:tc>
          <w:tcPr>
            <w:tcW w:w="46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6"/>
                <w:rFonts w:hint="eastAsia" w:ascii="方正黑体简体" w:hAnsi="方正黑体简体" w:eastAsia="方正黑体简体" w:cs="方正黑体简体"/>
                <w:i w:val="0"/>
                <w:iCs w:val="0"/>
                <w:caps w:val="0"/>
                <w:color w:val="000000"/>
                <w:spacing w:val="0"/>
                <w:sz w:val="21"/>
                <w:szCs w:val="21"/>
                <w:lang w:val="en-US" w:eastAsia="zh-CN"/>
              </w:rPr>
            </w:pPr>
            <w:r>
              <w:rPr>
                <w:rStyle w:val="6"/>
                <w:rFonts w:hint="eastAsia" w:ascii="方正黑体简体" w:hAnsi="方正黑体简体" w:eastAsia="方正黑体简体" w:cs="方正黑体简体"/>
                <w:i w:val="0"/>
                <w:iCs w:val="0"/>
                <w:caps w:val="0"/>
                <w:color w:val="000000"/>
                <w:spacing w:val="0"/>
                <w:sz w:val="21"/>
                <w:szCs w:val="21"/>
                <w:lang w:val="en-US" w:eastAsia="zh-CN"/>
              </w:rPr>
              <w:t>1</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42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64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5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c>
          <w:tcPr>
            <w:tcW w:w="40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21"/>
                <w:szCs w:val="21"/>
              </w:rPr>
            </w:pPr>
            <w:r>
              <w:rPr>
                <w:rStyle w:val="6"/>
                <w:rFonts w:hint="default" w:ascii="方正黑体简体" w:hAnsi="方正黑体简体" w:eastAsia="方正黑体简体" w:cs="方正黑体简体"/>
                <w:i w:val="0"/>
                <w:iCs w:val="0"/>
                <w:caps w:val="0"/>
                <w:color w:val="000000"/>
                <w:spacing w:val="0"/>
                <w:sz w:val="21"/>
                <w:szCs w:val="21"/>
              </w:rPr>
              <w:t>0</w:t>
            </w:r>
          </w:p>
        </w:tc>
      </w:tr>
    </w:tbl>
    <w:p>
      <w:pPr>
        <w:numPr>
          <w:ilvl w:val="0"/>
          <w:numId w:val="0"/>
        </w:numPr>
        <w:ind w:firstLine="620" w:firstLineChars="200"/>
        <w:rPr>
          <w:rStyle w:val="6"/>
          <w:rFonts w:hint="eastAsia" w:ascii="方正黑体简体" w:hAnsi="方正黑体简体" w:eastAsia="方正黑体简体" w:cs="方正黑体简体"/>
          <w:i w:val="0"/>
          <w:iCs w:val="0"/>
          <w:caps w:val="0"/>
          <w:color w:val="333333"/>
          <w:spacing w:val="0"/>
          <w:sz w:val="31"/>
          <w:szCs w:val="31"/>
        </w:rPr>
      </w:pPr>
      <w:r>
        <w:rPr>
          <w:rStyle w:val="6"/>
          <w:rFonts w:hint="eastAsia" w:ascii="方正黑体简体" w:hAnsi="方正黑体简体" w:eastAsia="方正黑体简体" w:cs="方正黑体简体"/>
          <w:i w:val="0"/>
          <w:iCs w:val="0"/>
          <w:caps w:val="0"/>
          <w:color w:val="333333"/>
          <w:spacing w:val="0"/>
          <w:sz w:val="31"/>
          <w:szCs w:val="31"/>
        </w:rPr>
        <w:t>五、存在的主要问题及改进情况</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一是主动公开工作谋划不够，发布信息不充分、不完善、不全面；二是回应关切栏目的质量还有待提高，内容不够丰富，相关答复缺少对规范性文件的解读。</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下一步，我们将在市政府办公厅政务公开办公室的关心指导下，严格按照国家、省市相关工作要求，聚焦中心工作和重点任务，努力做好政务公开各项工作。一是进一步提升主动公开质量。紧紧围绕全市发展大局和市委、市政府中心工作，提前谋划，主动作为，最大限度发挥政务公开保障人民群众知情权、参与权、表达权和监督权。扩展公开渠道，加强与新闻媒体合作，以公开促服务、以公开促法治，总结公开经验、规范公开标准、增强公开实效，切实提升政务公开的质量和水平。二是强化信息发布管理。完善政务信息制作、获取、处理等方面的制度，加强信息内容审核和保密审查，坚决杜绝敏感错误信息对外发布。做好政策文件的同步解读和老旧信息跟踪，及时根据立改废情况动态调整已发布内容。</w:t>
      </w:r>
    </w:p>
    <w:p>
      <w:pPr>
        <w:ind w:firstLine="620" w:firstLineChars="200"/>
        <w:rPr>
          <w:rFonts w:hint="eastAsia" w:ascii="仿宋_GB2312" w:hAnsi="宋体" w:eastAsia="仿宋_GB2312" w:cs="仿宋_GB2312"/>
          <w:b/>
          <w:bCs/>
          <w:i w:val="0"/>
          <w:iCs w:val="0"/>
          <w:caps w:val="0"/>
          <w:color w:val="333333"/>
          <w:spacing w:val="0"/>
          <w:sz w:val="31"/>
          <w:szCs w:val="31"/>
        </w:rPr>
      </w:pPr>
      <w:r>
        <w:rPr>
          <w:rStyle w:val="6"/>
          <w:rFonts w:hint="eastAsia" w:ascii="方正黑体简体" w:hAnsi="方正黑体简体" w:eastAsia="方正黑体简体" w:cs="方正黑体简体"/>
          <w:i w:val="0"/>
          <w:iCs w:val="0"/>
          <w:caps w:val="0"/>
          <w:color w:val="333333"/>
          <w:spacing w:val="0"/>
          <w:sz w:val="31"/>
          <w:szCs w:val="31"/>
        </w:rPr>
        <w:t>六、其他需要报告的事项</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主要报告本行政机关认为需要报告的其他事项，以及其他有关文件专门要求通过政府信息公开工作年度报告予以报告的事项，包括但不限于：</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（一）本年度政务公开方面并未收取任何费用;</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（二）本行政机关落实上级年度政务公开工作要点情况：</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2022年，我局落实上级政务公开工作要点情况。一是按照《中华人民共和国政府信息公开条例》以及省、市政府信息和政务公开工作的有关要求，始终把政府信息和政务公开作为增强依法行政透明度，强化社会监督，服务群众的一个重要抓手，努力推进政府信息公开制度化、规范化、日常化。二是严格执行政府信息和政务公开工作有关制度，明确具体工作任务，确保政务公开相关环节有规可依、有章可循。三是明确政务公开的范围、内容，县司法局制定的重大决策、发展规划、行政审批服务事项，除依法需要保密的都及时公开。四是按照公文公开属性认定的有关要求，对拟制公文明确公开属性，应公开的及时公开。五是丰富公开方式，利用单位公告版和会议室电子显示屏等载体，适时公开重要工作事项，自觉接受社会公众的监督。</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（三）本行政机关人大代表建议收到</w:t>
      </w:r>
      <w:r>
        <w:rPr>
          <w:rFonts w:hint="eastAsia" w:ascii="方正仿宋简体" w:hAnsi="方正仿宋简体" w:eastAsia="方正仿宋简体" w:cs="方正仿宋简体"/>
          <w:b/>
          <w:bCs/>
          <w:i w:val="0"/>
          <w:iCs w:val="0"/>
          <w:caps w:val="0"/>
          <w:color w:val="333333"/>
          <w:spacing w:val="0"/>
          <w:sz w:val="31"/>
          <w:szCs w:val="31"/>
          <w:lang w:val="en-US" w:eastAsia="zh-CN"/>
        </w:rPr>
        <w:t>1</w:t>
      </w:r>
      <w:r>
        <w:rPr>
          <w:rFonts w:hint="eastAsia" w:ascii="方正仿宋简体" w:hAnsi="方正仿宋简体" w:eastAsia="方正仿宋简体" w:cs="方正仿宋简体"/>
          <w:b/>
          <w:bCs/>
          <w:i w:val="0"/>
          <w:iCs w:val="0"/>
          <w:caps w:val="0"/>
          <w:color w:val="333333"/>
          <w:spacing w:val="0"/>
          <w:sz w:val="31"/>
          <w:szCs w:val="31"/>
        </w:rPr>
        <w:t>件和政协提案办理</w:t>
      </w:r>
      <w:r>
        <w:rPr>
          <w:rFonts w:hint="eastAsia" w:ascii="方正仿宋简体" w:hAnsi="方正仿宋简体" w:eastAsia="方正仿宋简体" w:cs="方正仿宋简体"/>
          <w:b/>
          <w:bCs/>
          <w:i w:val="0"/>
          <w:iCs w:val="0"/>
          <w:caps w:val="0"/>
          <w:color w:val="333333"/>
          <w:spacing w:val="0"/>
          <w:sz w:val="31"/>
          <w:szCs w:val="31"/>
          <w:lang w:val="en-US" w:eastAsia="zh-CN"/>
        </w:rPr>
        <w:t>2</w:t>
      </w:r>
      <w:r>
        <w:rPr>
          <w:rFonts w:hint="eastAsia" w:ascii="方正仿宋简体" w:hAnsi="方正仿宋简体" w:eastAsia="方正仿宋简体" w:cs="方正仿宋简体"/>
          <w:b/>
          <w:bCs/>
          <w:i w:val="0"/>
          <w:iCs w:val="0"/>
          <w:caps w:val="0"/>
          <w:color w:val="333333"/>
          <w:spacing w:val="0"/>
          <w:sz w:val="31"/>
          <w:szCs w:val="31"/>
        </w:rPr>
        <w:t>件，已全部办理完毕，建议提案办理总体情况已公示。</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lang w:eastAsia="zh-CN"/>
        </w:rPr>
      </w:pPr>
      <w:r>
        <w:rPr>
          <w:rFonts w:hint="eastAsia" w:ascii="方正仿宋简体" w:hAnsi="方正仿宋简体" w:eastAsia="方正仿宋简体" w:cs="方正仿宋简体"/>
          <w:b/>
          <w:bCs/>
          <w:i w:val="0"/>
          <w:iCs w:val="0"/>
          <w:caps w:val="0"/>
          <w:color w:val="333333"/>
          <w:spacing w:val="0"/>
          <w:sz w:val="31"/>
          <w:szCs w:val="31"/>
          <w:lang w:eastAsia="zh-CN"/>
        </w:rPr>
        <w:t>（四）本行政机关年度政务公开工作创新情况：</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lang w:eastAsia="zh-CN"/>
        </w:rPr>
      </w:pPr>
      <w:r>
        <w:rPr>
          <w:rFonts w:hint="eastAsia" w:ascii="方正仿宋简体" w:hAnsi="方正仿宋简体" w:eastAsia="方正仿宋简体" w:cs="方正仿宋简体"/>
          <w:b/>
          <w:bCs/>
          <w:i w:val="0"/>
          <w:iCs w:val="0"/>
          <w:caps w:val="0"/>
          <w:color w:val="333333"/>
          <w:spacing w:val="0"/>
          <w:sz w:val="31"/>
          <w:szCs w:val="31"/>
          <w:lang w:eastAsia="zh-CN"/>
        </w:rPr>
        <w:t>一是健全政务公开工作机制。进一步完善政务公开体制机制，加强政务公开工作人员队伍建设，确保政务公开考核的科学化、常态化和制度化，不断提高全局推动、落实政务公开的履职能力和工作水平。二是深化政务公开重点工作。进一步加大对信息的公开力度，继续加强社会回应和政策解读工作，不断拓展政务公开渠道和方式。三是推进依申请公开规范化答复。进一步规范依申请信息公开的内容、方式、流程及职责分工，改进依申请公开工作的答复质量、答复方式和办理时效，有效保障人民群众对司法系统信息的知情权，不断提升全局政府信息公开规范化答复水平。</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lang w:eastAsia="zh-CN"/>
        </w:rPr>
        <w:t>（五）</w:t>
      </w:r>
      <w:r>
        <w:rPr>
          <w:rFonts w:hint="eastAsia" w:ascii="方正仿宋简体" w:hAnsi="方正仿宋简体" w:eastAsia="方正仿宋简体" w:cs="方正仿宋简体"/>
          <w:b/>
          <w:bCs/>
          <w:i w:val="0"/>
          <w:iCs w:val="0"/>
          <w:caps w:val="0"/>
          <w:color w:val="333333"/>
          <w:spacing w:val="0"/>
          <w:sz w:val="31"/>
          <w:szCs w:val="31"/>
        </w:rPr>
        <w:t>本行政</w:t>
      </w:r>
      <w:r>
        <w:rPr>
          <w:rFonts w:hint="eastAsia" w:ascii="方正仿宋简体" w:hAnsi="方正仿宋简体" w:eastAsia="方正仿宋简体" w:cs="方正仿宋简体"/>
          <w:b/>
          <w:bCs/>
          <w:i w:val="0"/>
          <w:iCs w:val="0"/>
          <w:caps w:val="0"/>
          <w:color w:val="333333"/>
          <w:spacing w:val="0"/>
          <w:sz w:val="31"/>
          <w:szCs w:val="31"/>
          <w:lang w:eastAsia="zh-CN"/>
        </w:rPr>
        <w:t>机关政府信息公开工作年度报告数据统计需要说明的事项：无。</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（六）本行政机关认为需要报告的其他事项：无。</w:t>
      </w:r>
    </w:p>
    <w:p>
      <w:pPr>
        <w:ind w:firstLine="620" w:firstLineChars="200"/>
        <w:rPr>
          <w:rFonts w:hint="eastAsia" w:ascii="方正仿宋简体" w:hAnsi="方正仿宋简体" w:eastAsia="方正仿宋简体" w:cs="方正仿宋简体"/>
          <w:b/>
          <w:bCs/>
          <w:i w:val="0"/>
          <w:iCs w:val="0"/>
          <w:caps w:val="0"/>
          <w:color w:val="333333"/>
          <w:spacing w:val="0"/>
          <w:sz w:val="31"/>
          <w:szCs w:val="31"/>
        </w:rPr>
      </w:pPr>
      <w:r>
        <w:rPr>
          <w:rFonts w:hint="eastAsia" w:ascii="方正仿宋简体" w:hAnsi="方正仿宋简体" w:eastAsia="方正仿宋简体" w:cs="方正仿宋简体"/>
          <w:b/>
          <w:bCs/>
          <w:i w:val="0"/>
          <w:iCs w:val="0"/>
          <w:caps w:val="0"/>
          <w:color w:val="333333"/>
          <w:spacing w:val="0"/>
          <w:sz w:val="31"/>
          <w:szCs w:val="31"/>
        </w:rPr>
        <w:t>（七）其他有关文件专门要求通过政府信息公开工作年度报告予以报告的事项：无。</w:t>
      </w:r>
    </w:p>
    <w:p>
      <w:pPr>
        <w:ind w:firstLine="620" w:firstLineChars="200"/>
        <w:rPr>
          <w:rFonts w:hint="eastAsia" w:ascii="仿宋_GB2312" w:hAnsi="宋体" w:eastAsia="仿宋_GB2312" w:cs="仿宋_GB2312"/>
          <w:i w:val="0"/>
          <w:iCs w:val="0"/>
          <w:caps w:val="0"/>
          <w:color w:val="333333"/>
          <w:spacing w:val="0"/>
          <w:sz w:val="31"/>
          <w:szCs w:val="3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F950E"/>
    <w:multiLevelType w:val="singleLevel"/>
    <w:tmpl w:val="B1AF950E"/>
    <w:lvl w:ilvl="0" w:tentative="0">
      <w:start w:val="1"/>
      <w:numFmt w:val="chineseCounting"/>
      <w:suff w:val="nothing"/>
      <w:lvlText w:val="（%1）"/>
      <w:lvlJc w:val="left"/>
      <w:rPr>
        <w:rFonts w:hint="eastAsia"/>
      </w:rPr>
    </w:lvl>
  </w:abstractNum>
  <w:abstractNum w:abstractNumId="1">
    <w:nsid w:val="FBD544BE"/>
    <w:multiLevelType w:val="singleLevel"/>
    <w:tmpl w:val="FBD544BE"/>
    <w:lvl w:ilvl="0" w:tentative="0">
      <w:start w:val="4"/>
      <w:numFmt w:val="chineseCounting"/>
      <w:suff w:val="nothing"/>
      <w:lvlText w:val="（%1）"/>
      <w:lvlJc w:val="left"/>
      <w:pPr>
        <w:ind w:left="10"/>
      </w:pPr>
      <w:rPr>
        <w:rFonts w:hint="eastAsia"/>
      </w:rPr>
    </w:lvl>
  </w:abstractNum>
  <w:abstractNum w:abstractNumId="2">
    <w:nsid w:val="1DA624BA"/>
    <w:multiLevelType w:val="singleLevel"/>
    <w:tmpl w:val="1DA624BA"/>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MGYyMjVkYzdjNDY1NmU1NjJkYzA1MDM5OTNhMzYifQ=="/>
  </w:docVars>
  <w:rsids>
    <w:rsidRoot w:val="00000000"/>
    <w:rsid w:val="083D3697"/>
    <w:rsid w:val="24276EB2"/>
    <w:rsid w:val="36ED59B5"/>
    <w:rsid w:val="3A5D2EE4"/>
    <w:rsid w:val="3C6368C1"/>
    <w:rsid w:val="3DB05186"/>
    <w:rsid w:val="3EF444DC"/>
    <w:rsid w:val="43615785"/>
    <w:rsid w:val="4E7A44BE"/>
    <w:rsid w:val="4FE56D7A"/>
    <w:rsid w:val="532A6906"/>
    <w:rsid w:val="59CD24E4"/>
    <w:rsid w:val="64177A58"/>
    <w:rsid w:val="6429154F"/>
    <w:rsid w:val="6EE84F5B"/>
    <w:rsid w:val="7E49070F"/>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3481</Words>
  <Characters>3578</Characters>
  <Lines>0</Lines>
  <Paragraphs>0</Paragraphs>
  <TotalTime>80</TotalTime>
  <ScaleCrop>false</ScaleCrop>
  <LinksUpToDate>false</LinksUpToDate>
  <CharactersWithSpaces>3589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2023-01-20T01:30:00Z</dcterms:created>
  <dc:creator>Administrator</dc:creator>
  <cp:lastModifiedBy>Administrator</cp:lastModifiedBy>
  <dcterms:modified xsi:type="dcterms:W3CDTF">2023-02-10T01:20:35Z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9FDE19B08246497B9AB65A42F3A6DB40</vt:lpwstr>
  </property>
</Properties>
</file>