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60" w:rsidRPr="008C526A" w:rsidRDefault="00553960" w:rsidP="00410CA9">
      <w:pPr>
        <w:spacing w:line="540" w:lineRule="exact"/>
        <w:jc w:val="center"/>
        <w:rPr>
          <w:rFonts w:ascii="黑体" w:eastAsia="黑体"/>
          <w:b/>
          <w:sz w:val="44"/>
          <w:szCs w:val="44"/>
        </w:rPr>
      </w:pPr>
    </w:p>
    <w:p w:rsidR="005014FF" w:rsidRPr="008C526A" w:rsidRDefault="005014FF" w:rsidP="00410CA9">
      <w:pPr>
        <w:spacing w:line="540" w:lineRule="exact"/>
        <w:jc w:val="center"/>
        <w:rPr>
          <w:rFonts w:ascii="黑体" w:eastAsia="黑体"/>
          <w:b/>
          <w:sz w:val="44"/>
          <w:szCs w:val="44"/>
        </w:rPr>
      </w:pPr>
    </w:p>
    <w:p w:rsidR="005014FF" w:rsidRPr="008C526A" w:rsidRDefault="005014FF" w:rsidP="00410CA9">
      <w:pPr>
        <w:spacing w:line="540" w:lineRule="exact"/>
        <w:jc w:val="center"/>
        <w:rPr>
          <w:rFonts w:ascii="黑体" w:eastAsia="黑体"/>
          <w:b/>
          <w:sz w:val="44"/>
          <w:szCs w:val="44"/>
        </w:rPr>
      </w:pPr>
    </w:p>
    <w:p w:rsidR="005014FF" w:rsidRPr="008C526A" w:rsidRDefault="005014FF" w:rsidP="00410CA9">
      <w:pPr>
        <w:spacing w:line="540" w:lineRule="exact"/>
        <w:jc w:val="center"/>
        <w:rPr>
          <w:rFonts w:ascii="黑体" w:eastAsia="黑体"/>
          <w:b/>
          <w:sz w:val="44"/>
          <w:szCs w:val="44"/>
        </w:rPr>
      </w:pPr>
    </w:p>
    <w:p w:rsidR="00553960" w:rsidRPr="008C526A" w:rsidRDefault="00553960" w:rsidP="00410CA9">
      <w:pPr>
        <w:spacing w:line="540" w:lineRule="exact"/>
        <w:jc w:val="center"/>
        <w:rPr>
          <w:rFonts w:ascii="黑体" w:eastAsia="黑体"/>
          <w:b/>
          <w:sz w:val="44"/>
          <w:szCs w:val="44"/>
        </w:rPr>
      </w:pPr>
    </w:p>
    <w:p w:rsidR="00553960" w:rsidRPr="008C526A" w:rsidRDefault="00553960" w:rsidP="00410CA9">
      <w:pPr>
        <w:spacing w:line="540" w:lineRule="exact"/>
        <w:jc w:val="center"/>
        <w:rPr>
          <w:rFonts w:ascii="黑体" w:eastAsia="黑体"/>
          <w:b/>
          <w:sz w:val="44"/>
          <w:szCs w:val="44"/>
        </w:rPr>
      </w:pPr>
    </w:p>
    <w:p w:rsidR="00553960" w:rsidRPr="008C526A" w:rsidRDefault="00553960" w:rsidP="00410CA9">
      <w:pPr>
        <w:spacing w:line="540" w:lineRule="exact"/>
        <w:jc w:val="center"/>
        <w:rPr>
          <w:rFonts w:ascii="仿宋" w:eastAsia="仿宋" w:hAnsi="仿宋"/>
          <w:b/>
          <w:sz w:val="32"/>
          <w:szCs w:val="32"/>
        </w:rPr>
      </w:pPr>
      <w:r w:rsidRPr="008C526A">
        <w:rPr>
          <w:rFonts w:ascii="仿宋" w:eastAsia="仿宋" w:hAnsi="仿宋" w:hint="eastAsia"/>
          <w:b/>
          <w:color w:val="000000"/>
          <w:sz w:val="32"/>
          <w:szCs w:val="32"/>
        </w:rPr>
        <w:t>济国资〔</w:t>
      </w:r>
      <w:r w:rsidRPr="008C526A">
        <w:rPr>
          <w:rFonts w:ascii="仿宋" w:eastAsia="仿宋" w:hAnsi="仿宋"/>
          <w:b/>
          <w:color w:val="000000"/>
          <w:sz w:val="32"/>
          <w:szCs w:val="32"/>
        </w:rPr>
        <w:t>20</w:t>
      </w:r>
      <w:r w:rsidR="00051D4D" w:rsidRPr="008C526A">
        <w:rPr>
          <w:rFonts w:ascii="仿宋" w:eastAsia="仿宋" w:hAnsi="仿宋" w:hint="eastAsia"/>
          <w:b/>
          <w:color w:val="000000"/>
          <w:sz w:val="32"/>
          <w:szCs w:val="32"/>
        </w:rPr>
        <w:t>21</w:t>
      </w:r>
      <w:r w:rsidRPr="008C526A">
        <w:rPr>
          <w:rFonts w:ascii="仿宋" w:eastAsia="仿宋" w:hAnsi="仿宋" w:hint="eastAsia"/>
          <w:b/>
          <w:color w:val="000000"/>
          <w:sz w:val="32"/>
          <w:szCs w:val="32"/>
        </w:rPr>
        <w:t>〕</w:t>
      </w:r>
      <w:r w:rsidR="00EA3715">
        <w:rPr>
          <w:rFonts w:ascii="仿宋" w:eastAsia="仿宋" w:hAnsi="仿宋" w:hint="eastAsia"/>
          <w:b/>
          <w:color w:val="000000"/>
          <w:sz w:val="32"/>
          <w:szCs w:val="32"/>
        </w:rPr>
        <w:t>42</w:t>
      </w:r>
      <w:r w:rsidRPr="008C526A">
        <w:rPr>
          <w:rFonts w:ascii="仿宋" w:eastAsia="仿宋" w:hAnsi="仿宋" w:hint="eastAsia"/>
          <w:b/>
          <w:color w:val="000000"/>
          <w:sz w:val="32"/>
          <w:szCs w:val="32"/>
        </w:rPr>
        <w:t>号</w:t>
      </w:r>
    </w:p>
    <w:p w:rsidR="00553960" w:rsidRPr="008C526A" w:rsidRDefault="00553960" w:rsidP="00415F6C">
      <w:pPr>
        <w:spacing w:line="400" w:lineRule="exact"/>
        <w:jc w:val="center"/>
        <w:rPr>
          <w:rFonts w:ascii="仿宋" w:eastAsia="仿宋" w:hAnsi="仿宋"/>
          <w:b/>
          <w:sz w:val="44"/>
          <w:szCs w:val="44"/>
        </w:rPr>
      </w:pPr>
    </w:p>
    <w:p w:rsidR="00553960" w:rsidRPr="008C526A" w:rsidRDefault="00553960" w:rsidP="00415F6C">
      <w:pPr>
        <w:spacing w:line="400" w:lineRule="exact"/>
        <w:jc w:val="center"/>
        <w:rPr>
          <w:rFonts w:ascii="仿宋" w:eastAsia="仿宋" w:hAnsi="仿宋"/>
          <w:b/>
          <w:sz w:val="44"/>
          <w:szCs w:val="44"/>
        </w:rPr>
      </w:pPr>
    </w:p>
    <w:p w:rsidR="00553960" w:rsidRPr="008C526A" w:rsidRDefault="00553960" w:rsidP="00836C23">
      <w:pPr>
        <w:spacing w:line="760" w:lineRule="exact"/>
        <w:jc w:val="center"/>
        <w:rPr>
          <w:rFonts w:ascii="方正小标宋简体" w:eastAsia="方正小标宋简体"/>
          <w:b/>
          <w:sz w:val="44"/>
          <w:szCs w:val="44"/>
        </w:rPr>
      </w:pPr>
      <w:r w:rsidRPr="008C526A">
        <w:rPr>
          <w:rFonts w:ascii="方正小标宋简体" w:eastAsia="方正小标宋简体" w:hint="eastAsia"/>
          <w:b/>
          <w:sz w:val="44"/>
          <w:szCs w:val="44"/>
        </w:rPr>
        <w:t>济宁市国资委</w:t>
      </w:r>
    </w:p>
    <w:p w:rsidR="008C526A" w:rsidRPr="008C526A" w:rsidRDefault="008C526A" w:rsidP="008C526A">
      <w:pPr>
        <w:spacing w:line="760" w:lineRule="exact"/>
        <w:jc w:val="center"/>
        <w:rPr>
          <w:rFonts w:ascii="方正小标宋简体" w:eastAsia="方正小标宋简体"/>
          <w:b/>
          <w:sz w:val="44"/>
          <w:szCs w:val="44"/>
        </w:rPr>
      </w:pPr>
      <w:bookmarkStart w:id="0" w:name="PO_标题"/>
      <w:r w:rsidRPr="008C526A">
        <w:rPr>
          <w:rFonts w:ascii="方正小标宋简体" w:eastAsia="方正小标宋简体" w:hint="eastAsia"/>
          <w:b/>
          <w:sz w:val="44"/>
          <w:szCs w:val="44"/>
        </w:rPr>
        <w:t>关于印发《市管企业混合所有制改革</w:t>
      </w:r>
    </w:p>
    <w:p w:rsidR="008C526A" w:rsidRPr="008C526A" w:rsidRDefault="008C526A" w:rsidP="008C526A">
      <w:pPr>
        <w:spacing w:line="760" w:lineRule="exact"/>
        <w:jc w:val="center"/>
        <w:rPr>
          <w:rFonts w:ascii="方正小标宋简体" w:eastAsia="方正小标宋简体"/>
          <w:b/>
          <w:sz w:val="44"/>
          <w:szCs w:val="44"/>
        </w:rPr>
      </w:pPr>
      <w:r w:rsidRPr="008C526A">
        <w:rPr>
          <w:rFonts w:ascii="方正小标宋简体" w:eastAsia="方正小标宋简体" w:hint="eastAsia"/>
          <w:b/>
          <w:sz w:val="44"/>
          <w:szCs w:val="44"/>
        </w:rPr>
        <w:t>后评价工作实施办法》的通知</w:t>
      </w:r>
      <w:bookmarkEnd w:id="0"/>
    </w:p>
    <w:p w:rsidR="008C526A" w:rsidRPr="008C526A" w:rsidRDefault="008C526A" w:rsidP="008C526A">
      <w:pPr>
        <w:adjustRightInd w:val="0"/>
        <w:snapToGrid w:val="0"/>
        <w:spacing w:line="600" w:lineRule="exact"/>
        <w:rPr>
          <w:rFonts w:ascii="方正仿宋简体" w:eastAsia="方正仿宋简体" w:hAnsi="宋体" w:cs="宋体"/>
          <w:b/>
          <w:sz w:val="32"/>
          <w:szCs w:val="32"/>
        </w:rPr>
      </w:pPr>
    </w:p>
    <w:p w:rsidR="008C526A" w:rsidRPr="008C526A" w:rsidRDefault="008C526A" w:rsidP="008C526A">
      <w:pPr>
        <w:adjustRightInd w:val="0"/>
        <w:snapToGrid w:val="0"/>
        <w:spacing w:line="600" w:lineRule="exact"/>
        <w:rPr>
          <w:rFonts w:ascii="方正仿宋简体" w:eastAsia="方正仿宋简体" w:cs="宋体"/>
          <w:b/>
          <w:sz w:val="32"/>
          <w:szCs w:val="32"/>
        </w:rPr>
      </w:pPr>
      <w:bookmarkStart w:id="1" w:name="PO_主送"/>
      <w:r w:rsidRPr="008C526A">
        <w:rPr>
          <w:rFonts w:ascii="方正仿宋简体" w:eastAsia="方正仿宋简体" w:cs="宋体" w:hint="eastAsia"/>
          <w:b/>
          <w:sz w:val="32"/>
          <w:szCs w:val="32"/>
        </w:rPr>
        <w:t>各市管企业</w:t>
      </w:r>
      <w:bookmarkEnd w:id="1"/>
      <w:r w:rsidRPr="008C526A">
        <w:rPr>
          <w:rFonts w:ascii="方正仿宋简体" w:eastAsia="方正仿宋简体" w:cs="宋体" w:hint="eastAsia"/>
          <w:b/>
          <w:sz w:val="32"/>
          <w:szCs w:val="32"/>
        </w:rPr>
        <w:t>：</w:t>
      </w:r>
    </w:p>
    <w:p w:rsidR="008C526A" w:rsidRPr="008C526A" w:rsidRDefault="008C526A" w:rsidP="008C526A">
      <w:pPr>
        <w:pStyle w:val="0"/>
        <w:adjustRightInd w:val="0"/>
        <w:snapToGrid w:val="0"/>
        <w:spacing w:line="600" w:lineRule="exact"/>
        <w:ind w:firstLine="640"/>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w:t>
      </w:r>
      <w:r>
        <w:rPr>
          <w:rFonts w:ascii="方正仿宋简体" w:eastAsia="方正仿宋简体" w:hAnsi="仿宋_GB2312" w:cs="仿宋_GB2312" w:hint="eastAsia"/>
          <w:b/>
          <w:sz w:val="32"/>
          <w:szCs w:val="32"/>
        </w:rPr>
        <w:t>市管企业混合所有制改革后评价工作实施办法》已经</w:t>
      </w:r>
      <w:r w:rsidRPr="0031483C">
        <w:rPr>
          <w:rFonts w:ascii="方正仿宋简体" w:eastAsia="方正仿宋简体" w:hAnsi="仿宋_GB2312" w:cs="仿宋_GB2312" w:hint="eastAsia"/>
          <w:b/>
          <w:sz w:val="32"/>
          <w:szCs w:val="32"/>
        </w:rPr>
        <w:t>市国资委</w:t>
      </w:r>
      <w:r w:rsidR="0031483C" w:rsidRPr="0031483C">
        <w:rPr>
          <w:rFonts w:ascii="方正仿宋简体" w:eastAsia="方正仿宋简体" w:hAnsi="仿宋_GB2312" w:cs="仿宋_GB2312" w:hint="eastAsia"/>
          <w:b/>
          <w:sz w:val="32"/>
          <w:szCs w:val="32"/>
        </w:rPr>
        <w:t>〔2021〕</w:t>
      </w:r>
      <w:r w:rsidRPr="0031483C">
        <w:rPr>
          <w:rFonts w:ascii="方正仿宋简体" w:eastAsia="方正仿宋简体" w:hAnsi="仿宋_GB2312" w:cs="仿宋_GB2312" w:hint="eastAsia"/>
          <w:b/>
          <w:sz w:val="32"/>
          <w:szCs w:val="32"/>
        </w:rPr>
        <w:t>第</w:t>
      </w:r>
      <w:r w:rsidR="0031483C" w:rsidRPr="0031483C">
        <w:rPr>
          <w:rFonts w:ascii="方正仿宋简体" w:eastAsia="方正仿宋简体" w:hAnsi="仿宋_GB2312" w:cs="仿宋_GB2312" w:hint="eastAsia"/>
          <w:b/>
          <w:sz w:val="32"/>
          <w:szCs w:val="32"/>
        </w:rPr>
        <w:t>18</w:t>
      </w:r>
      <w:r w:rsidRPr="0031483C">
        <w:rPr>
          <w:rFonts w:ascii="方正仿宋简体" w:eastAsia="方正仿宋简体" w:hAnsi="仿宋_GB2312" w:cs="仿宋_GB2312" w:hint="eastAsia"/>
          <w:b/>
          <w:sz w:val="32"/>
          <w:szCs w:val="32"/>
        </w:rPr>
        <w:t>次</w:t>
      </w:r>
      <w:r w:rsidR="0031483C" w:rsidRPr="0031483C">
        <w:rPr>
          <w:rFonts w:ascii="方正仿宋简体" w:eastAsia="方正仿宋简体" w:hAnsi="仿宋_GB2312" w:cs="仿宋_GB2312" w:hint="eastAsia"/>
          <w:b/>
          <w:sz w:val="32"/>
          <w:szCs w:val="32"/>
        </w:rPr>
        <w:t>主任办公</w:t>
      </w:r>
      <w:r w:rsidRPr="0031483C">
        <w:rPr>
          <w:rFonts w:ascii="方正仿宋简体" w:eastAsia="方正仿宋简体" w:hAnsi="仿宋_GB2312" w:cs="仿宋_GB2312" w:hint="eastAsia"/>
          <w:b/>
          <w:sz w:val="32"/>
          <w:szCs w:val="32"/>
        </w:rPr>
        <w:t>会议研究通过，现予以</w:t>
      </w:r>
      <w:r w:rsidRPr="008C526A">
        <w:rPr>
          <w:rFonts w:ascii="方正仿宋简体" w:eastAsia="方正仿宋简体" w:hAnsi="仿宋_GB2312" w:cs="仿宋_GB2312" w:hint="eastAsia"/>
          <w:b/>
          <w:sz w:val="32"/>
          <w:szCs w:val="32"/>
        </w:rPr>
        <w:t>印发，请遵照执行。</w:t>
      </w:r>
    </w:p>
    <w:p w:rsidR="008C526A" w:rsidRPr="008C526A" w:rsidRDefault="008C526A" w:rsidP="008C526A">
      <w:pPr>
        <w:pStyle w:val="0"/>
        <w:tabs>
          <w:tab w:val="left" w:pos="2459"/>
        </w:tabs>
        <w:adjustRightInd w:val="0"/>
        <w:snapToGrid w:val="0"/>
        <w:spacing w:line="600" w:lineRule="exact"/>
        <w:ind w:firstLine="640"/>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ab/>
      </w:r>
    </w:p>
    <w:p w:rsidR="008C526A" w:rsidRPr="008C526A" w:rsidRDefault="008C526A" w:rsidP="008C526A">
      <w:pPr>
        <w:pStyle w:val="0"/>
        <w:tabs>
          <w:tab w:val="left" w:pos="2459"/>
        </w:tabs>
        <w:adjustRightInd w:val="0"/>
        <w:snapToGrid w:val="0"/>
        <w:spacing w:line="600" w:lineRule="exact"/>
        <w:ind w:firstLine="640"/>
        <w:rPr>
          <w:rFonts w:ascii="方正仿宋简体" w:eastAsia="方正仿宋简体" w:hAnsi="仿宋_GB2312" w:cs="仿宋_GB2312"/>
          <w:b/>
          <w:sz w:val="32"/>
          <w:szCs w:val="32"/>
        </w:rPr>
      </w:pPr>
    </w:p>
    <w:p w:rsidR="008C526A" w:rsidRPr="008C526A" w:rsidRDefault="008C526A" w:rsidP="00036F81">
      <w:pPr>
        <w:adjustRightInd w:val="0"/>
        <w:snapToGrid w:val="0"/>
        <w:spacing w:line="600" w:lineRule="exact"/>
        <w:ind w:rightChars="769" w:right="1615" w:firstLineChars="1446" w:firstLine="4645"/>
        <w:rPr>
          <w:rFonts w:ascii="方正仿宋简体" w:eastAsia="方正仿宋简体" w:hAnsi="宋体" w:cs="宋体"/>
          <w:b/>
          <w:sz w:val="32"/>
          <w:szCs w:val="32"/>
        </w:rPr>
      </w:pPr>
      <w:r>
        <w:rPr>
          <w:rFonts w:ascii="方正仿宋简体" w:eastAsia="方正仿宋简体" w:hAnsi="宋体" w:cs="宋体" w:hint="eastAsia"/>
          <w:b/>
          <w:sz w:val="32"/>
          <w:szCs w:val="32"/>
        </w:rPr>
        <w:t>济宁市</w:t>
      </w:r>
      <w:r w:rsidRPr="008C526A">
        <w:rPr>
          <w:rFonts w:ascii="方正仿宋简体" w:eastAsia="方正仿宋简体" w:hAnsi="宋体" w:cs="宋体" w:hint="eastAsia"/>
          <w:b/>
          <w:sz w:val="32"/>
          <w:szCs w:val="32"/>
        </w:rPr>
        <w:t xml:space="preserve">国资委 </w:t>
      </w:r>
    </w:p>
    <w:p w:rsidR="008C526A" w:rsidRPr="008C526A" w:rsidRDefault="008C526A" w:rsidP="00036F81">
      <w:pPr>
        <w:pStyle w:val="0"/>
        <w:adjustRightInd w:val="0"/>
        <w:snapToGrid w:val="0"/>
        <w:spacing w:line="600" w:lineRule="exact"/>
        <w:ind w:rightChars="569" w:right="1195" w:firstLineChars="1395" w:firstLine="4481"/>
        <w:rPr>
          <w:rFonts w:ascii="方正仿宋简体" w:eastAsia="方正仿宋简体" w:hAnsi="宋体" w:cs="宋体"/>
          <w:b/>
          <w:sz w:val="32"/>
          <w:szCs w:val="32"/>
        </w:rPr>
      </w:pPr>
      <w:bookmarkStart w:id="2" w:name="PO_签发时间"/>
      <w:r w:rsidRPr="008C526A">
        <w:rPr>
          <w:rFonts w:ascii="方正仿宋简体" w:eastAsia="方正仿宋简体" w:hAnsi="宋体" w:cs="宋体" w:hint="eastAsia"/>
          <w:b/>
          <w:sz w:val="32"/>
          <w:szCs w:val="32"/>
        </w:rPr>
        <w:t>202</w:t>
      </w:r>
      <w:r>
        <w:rPr>
          <w:rFonts w:ascii="方正仿宋简体" w:eastAsia="方正仿宋简体" w:hAnsi="宋体" w:cs="宋体" w:hint="eastAsia"/>
          <w:b/>
          <w:sz w:val="32"/>
          <w:szCs w:val="32"/>
        </w:rPr>
        <w:t>1</w:t>
      </w:r>
      <w:r w:rsidRPr="008C526A">
        <w:rPr>
          <w:rFonts w:ascii="方正仿宋简体" w:eastAsia="方正仿宋简体" w:hAnsi="宋体" w:cs="宋体" w:hint="eastAsia"/>
          <w:b/>
          <w:sz w:val="32"/>
          <w:szCs w:val="32"/>
        </w:rPr>
        <w:t>年</w:t>
      </w:r>
      <w:r w:rsidR="00EA3715">
        <w:rPr>
          <w:rFonts w:ascii="方正仿宋简体" w:eastAsia="方正仿宋简体" w:hAnsi="宋体" w:cs="宋体" w:hint="eastAsia"/>
          <w:b/>
          <w:sz w:val="32"/>
          <w:szCs w:val="32"/>
        </w:rPr>
        <w:t>7</w:t>
      </w:r>
      <w:r w:rsidRPr="008C526A">
        <w:rPr>
          <w:rFonts w:ascii="方正仿宋简体" w:eastAsia="方正仿宋简体" w:hAnsi="宋体" w:cs="宋体" w:hint="eastAsia"/>
          <w:b/>
          <w:sz w:val="32"/>
          <w:szCs w:val="32"/>
        </w:rPr>
        <w:t>月</w:t>
      </w:r>
      <w:r w:rsidR="0031483C">
        <w:rPr>
          <w:rFonts w:ascii="方正仿宋简体" w:eastAsia="方正仿宋简体" w:hAnsi="宋体" w:cs="宋体" w:hint="eastAsia"/>
          <w:b/>
          <w:sz w:val="32"/>
          <w:szCs w:val="32"/>
        </w:rPr>
        <w:t>2</w:t>
      </w:r>
      <w:r w:rsidRPr="008C526A">
        <w:rPr>
          <w:rFonts w:ascii="方正仿宋简体" w:eastAsia="方正仿宋简体" w:hAnsi="宋体" w:cs="宋体" w:hint="eastAsia"/>
          <w:b/>
          <w:sz w:val="32"/>
          <w:szCs w:val="32"/>
        </w:rPr>
        <w:t>日</w:t>
      </w:r>
      <w:bookmarkEnd w:id="2"/>
    </w:p>
    <w:p w:rsidR="008C526A" w:rsidRDefault="008C526A" w:rsidP="008C526A">
      <w:pPr>
        <w:pStyle w:val="0"/>
        <w:adjustRightInd w:val="0"/>
        <w:snapToGrid w:val="0"/>
        <w:spacing w:line="580" w:lineRule="exact"/>
        <w:jc w:val="center"/>
        <w:rPr>
          <w:rFonts w:ascii="方正仿宋简体" w:eastAsia="方正仿宋简体" w:hAnsi="宋体" w:cs="宋体"/>
          <w:b/>
          <w:sz w:val="32"/>
          <w:szCs w:val="32"/>
        </w:rPr>
      </w:pPr>
    </w:p>
    <w:p w:rsidR="008C526A" w:rsidRDefault="008C526A" w:rsidP="008C526A">
      <w:pPr>
        <w:pStyle w:val="0"/>
        <w:adjustRightInd w:val="0"/>
        <w:snapToGrid w:val="0"/>
        <w:spacing w:line="580" w:lineRule="exact"/>
        <w:jc w:val="center"/>
        <w:rPr>
          <w:rFonts w:ascii="方正仿宋简体" w:eastAsia="方正仿宋简体" w:hAnsi="宋体" w:cs="宋体"/>
          <w:b/>
          <w:sz w:val="32"/>
          <w:szCs w:val="32"/>
        </w:rPr>
      </w:pPr>
    </w:p>
    <w:p w:rsidR="008C526A" w:rsidRPr="008C526A" w:rsidRDefault="008C526A" w:rsidP="008C526A">
      <w:pPr>
        <w:spacing w:line="760" w:lineRule="exact"/>
        <w:jc w:val="center"/>
        <w:rPr>
          <w:rFonts w:ascii="方正小标宋简体" w:eastAsia="方正小标宋简体"/>
          <w:b/>
          <w:sz w:val="44"/>
          <w:szCs w:val="44"/>
        </w:rPr>
      </w:pPr>
      <w:r>
        <w:rPr>
          <w:rFonts w:ascii="方正小标宋简体" w:eastAsia="方正小标宋简体" w:hint="eastAsia"/>
          <w:b/>
          <w:sz w:val="44"/>
          <w:szCs w:val="44"/>
        </w:rPr>
        <w:lastRenderedPageBreak/>
        <w:t>市管</w:t>
      </w:r>
      <w:r w:rsidRPr="008C526A">
        <w:rPr>
          <w:rFonts w:ascii="方正小标宋简体" w:eastAsia="方正小标宋简体" w:hint="eastAsia"/>
          <w:b/>
          <w:sz w:val="44"/>
          <w:szCs w:val="44"/>
        </w:rPr>
        <w:t>企业混合所有制改革后评价工作</w:t>
      </w:r>
    </w:p>
    <w:p w:rsidR="008C526A" w:rsidRPr="008C526A" w:rsidRDefault="008C526A" w:rsidP="008C526A">
      <w:pPr>
        <w:spacing w:line="760" w:lineRule="exact"/>
        <w:jc w:val="center"/>
        <w:rPr>
          <w:rFonts w:ascii="方正小标宋简体" w:eastAsia="方正小标宋简体"/>
          <w:b/>
          <w:sz w:val="44"/>
          <w:szCs w:val="44"/>
        </w:rPr>
      </w:pPr>
      <w:r w:rsidRPr="008C526A">
        <w:rPr>
          <w:rFonts w:ascii="方正小标宋简体" w:eastAsia="方正小标宋简体" w:hint="eastAsia"/>
          <w:b/>
          <w:sz w:val="44"/>
          <w:szCs w:val="44"/>
        </w:rPr>
        <w:t>实施办法</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第一章  总  则</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DB001F">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第一条</w:t>
      </w:r>
      <w:r w:rsidRPr="008C526A">
        <w:rPr>
          <w:rFonts w:ascii="楷体" w:eastAsia="楷体" w:hAnsi="楷体" w:cs="楷体" w:hint="eastAsia"/>
          <w:b/>
          <w:sz w:val="32"/>
          <w:szCs w:val="32"/>
        </w:rPr>
        <w:t xml:space="preserve"> </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为深入推进</w:t>
      </w:r>
      <w:r w:rsidR="00DB001F">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企业混合所有制改革，客观评价企业混改后的工作成效，实现以“混”促“改”的目标，根据</w:t>
      </w:r>
      <w:r w:rsidR="00DB001F" w:rsidRPr="00DB001F">
        <w:rPr>
          <w:rFonts w:ascii="方正仿宋简体" w:eastAsia="方正仿宋简体" w:hAnsi="仿宋_GB2312" w:cs="仿宋_GB2312" w:hint="eastAsia"/>
          <w:b/>
          <w:sz w:val="32"/>
          <w:szCs w:val="32"/>
        </w:rPr>
        <w:t>市委办公室</w:t>
      </w:r>
      <w:r w:rsidR="00DB001F">
        <w:rPr>
          <w:rFonts w:ascii="方正仿宋简体" w:eastAsia="方正仿宋简体" w:hAnsi="仿宋_GB2312" w:cs="仿宋_GB2312" w:hint="eastAsia"/>
          <w:b/>
          <w:sz w:val="32"/>
          <w:szCs w:val="32"/>
        </w:rPr>
        <w:t>、</w:t>
      </w:r>
      <w:r w:rsidR="00DB001F" w:rsidRPr="00DB001F">
        <w:rPr>
          <w:rFonts w:ascii="方正仿宋简体" w:eastAsia="方正仿宋简体" w:hAnsi="仿宋_GB2312" w:cs="仿宋_GB2312" w:hint="eastAsia"/>
          <w:b/>
          <w:sz w:val="32"/>
          <w:szCs w:val="32"/>
        </w:rPr>
        <w:t>市政府办公室</w:t>
      </w:r>
      <w:r w:rsidR="00DB001F">
        <w:rPr>
          <w:rFonts w:ascii="方正仿宋简体" w:eastAsia="方正仿宋简体" w:hAnsi="仿宋_GB2312" w:cs="仿宋_GB2312" w:hint="eastAsia"/>
          <w:b/>
          <w:sz w:val="32"/>
          <w:szCs w:val="32"/>
        </w:rPr>
        <w:t>《关于市属国有企业发展混合所有制经济的</w:t>
      </w:r>
      <w:r w:rsidR="00DB001F" w:rsidRPr="00DB001F">
        <w:rPr>
          <w:rFonts w:ascii="方正仿宋简体" w:eastAsia="方正仿宋简体" w:hAnsi="仿宋_GB2312" w:cs="仿宋_GB2312" w:hint="eastAsia"/>
          <w:b/>
          <w:sz w:val="32"/>
          <w:szCs w:val="32"/>
        </w:rPr>
        <w:t>意见</w:t>
      </w:r>
      <w:r w:rsidR="00DB001F">
        <w:rPr>
          <w:rFonts w:ascii="方正仿宋简体" w:eastAsia="方正仿宋简体" w:hAnsi="仿宋_GB2312" w:cs="仿宋_GB2312" w:hint="eastAsia"/>
          <w:b/>
          <w:sz w:val="32"/>
          <w:szCs w:val="32"/>
        </w:rPr>
        <w:t>》（济办发</w:t>
      </w:r>
      <w:r w:rsidR="00DB001F" w:rsidRPr="008C526A">
        <w:rPr>
          <w:rFonts w:ascii="方正仿宋简体" w:eastAsia="方正仿宋简体" w:hAnsi="仿宋_GB2312" w:cs="仿宋_GB2312" w:hint="eastAsia"/>
          <w:b/>
          <w:sz w:val="32"/>
          <w:szCs w:val="32"/>
        </w:rPr>
        <w:t>〔2016〕</w:t>
      </w:r>
      <w:r w:rsidR="00DB001F">
        <w:rPr>
          <w:rFonts w:ascii="方正仿宋简体" w:eastAsia="方正仿宋简体" w:hAnsi="仿宋_GB2312" w:cs="仿宋_GB2312" w:hint="eastAsia"/>
          <w:b/>
          <w:sz w:val="32"/>
          <w:szCs w:val="32"/>
        </w:rPr>
        <w:t>55</w:t>
      </w:r>
      <w:r w:rsidR="00DB001F" w:rsidRPr="008C526A">
        <w:rPr>
          <w:rFonts w:ascii="方正仿宋简体" w:eastAsia="方正仿宋简体" w:hAnsi="仿宋_GB2312" w:cs="仿宋_GB2312" w:hint="eastAsia"/>
          <w:b/>
          <w:sz w:val="32"/>
          <w:szCs w:val="32"/>
        </w:rPr>
        <w:t>号</w:t>
      </w:r>
      <w:r w:rsidR="00DB001F">
        <w:rPr>
          <w:rFonts w:ascii="方正仿宋简体" w:eastAsia="方正仿宋简体" w:hAnsi="仿宋_GB2312" w:cs="仿宋_GB2312" w:hint="eastAsia"/>
          <w:b/>
          <w:sz w:val="32"/>
          <w:szCs w:val="32"/>
        </w:rPr>
        <w:t>），建立混合所有制改革后评价制度，制定市管</w:t>
      </w:r>
      <w:r w:rsidRPr="008C526A">
        <w:rPr>
          <w:rFonts w:ascii="方正仿宋简体" w:eastAsia="方正仿宋简体" w:hAnsi="仿宋_GB2312" w:cs="仿宋_GB2312" w:hint="eastAsia"/>
          <w:b/>
          <w:sz w:val="32"/>
          <w:szCs w:val="32"/>
        </w:rPr>
        <w:t>企业混合所有制改革后评价工作实施办法。</w:t>
      </w:r>
    </w:p>
    <w:p w:rsidR="00AA7AA6" w:rsidRPr="008C526A" w:rsidRDefault="008C526A" w:rsidP="00AA7AA6">
      <w:pPr>
        <w:pStyle w:val="0"/>
        <w:adjustRightInd w:val="0"/>
        <w:snapToGrid w:val="0"/>
        <w:spacing w:line="580" w:lineRule="exact"/>
        <w:ind w:firstLineChars="200" w:firstLine="643"/>
        <w:rPr>
          <w:rFonts w:ascii="仿宋_GB2312" w:eastAsia="仿宋_GB2312" w:cs="宋体"/>
          <w:b/>
          <w:sz w:val="32"/>
          <w:szCs w:val="32"/>
        </w:rPr>
      </w:pPr>
      <w:r w:rsidRPr="008C526A">
        <w:rPr>
          <w:rFonts w:ascii="黑体" w:eastAsia="黑体" w:hAnsi="黑体" w:cs="黑体" w:hint="eastAsia"/>
          <w:b/>
          <w:sz w:val="32"/>
          <w:szCs w:val="32"/>
        </w:rPr>
        <w:t>第二条</w:t>
      </w:r>
      <w:r w:rsidRPr="008C526A">
        <w:rPr>
          <w:rFonts w:ascii="楷体" w:eastAsia="楷体" w:hAnsi="楷体" w:cs="楷体" w:hint="eastAsia"/>
          <w:b/>
          <w:sz w:val="32"/>
          <w:szCs w:val="32"/>
        </w:rPr>
        <w:t xml:space="preserve"> </w:t>
      </w:r>
      <w:r w:rsidRPr="008C526A">
        <w:rPr>
          <w:rFonts w:ascii="黑体" w:eastAsia="黑体" w:hAnsi="黑体" w:cs="黑体" w:hint="eastAsia"/>
          <w:b/>
          <w:sz w:val="32"/>
          <w:szCs w:val="32"/>
        </w:rPr>
        <w:t xml:space="preserve"> </w:t>
      </w:r>
      <w:r w:rsidR="00DB001F">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企业混合所有制改革是指</w:t>
      </w:r>
      <w:r w:rsidR="00DB001F">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企业及其权属企业通过</w:t>
      </w:r>
      <w:r w:rsidR="00AA7AA6" w:rsidRPr="008C526A">
        <w:rPr>
          <w:rFonts w:ascii="方正仿宋简体" w:eastAsia="方正仿宋简体" w:hAnsi="仿宋_GB2312" w:cs="仿宋_GB2312" w:hint="eastAsia"/>
          <w:b/>
          <w:sz w:val="32"/>
          <w:szCs w:val="32"/>
        </w:rPr>
        <w:t>上市、引进战略投资者、入股非公企业或项目、员工持股等方式引入各类资本实施的改革。</w:t>
      </w:r>
    </w:p>
    <w:p w:rsidR="008C526A" w:rsidRPr="008C526A" w:rsidRDefault="00AA7AA6"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Pr>
          <w:rFonts w:ascii="方正仿宋简体" w:eastAsia="方正仿宋简体" w:hAnsi="仿宋_GB2312" w:cs="仿宋_GB2312" w:hint="eastAsia"/>
          <w:b/>
          <w:sz w:val="32"/>
          <w:szCs w:val="32"/>
        </w:rPr>
        <w:t>市管企业是指由市</w:t>
      </w:r>
      <w:r w:rsidR="008C526A" w:rsidRPr="008C526A">
        <w:rPr>
          <w:rFonts w:ascii="方正仿宋简体" w:eastAsia="方正仿宋简体" w:hAnsi="仿宋_GB2312" w:cs="仿宋_GB2312" w:hint="eastAsia"/>
          <w:b/>
          <w:sz w:val="32"/>
          <w:szCs w:val="32"/>
        </w:rPr>
        <w:t>国资委履行出资</w:t>
      </w:r>
      <w:r>
        <w:rPr>
          <w:rFonts w:ascii="方正仿宋简体" w:eastAsia="方正仿宋简体" w:hAnsi="仿宋_GB2312" w:cs="仿宋_GB2312" w:hint="eastAsia"/>
          <w:b/>
          <w:sz w:val="32"/>
          <w:szCs w:val="32"/>
        </w:rPr>
        <w:t>人职责的企业。混改企业是指混改后仍为国有控股或国有实际控制的市管</w:t>
      </w:r>
      <w:r w:rsidR="008C526A" w:rsidRPr="008C526A">
        <w:rPr>
          <w:rFonts w:ascii="方正仿宋简体" w:eastAsia="方正仿宋简体" w:hAnsi="仿宋_GB2312" w:cs="仿宋_GB2312" w:hint="eastAsia"/>
          <w:b/>
          <w:sz w:val="32"/>
          <w:szCs w:val="32"/>
        </w:rPr>
        <w:t>企业及其权属企业。</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第三条</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混改后评价是指</w:t>
      </w:r>
      <w:r w:rsidR="00AA7AA6">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及其权属企业完成混改并运营一定时期后（其中完成混改以企业办理完市场主体变更登记为准），对混改实施效果、目标达成、存在问题等进行系统、客观的综合性分析评价，总结经验做法，找出问题和不足，提出改进措施，为后续推进改革提供有益借鉴。</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第四条</w:t>
      </w:r>
      <w:r w:rsidRPr="008C526A">
        <w:rPr>
          <w:rFonts w:ascii="仿宋_GB2312" w:eastAsia="仿宋_GB2312" w:cs="宋体" w:hint="eastAsia"/>
          <w:b/>
          <w:sz w:val="32"/>
          <w:szCs w:val="32"/>
        </w:rPr>
        <w:t xml:space="preserve">  </w:t>
      </w:r>
      <w:r w:rsidR="00AA7AA6">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国资委负责组织实施</w:t>
      </w:r>
      <w:r w:rsidR="00AA7AA6">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企业混改后评价</w:t>
      </w:r>
      <w:r w:rsidRPr="008C526A">
        <w:rPr>
          <w:rFonts w:ascii="方正仿宋简体" w:eastAsia="方正仿宋简体" w:hAnsi="仿宋_GB2312" w:cs="仿宋_GB2312" w:hint="eastAsia"/>
          <w:b/>
          <w:sz w:val="32"/>
          <w:szCs w:val="32"/>
        </w:rPr>
        <w:lastRenderedPageBreak/>
        <w:t>工作，自2021年起，每两年开展一次，具体由</w:t>
      </w:r>
      <w:r w:rsidR="00AA7AA6">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国资委委托专业咨询机构开展。</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第五条 </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混改后评价工作坚持独立、科学、公正的原则，由专业的第三方咨询机构依据本办法规定的后评价工作内容、方法和标准，按照规范程序，以事实为依据，通过纵向对比、横向对标，对企业混改后的实际成效进行客观公正、实事求是的分析评价。</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第二章  后评价对象</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AF556B">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第六条</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后评价对象为</w:t>
      </w:r>
      <w:r w:rsidR="00246F4F">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企业中完成混改两年以上</w:t>
      </w:r>
      <w:r w:rsidRPr="00AF556B">
        <w:rPr>
          <w:rFonts w:ascii="方正仿宋简体" w:eastAsia="方正仿宋简体" w:hAnsi="仿宋_GB2312" w:cs="仿宋_GB2312" w:hint="eastAsia"/>
          <w:b/>
          <w:sz w:val="32"/>
          <w:szCs w:val="32"/>
        </w:rPr>
        <w:t>的企业，重点包含列入</w:t>
      </w:r>
      <w:r w:rsidR="0027509C" w:rsidRPr="00AF556B">
        <w:rPr>
          <w:rFonts w:ascii="方正仿宋简体" w:eastAsia="方正仿宋简体" w:hAnsi="仿宋_GB2312" w:cs="仿宋_GB2312" w:hint="eastAsia"/>
          <w:b/>
          <w:sz w:val="32"/>
          <w:szCs w:val="32"/>
        </w:rPr>
        <w:t>《发展混合所有制经济企业名单》（2017-2021）企业。</w:t>
      </w:r>
      <w:r w:rsidRPr="008C526A">
        <w:rPr>
          <w:rFonts w:ascii="方正仿宋简体" w:eastAsia="方正仿宋简体" w:hAnsi="仿宋_GB2312" w:cs="仿宋_GB2312" w:hint="eastAsia"/>
          <w:b/>
          <w:sz w:val="32"/>
          <w:szCs w:val="32"/>
        </w:rPr>
        <w:t>实施评价时，</w:t>
      </w:r>
      <w:r w:rsidR="000B18EF">
        <w:rPr>
          <w:rFonts w:ascii="方正仿宋简体" w:eastAsia="方正仿宋简体" w:hAnsi="仿宋_GB2312" w:cs="仿宋_GB2312" w:hint="eastAsia"/>
          <w:b/>
          <w:sz w:val="32"/>
          <w:szCs w:val="32"/>
        </w:rPr>
        <w:t>原则上</w:t>
      </w:r>
      <w:r w:rsidRPr="008C526A">
        <w:rPr>
          <w:rFonts w:ascii="方正仿宋简体" w:eastAsia="方正仿宋简体" w:hAnsi="仿宋_GB2312" w:cs="仿宋_GB2312" w:hint="eastAsia"/>
          <w:b/>
          <w:sz w:val="32"/>
          <w:szCs w:val="32"/>
        </w:rPr>
        <w:t>每次从上述企业范围内选取</w:t>
      </w:r>
      <w:r w:rsidR="00054335">
        <w:rPr>
          <w:rFonts w:ascii="方正仿宋简体" w:eastAsia="方正仿宋简体" w:hAnsi="仿宋_GB2312" w:cs="仿宋_GB2312" w:hint="eastAsia"/>
          <w:b/>
          <w:sz w:val="32"/>
          <w:szCs w:val="32"/>
        </w:rPr>
        <w:t>4</w:t>
      </w:r>
      <w:r w:rsidRPr="008C526A">
        <w:rPr>
          <w:rFonts w:ascii="方正仿宋简体" w:eastAsia="方正仿宋简体" w:hAnsi="仿宋_GB2312" w:cs="仿宋_GB2312" w:hint="eastAsia"/>
          <w:b/>
          <w:sz w:val="32"/>
          <w:szCs w:val="32"/>
        </w:rPr>
        <w:t>户企业作为样本。其中，完成混改2—3年的选取</w:t>
      </w:r>
      <w:r w:rsidR="00054335">
        <w:rPr>
          <w:rFonts w:ascii="方正仿宋简体" w:eastAsia="方正仿宋简体" w:hAnsi="仿宋_GB2312" w:cs="仿宋_GB2312" w:hint="eastAsia"/>
          <w:b/>
          <w:sz w:val="32"/>
          <w:szCs w:val="32"/>
        </w:rPr>
        <w:t>1</w:t>
      </w:r>
      <w:r w:rsidRPr="008C526A">
        <w:rPr>
          <w:rFonts w:ascii="方正仿宋简体" w:eastAsia="方正仿宋简体" w:hAnsi="仿宋_GB2312" w:cs="仿宋_GB2312" w:hint="eastAsia"/>
          <w:b/>
          <w:sz w:val="32"/>
          <w:szCs w:val="32"/>
        </w:rPr>
        <w:t>家，3—5年的选取</w:t>
      </w:r>
      <w:r w:rsidR="00B21D66">
        <w:rPr>
          <w:rFonts w:ascii="方正仿宋简体" w:eastAsia="方正仿宋简体" w:hAnsi="仿宋_GB2312" w:cs="仿宋_GB2312" w:hint="eastAsia"/>
          <w:b/>
          <w:sz w:val="32"/>
          <w:szCs w:val="32"/>
        </w:rPr>
        <w:t>2</w:t>
      </w:r>
      <w:r w:rsidRPr="008C526A">
        <w:rPr>
          <w:rFonts w:ascii="方正仿宋简体" w:eastAsia="方正仿宋简体" w:hAnsi="仿宋_GB2312" w:cs="仿宋_GB2312" w:hint="eastAsia"/>
          <w:b/>
          <w:sz w:val="32"/>
          <w:szCs w:val="32"/>
        </w:rPr>
        <w:t>家，5年以上的选取</w:t>
      </w:r>
      <w:r w:rsidR="00B21D66">
        <w:rPr>
          <w:rFonts w:ascii="方正仿宋简体" w:eastAsia="方正仿宋简体" w:hAnsi="仿宋_GB2312" w:cs="仿宋_GB2312" w:hint="eastAsia"/>
          <w:b/>
          <w:sz w:val="32"/>
          <w:szCs w:val="32"/>
        </w:rPr>
        <w:t>1</w:t>
      </w:r>
      <w:r w:rsidRPr="008C526A">
        <w:rPr>
          <w:rFonts w:ascii="方正仿宋简体" w:eastAsia="方正仿宋简体" w:hAnsi="仿宋_GB2312" w:cs="仿宋_GB2312" w:hint="eastAsia"/>
          <w:b/>
          <w:sz w:val="32"/>
          <w:szCs w:val="32"/>
        </w:rPr>
        <w:t>家。样本选取标准兼顾企业功能界定与分类、资产规模、所处行业、管理层级、混改方式等。</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第三章  后评价内容</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第七条 </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后评价的内容主要包括混改效果评价和投资者评价两个方面。</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第八条 </w:t>
      </w:r>
      <w:r w:rsidRPr="008C526A">
        <w:rPr>
          <w:rFonts w:ascii="仿宋_GB2312" w:eastAsia="仿宋_GB2312" w:cs="宋体" w:hint="eastAsia"/>
          <w:b/>
          <w:sz w:val="32"/>
          <w:szCs w:val="32"/>
        </w:rPr>
        <w:t xml:space="preserve"> </w:t>
      </w:r>
      <w:r w:rsidRPr="008C526A">
        <w:rPr>
          <w:rFonts w:ascii="方正仿宋简体" w:eastAsia="方正仿宋简体" w:hAnsi="仿宋_GB2312" w:cs="仿宋_GB2312" w:hint="eastAsia"/>
          <w:b/>
          <w:sz w:val="32"/>
          <w:szCs w:val="32"/>
        </w:rPr>
        <w:t>混改效果评价</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重点调研、评价混改企业在资本结构、产业协同、公司</w:t>
      </w:r>
      <w:r w:rsidRPr="008C526A">
        <w:rPr>
          <w:rFonts w:ascii="方正仿宋简体" w:eastAsia="方正仿宋简体" w:hAnsi="仿宋_GB2312" w:cs="仿宋_GB2312" w:hint="eastAsia"/>
          <w:b/>
          <w:sz w:val="32"/>
          <w:szCs w:val="32"/>
        </w:rPr>
        <w:lastRenderedPageBreak/>
        <w:t>治理、体制机制转换、制度完善等方面采取的改革措施与产生的效果，具体围绕“五个增量”改革目标进行分析。</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1.资本增量。评价混改企业在实现国有资本保值增值、资本结构优化、产业结构调整、股东资源引入、经济效益提升等方面的情况。</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2.管理增量。评价混改企业在公司章程修订、治理结构调整、监管机制优化、制度体系完善、党建工作加强等方面的情况。</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3.技术增量。评价混改企业在关键技术引入、研发能力提升、技术团队优化等方面的情况。</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4.人才增量。评价混改企业在人才引进、激励措施、内生动力提升等方面对企业带来的积极影响。</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5.品牌增量。评价混改企业与引入的投资者在产业协同、资源共享、市场拓展以及品牌建设等方面的提升情况。</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第九条  </w:t>
      </w:r>
      <w:r w:rsidRPr="008C526A">
        <w:rPr>
          <w:rFonts w:ascii="方正仿宋简体" w:eastAsia="方正仿宋简体" w:hAnsi="仿宋_GB2312" w:cs="仿宋_GB2312" w:hint="eastAsia"/>
          <w:b/>
          <w:sz w:val="32"/>
          <w:szCs w:val="32"/>
        </w:rPr>
        <w:t>投资者评价</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由混改企业引入的投资者，对混改企业在发挥股东作用、提升运营决策效率和投资回报等方面进行评价。</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1.参与决策与运营管理。评价混改企业公司章程与治理结构中,中小股东作用发挥机制是否健全，投资者参与决策与运营管理是否公平、合理、有效等。</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2.机制转换与运营效率。对混改企业经营机制转换、运营模式创新、决策效率和管理水平提升等方面进行评价。</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3.投资回报。对混改企业经营效益、分红情况以及合资合作协同效应是否达到预期目标等进行评价。</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lastRenderedPageBreak/>
        <w:t>4.信息披露与沟通机制。评价混改企业对中小股东披露决策、管理、财务等方面信息的及时性、有效性以及与中小股东建立沟通机制的情况等。</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第四章  后评价方法</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第十条 </w:t>
      </w:r>
      <w:r w:rsidRPr="008C526A">
        <w:rPr>
          <w:rFonts w:ascii="仿宋_GB2312" w:eastAsia="仿宋_GB2312" w:hint="eastAsia"/>
          <w:b/>
          <w:color w:val="000000"/>
          <w:sz w:val="32"/>
          <w:szCs w:val="18"/>
        </w:rPr>
        <w:t xml:space="preserve"> </w:t>
      </w:r>
      <w:r w:rsidRPr="008C526A">
        <w:rPr>
          <w:rFonts w:ascii="方正仿宋简体" w:eastAsia="方正仿宋简体" w:hAnsi="仿宋_GB2312" w:cs="仿宋_GB2312" w:hint="eastAsia"/>
          <w:b/>
          <w:sz w:val="32"/>
          <w:szCs w:val="32"/>
        </w:rPr>
        <w:t>根据混改企业实际，后评价采取定量分析与定性评价相结合的方式，通过对混改前后指标对比和行业对标分析等方法进行。相关指标包括但不限于“</w:t>
      </w:r>
      <w:r w:rsidR="009524C4">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企业混改后评价主要参考指标”（见附件1</w:t>
      </w:r>
      <w:r w:rsidR="00694EA8">
        <w:rPr>
          <w:rFonts w:ascii="方正仿宋简体" w:eastAsia="方正仿宋简体" w:hAnsi="仿宋_GB2312" w:cs="仿宋_GB2312" w:hint="eastAsia"/>
          <w:b/>
          <w:sz w:val="32"/>
          <w:szCs w:val="32"/>
        </w:rPr>
        <w:t>），</w:t>
      </w:r>
      <w:r w:rsidRPr="008C526A">
        <w:rPr>
          <w:rFonts w:ascii="方正仿宋简体" w:eastAsia="方正仿宋简体" w:hAnsi="仿宋_GB2312" w:cs="仿宋_GB2312" w:hint="eastAsia"/>
          <w:b/>
          <w:sz w:val="32"/>
          <w:szCs w:val="32"/>
        </w:rPr>
        <w:t>被评价企业存在特殊情况的，可结合实际选取部分指标或另选指标进行评价。</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第十一条  </w:t>
      </w:r>
      <w:r w:rsidRPr="008C526A">
        <w:rPr>
          <w:rFonts w:ascii="方正仿宋简体" w:eastAsia="方正仿宋简体" w:hAnsi="仿宋_GB2312" w:cs="仿宋_GB2312" w:hint="eastAsia"/>
          <w:b/>
          <w:sz w:val="32"/>
          <w:szCs w:val="32"/>
        </w:rPr>
        <w:t>前后对比法</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以混改基准日和后评价基准日为对比时点，就企业混改目标达成、经营管理事项、经营效益指标等方面进行前后对比，分析差异原因，评价差异影响。</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第十二条 </w:t>
      </w:r>
      <w:r w:rsidRPr="008C526A">
        <w:rPr>
          <w:rFonts w:ascii="楷体" w:eastAsia="楷体" w:hAnsi="楷体" w:hint="eastAsia"/>
          <w:b/>
          <w:color w:val="000000"/>
          <w:sz w:val="32"/>
          <w:szCs w:val="18"/>
        </w:rPr>
        <w:t xml:space="preserve"> </w:t>
      </w:r>
      <w:r w:rsidRPr="008C526A">
        <w:rPr>
          <w:rFonts w:ascii="方正仿宋简体" w:eastAsia="方正仿宋简体" w:hAnsi="仿宋_GB2312" w:cs="仿宋_GB2312" w:hint="eastAsia"/>
          <w:b/>
          <w:sz w:val="32"/>
          <w:szCs w:val="32"/>
        </w:rPr>
        <w:t>行业对标法</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具备行业对标条件的，选取对标公司相关指标，评价企业混改前后经营绩效、运营管理能力</w:t>
      </w:r>
      <w:r w:rsidR="000B18EF">
        <w:rPr>
          <w:rFonts w:ascii="方正仿宋简体" w:eastAsia="方正仿宋简体" w:hAnsi="仿宋_GB2312" w:cs="仿宋_GB2312" w:hint="eastAsia"/>
          <w:b/>
          <w:sz w:val="32"/>
          <w:szCs w:val="32"/>
        </w:rPr>
        <w:t>和</w:t>
      </w:r>
      <w:r w:rsidRPr="008C526A">
        <w:rPr>
          <w:rFonts w:ascii="方正仿宋简体" w:eastAsia="方正仿宋简体" w:hAnsi="仿宋_GB2312" w:cs="仿宋_GB2312" w:hint="eastAsia"/>
          <w:b/>
          <w:sz w:val="32"/>
          <w:szCs w:val="32"/>
        </w:rPr>
        <w:t>市场竞争力等情况。</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第五章  后评价程序</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a7"/>
        <w:adjustRightInd w:val="0"/>
        <w:snapToGrid w:val="0"/>
        <w:spacing w:before="0" w:beforeAutospacing="0" w:after="0" w:afterAutospacing="0" w:line="580" w:lineRule="exact"/>
        <w:ind w:firstLineChars="200" w:firstLine="643"/>
        <w:jc w:val="both"/>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第十三条 </w:t>
      </w:r>
      <w:r w:rsidRPr="008C526A">
        <w:rPr>
          <w:rFonts w:ascii="楷体_GB2312" w:eastAsia="楷体_GB2312" w:hint="eastAsia"/>
          <w:b/>
          <w:sz w:val="32"/>
          <w:szCs w:val="32"/>
        </w:rPr>
        <w:t xml:space="preserve"> </w:t>
      </w:r>
      <w:r w:rsidRPr="008C526A">
        <w:rPr>
          <w:rFonts w:ascii="方正仿宋简体" w:eastAsia="方正仿宋简体" w:hAnsi="仿宋_GB2312" w:cs="仿宋_GB2312" w:hint="eastAsia"/>
          <w:b/>
          <w:sz w:val="32"/>
          <w:szCs w:val="32"/>
        </w:rPr>
        <w:t>前期准备阶段。结合已完成混改</w:t>
      </w:r>
      <w:r w:rsidR="00D81C72">
        <w:rPr>
          <w:rFonts w:ascii="方正仿宋简体" w:eastAsia="方正仿宋简体" w:hAnsi="仿宋_GB2312" w:cs="仿宋_GB2312" w:hint="eastAsia"/>
          <w:b/>
          <w:sz w:val="32"/>
          <w:szCs w:val="32"/>
        </w:rPr>
        <w:t>的</w:t>
      </w:r>
      <w:r w:rsidRPr="008C526A">
        <w:rPr>
          <w:rFonts w:ascii="方正仿宋简体" w:eastAsia="方正仿宋简体" w:hAnsi="仿宋_GB2312" w:cs="仿宋_GB2312" w:hint="eastAsia"/>
          <w:b/>
          <w:sz w:val="32"/>
          <w:szCs w:val="32"/>
        </w:rPr>
        <w:t>企业情况，选取后评价企业样本，制定后评价工作方案，明确后评价机构选聘方式，以及后评价工作的任务要求、时间安排和</w:t>
      </w:r>
      <w:r w:rsidRPr="008C526A">
        <w:rPr>
          <w:rFonts w:ascii="方正仿宋简体" w:eastAsia="方正仿宋简体" w:hAnsi="仿宋_GB2312" w:cs="仿宋_GB2312" w:hint="eastAsia"/>
          <w:b/>
          <w:sz w:val="32"/>
          <w:szCs w:val="32"/>
        </w:rPr>
        <w:lastRenderedPageBreak/>
        <w:t>工作流程等。选聘专业的咨询机构作为后评价机构，咨询机构应具备必要的专业技术人员和丰富的混改相关工作经验，确保评价能力与效果。向有关</w:t>
      </w:r>
      <w:r w:rsidR="00694EA8">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企业下发开展后评价工作的通知，部署后评价工作。</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 xml:space="preserve">第十四条 </w:t>
      </w:r>
      <w:r w:rsidRPr="008C526A">
        <w:rPr>
          <w:rFonts w:ascii="楷体_GB2312" w:eastAsia="楷体_GB2312" w:cs="宋体" w:hint="eastAsia"/>
          <w:b/>
          <w:sz w:val="32"/>
          <w:szCs w:val="32"/>
        </w:rPr>
        <w:t xml:space="preserve"> </w:t>
      </w:r>
      <w:r w:rsidRPr="008C526A">
        <w:rPr>
          <w:rFonts w:ascii="方正仿宋简体" w:eastAsia="方正仿宋简体" w:hAnsi="仿宋_GB2312" w:cs="仿宋_GB2312" w:hint="eastAsia"/>
          <w:b/>
          <w:sz w:val="32"/>
          <w:szCs w:val="32"/>
        </w:rPr>
        <w:t>组织实施阶段。根据混改后评价工作方案，后评价机构开展现场调研，了解被评价企业基本情况，听取被评价企业混改情况介绍，开展行业研究与对标企业分析，进行资料收集、人员访谈、问卷调查、数据分析等。</w:t>
      </w:r>
    </w:p>
    <w:p w:rsidR="008C526A" w:rsidRPr="008C526A" w:rsidRDefault="008C526A" w:rsidP="008C526A">
      <w:pPr>
        <w:pStyle w:val="0"/>
        <w:widowControl/>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第十五条</w:t>
      </w:r>
      <w:r w:rsidRPr="008C526A">
        <w:rPr>
          <w:rFonts w:ascii="楷体_GB2312" w:eastAsia="楷体_GB2312" w:cs="宋体" w:hint="eastAsia"/>
          <w:b/>
          <w:sz w:val="32"/>
          <w:szCs w:val="32"/>
        </w:rPr>
        <w:t xml:space="preserve">  </w:t>
      </w:r>
      <w:r w:rsidRPr="008C526A">
        <w:rPr>
          <w:rFonts w:ascii="方正仿宋简体" w:eastAsia="方正仿宋简体" w:hAnsi="仿宋_GB2312" w:cs="仿宋_GB2312" w:hint="eastAsia"/>
          <w:b/>
          <w:sz w:val="32"/>
          <w:szCs w:val="32"/>
        </w:rPr>
        <w:t>分析评价阶段。后评价机构根据前期调研情况，结合相关评价标准，对混改企业作出分析与评价。编写每个样本企业后评价报告（见附件2），并在此基础上形成对</w:t>
      </w:r>
      <w:r w:rsidR="00A31402">
        <w:rPr>
          <w:rFonts w:ascii="方正仿宋简体" w:eastAsia="方正仿宋简体" w:hAnsi="仿宋_GB2312" w:cs="仿宋_GB2312" w:hint="eastAsia"/>
          <w:b/>
          <w:sz w:val="32"/>
          <w:szCs w:val="32"/>
        </w:rPr>
        <w:t>4</w:t>
      </w:r>
      <w:r w:rsidRPr="008C526A">
        <w:rPr>
          <w:rFonts w:ascii="方正仿宋简体" w:eastAsia="方正仿宋简体" w:hAnsi="仿宋_GB2312" w:cs="仿宋_GB2312" w:hint="eastAsia"/>
          <w:b/>
          <w:sz w:val="32"/>
          <w:szCs w:val="32"/>
        </w:rPr>
        <w:t>户企业的总体后评价报告。总体后评价报告应包括样本企业实施混改的总体情况，混改后推进改革的情况，改革过程中积累的经验和存在的问题，混改后推进改革发展的好做法，存在的不足，下一步工作建议等。</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第十六条</w:t>
      </w:r>
      <w:r w:rsidRPr="008C526A">
        <w:rPr>
          <w:rFonts w:ascii="楷体" w:eastAsia="楷体" w:hAnsi="楷体" w:cs="楷体" w:hint="eastAsia"/>
          <w:b/>
          <w:color w:val="000000"/>
          <w:sz w:val="32"/>
          <w:szCs w:val="18"/>
        </w:rPr>
        <w:t xml:space="preserve">  </w:t>
      </w:r>
      <w:r w:rsidRPr="008C526A">
        <w:rPr>
          <w:rFonts w:ascii="方正仿宋简体" w:eastAsia="方正仿宋简体" w:hAnsi="仿宋_GB2312" w:cs="仿宋_GB2312" w:hint="eastAsia"/>
          <w:b/>
          <w:sz w:val="32"/>
          <w:szCs w:val="32"/>
        </w:rPr>
        <w:t>审议反馈阶段。</w:t>
      </w:r>
      <w:r w:rsidR="00694EA8">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国资委相关</w:t>
      </w:r>
      <w:r w:rsidR="00694EA8">
        <w:rPr>
          <w:rFonts w:ascii="方正仿宋简体" w:eastAsia="方正仿宋简体" w:hAnsi="仿宋_GB2312" w:cs="仿宋_GB2312" w:hint="eastAsia"/>
          <w:b/>
          <w:sz w:val="32"/>
          <w:szCs w:val="32"/>
        </w:rPr>
        <w:t>科室</w:t>
      </w:r>
      <w:r w:rsidRPr="008C526A">
        <w:rPr>
          <w:rFonts w:ascii="方正仿宋简体" w:eastAsia="方正仿宋简体" w:hAnsi="仿宋_GB2312" w:cs="仿宋_GB2312" w:hint="eastAsia"/>
          <w:b/>
          <w:sz w:val="32"/>
          <w:szCs w:val="32"/>
        </w:rPr>
        <w:t>收到总体及样本企业后评价报告后，征求委领导以及</w:t>
      </w:r>
      <w:r w:rsidR="00AB37A0">
        <w:rPr>
          <w:rFonts w:ascii="方正仿宋简体" w:eastAsia="方正仿宋简体" w:hAnsi="仿宋_GB2312" w:cs="仿宋_GB2312" w:hint="eastAsia"/>
          <w:b/>
          <w:sz w:val="32"/>
          <w:szCs w:val="32"/>
        </w:rPr>
        <w:t>科</w:t>
      </w:r>
      <w:r w:rsidR="00A31402">
        <w:rPr>
          <w:rFonts w:ascii="方正仿宋简体" w:eastAsia="方正仿宋简体" w:hAnsi="仿宋_GB2312" w:cs="仿宋_GB2312" w:hint="eastAsia"/>
          <w:b/>
          <w:sz w:val="32"/>
          <w:szCs w:val="32"/>
        </w:rPr>
        <w:t>室</w:t>
      </w:r>
      <w:r w:rsidRPr="008C526A">
        <w:rPr>
          <w:rFonts w:ascii="方正仿宋简体" w:eastAsia="方正仿宋简体" w:hAnsi="仿宋_GB2312" w:cs="仿宋_GB2312" w:hint="eastAsia"/>
          <w:b/>
          <w:sz w:val="32"/>
          <w:szCs w:val="32"/>
        </w:rPr>
        <w:t>负责人的意见，对后评价报告进行审核。对于后评价发现的好的经验做法，在</w:t>
      </w:r>
      <w:r w:rsidR="00AB37A0">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w:t>
      </w:r>
      <w:r w:rsidR="00AB37A0">
        <w:rPr>
          <w:rFonts w:ascii="方正仿宋简体" w:eastAsia="方正仿宋简体" w:hAnsi="仿宋_GB2312" w:cs="仿宋_GB2312" w:hint="eastAsia"/>
          <w:b/>
          <w:sz w:val="32"/>
          <w:szCs w:val="32"/>
        </w:rPr>
        <w:t>中</w:t>
      </w:r>
      <w:r w:rsidRPr="008C526A">
        <w:rPr>
          <w:rFonts w:ascii="方正仿宋简体" w:eastAsia="方正仿宋简体" w:hAnsi="仿宋_GB2312" w:cs="仿宋_GB2312" w:hint="eastAsia"/>
          <w:b/>
          <w:sz w:val="32"/>
          <w:szCs w:val="32"/>
        </w:rPr>
        <w:t>加以推广；对于后评价反映的共性问题，修改完善相关制度进行规范，个性问题及时反馈</w:t>
      </w:r>
      <w:r w:rsidR="00AB37A0">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企业进行整改。</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第六章  后评价保障和要求</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054335"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lastRenderedPageBreak/>
        <w:t xml:space="preserve">第十七条 </w:t>
      </w:r>
      <w:r w:rsidRPr="008C526A">
        <w:rPr>
          <w:rFonts w:ascii="楷体" w:eastAsia="楷体" w:hAnsi="楷体" w:cs="楷体" w:hint="eastAsia"/>
          <w:b/>
          <w:color w:val="000000"/>
          <w:sz w:val="32"/>
          <w:szCs w:val="18"/>
        </w:rPr>
        <w:t xml:space="preserve"> </w:t>
      </w:r>
      <w:r w:rsidRPr="008C526A">
        <w:rPr>
          <w:rFonts w:ascii="方正仿宋简体" w:eastAsia="方正仿宋简体" w:hAnsi="仿宋_GB2312" w:cs="仿宋_GB2312" w:hint="eastAsia"/>
          <w:b/>
          <w:sz w:val="32"/>
          <w:szCs w:val="32"/>
        </w:rPr>
        <w:t>组织保障。</w:t>
      </w:r>
      <w:r w:rsidR="00AB37A0">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国资委负责统筹、协调、指导后评价工作，开展后评价工作当年，由</w:t>
      </w:r>
      <w:r w:rsidR="00AB37A0">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国资委公开选聘1家专业咨询机构，对所选取的被评价企业开展混改后评价。</w:t>
      </w:r>
      <w:r w:rsidRPr="00054335">
        <w:rPr>
          <w:rFonts w:ascii="方正仿宋简体" w:eastAsia="方正仿宋简体" w:hAnsi="仿宋_GB2312" w:cs="仿宋_GB2312" w:hint="eastAsia"/>
          <w:b/>
          <w:sz w:val="32"/>
          <w:szCs w:val="32"/>
        </w:rPr>
        <w:t>相关费用</w:t>
      </w:r>
      <w:r w:rsidR="00B21D66" w:rsidRPr="00054335">
        <w:rPr>
          <w:rFonts w:ascii="方正仿宋简体" w:eastAsia="方正仿宋简体" w:hAnsi="仿宋_GB2312" w:cs="仿宋_GB2312" w:hint="eastAsia"/>
          <w:b/>
          <w:sz w:val="32"/>
          <w:szCs w:val="32"/>
        </w:rPr>
        <w:t>由市</w:t>
      </w:r>
      <w:r w:rsidRPr="00054335">
        <w:rPr>
          <w:rFonts w:ascii="方正仿宋简体" w:eastAsia="方正仿宋简体" w:hAnsi="仿宋_GB2312" w:cs="仿宋_GB2312" w:hint="eastAsia"/>
          <w:b/>
          <w:sz w:val="32"/>
          <w:szCs w:val="32"/>
        </w:rPr>
        <w:t>级国有资本经营预算给予支持。</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cs="黑体" w:hint="eastAsia"/>
          <w:b/>
          <w:sz w:val="32"/>
          <w:szCs w:val="32"/>
        </w:rPr>
        <w:t>第十八条</w:t>
      </w:r>
      <w:r w:rsidRPr="008C526A">
        <w:rPr>
          <w:rFonts w:ascii="楷体" w:eastAsia="楷体" w:hAnsi="楷体" w:cs="楷体" w:hint="eastAsia"/>
          <w:b/>
          <w:color w:val="000000"/>
          <w:sz w:val="32"/>
          <w:szCs w:val="18"/>
        </w:rPr>
        <w:t xml:space="preserve"> </w:t>
      </w:r>
      <w:r w:rsidRPr="008C526A">
        <w:rPr>
          <w:rFonts w:ascii="方正仿宋简体" w:eastAsia="方正仿宋简体" w:hAnsi="仿宋_GB2312" w:cs="仿宋_GB2312" w:hint="eastAsia"/>
          <w:b/>
          <w:sz w:val="32"/>
          <w:szCs w:val="32"/>
        </w:rPr>
        <w:t xml:space="preserve"> 纪律要求。参与混改后评价工作的机关工作人员及聘请的专业咨询机构必须严格遵守工作纪律，签订保密协议，对后评价过程中获悉的企业相关信息或商业秘密予以保密。同时，严格执行中央八项规定精神和委机关党员干部廉洁自律“十不准”要求，积极稳妥推进后评价工作。</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被评价企业要及时、准确、完整地向后评价机构提供所需评价资料，确保评价资料的真实、有效。要根据后评价反馈意见认真组织整改落实，促进混改企业高质量发展。对存在隐瞒问题、提供虚假资料、未按要求落实整改等行为的被评价企业，</w:t>
      </w:r>
      <w:r w:rsidR="00AB37A0">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国资委将对其通报批评。</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r w:rsidRPr="008C526A">
        <w:rPr>
          <w:rFonts w:ascii="黑体" w:eastAsia="黑体" w:hAnsi="黑体" w:cs="黑体" w:hint="eastAsia"/>
          <w:b/>
          <w:sz w:val="32"/>
          <w:szCs w:val="32"/>
        </w:rPr>
        <w:t>第七章  附  则</w:t>
      </w:r>
    </w:p>
    <w:p w:rsidR="008C526A" w:rsidRPr="008C526A" w:rsidRDefault="008C526A" w:rsidP="008C526A">
      <w:pPr>
        <w:pStyle w:val="0"/>
        <w:adjustRightInd w:val="0"/>
        <w:snapToGrid w:val="0"/>
        <w:spacing w:line="580" w:lineRule="exact"/>
        <w:jc w:val="center"/>
        <w:rPr>
          <w:rFonts w:ascii="黑体" w:eastAsia="黑体" w:hAnsi="黑体" w:cs="黑体"/>
          <w:b/>
          <w:sz w:val="32"/>
          <w:szCs w:val="32"/>
        </w:rPr>
      </w:pP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hint="eastAsia"/>
          <w:b/>
          <w:color w:val="000000"/>
          <w:sz w:val="32"/>
          <w:szCs w:val="18"/>
        </w:rPr>
        <w:t>第十九条</w:t>
      </w:r>
      <w:r w:rsidRPr="008C526A">
        <w:rPr>
          <w:rFonts w:ascii="仿宋_GB2312" w:eastAsia="仿宋_GB2312" w:hint="eastAsia"/>
          <w:b/>
          <w:color w:val="000000"/>
          <w:sz w:val="32"/>
          <w:szCs w:val="18"/>
        </w:rPr>
        <w:t xml:space="preserve"> </w:t>
      </w:r>
      <w:r w:rsidRPr="008C526A">
        <w:rPr>
          <w:rFonts w:ascii="仿宋_GB2312" w:eastAsia="仿宋_GB2312"/>
          <w:b/>
          <w:color w:val="000000"/>
          <w:sz w:val="32"/>
          <w:szCs w:val="18"/>
        </w:rPr>
        <w:t xml:space="preserve"> </w:t>
      </w:r>
      <w:r w:rsidR="00AB37A0">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可参照本办法，制定符合企业实际的混改后评价相关制度，对完成混改的权属企业实施混改后评价，逐步形成长效机制，推动企业高质量发展，进一步提升国有资本竞争力、创新力、控制力、影响力、抗风险能力。</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hint="eastAsia"/>
          <w:b/>
          <w:color w:val="000000"/>
          <w:sz w:val="32"/>
          <w:szCs w:val="18"/>
        </w:rPr>
        <w:t>第二十条</w:t>
      </w:r>
      <w:r w:rsidRPr="008C526A">
        <w:rPr>
          <w:rFonts w:ascii="仿宋_GB2312" w:eastAsia="仿宋_GB2312" w:hint="eastAsia"/>
          <w:b/>
          <w:color w:val="000000"/>
          <w:sz w:val="32"/>
          <w:szCs w:val="18"/>
        </w:rPr>
        <w:t xml:space="preserve">  </w:t>
      </w:r>
      <w:r w:rsidRPr="008C526A">
        <w:rPr>
          <w:rFonts w:ascii="方正仿宋简体" w:eastAsia="方正仿宋简体" w:hAnsi="仿宋_GB2312" w:cs="仿宋_GB2312" w:hint="eastAsia"/>
          <w:b/>
          <w:sz w:val="32"/>
          <w:szCs w:val="32"/>
        </w:rPr>
        <w:t>本办法由</w:t>
      </w:r>
      <w:r w:rsidR="00AB37A0">
        <w:rPr>
          <w:rFonts w:ascii="方正仿宋简体" w:eastAsia="方正仿宋简体" w:hAnsi="仿宋_GB2312" w:cs="仿宋_GB2312" w:hint="eastAsia"/>
          <w:b/>
          <w:sz w:val="32"/>
          <w:szCs w:val="32"/>
        </w:rPr>
        <w:t>市</w:t>
      </w:r>
      <w:r w:rsidRPr="008C526A">
        <w:rPr>
          <w:rFonts w:ascii="方正仿宋简体" w:eastAsia="方正仿宋简体" w:hAnsi="仿宋_GB2312" w:cs="仿宋_GB2312" w:hint="eastAsia"/>
          <w:b/>
          <w:sz w:val="32"/>
          <w:szCs w:val="32"/>
        </w:rPr>
        <w:t>国资委负责解释。</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黑体" w:eastAsia="黑体" w:hAnsi="黑体" w:hint="eastAsia"/>
          <w:b/>
          <w:color w:val="000000"/>
          <w:sz w:val="32"/>
          <w:szCs w:val="18"/>
        </w:rPr>
        <w:t xml:space="preserve">第二十一条 </w:t>
      </w:r>
      <w:r w:rsidRPr="008C526A">
        <w:rPr>
          <w:rFonts w:ascii="仿宋_GB2312" w:eastAsia="仿宋_GB2312"/>
          <w:b/>
          <w:color w:val="000000"/>
          <w:sz w:val="32"/>
          <w:szCs w:val="18"/>
        </w:rPr>
        <w:t xml:space="preserve"> </w:t>
      </w:r>
      <w:r w:rsidRPr="008C526A">
        <w:rPr>
          <w:rFonts w:ascii="方正仿宋简体" w:eastAsia="方正仿宋简体" w:hAnsi="仿宋_GB2312" w:cs="仿宋_GB2312" w:hint="eastAsia"/>
          <w:b/>
          <w:sz w:val="32"/>
          <w:szCs w:val="32"/>
        </w:rPr>
        <w:t>本办法自2021年</w:t>
      </w:r>
      <w:r w:rsidR="0031483C">
        <w:rPr>
          <w:rFonts w:ascii="方正仿宋简体" w:eastAsia="方正仿宋简体" w:hAnsi="仿宋_GB2312" w:cs="仿宋_GB2312" w:hint="eastAsia"/>
          <w:b/>
          <w:sz w:val="32"/>
          <w:szCs w:val="32"/>
        </w:rPr>
        <w:t>7</w:t>
      </w:r>
      <w:r w:rsidRPr="008C526A">
        <w:rPr>
          <w:rFonts w:ascii="方正仿宋简体" w:eastAsia="方正仿宋简体" w:hAnsi="仿宋_GB2312" w:cs="仿宋_GB2312" w:hint="eastAsia"/>
          <w:b/>
          <w:sz w:val="32"/>
          <w:szCs w:val="32"/>
        </w:rPr>
        <w:t>月</w:t>
      </w:r>
      <w:r w:rsidR="0031483C">
        <w:rPr>
          <w:rFonts w:ascii="方正仿宋简体" w:eastAsia="方正仿宋简体" w:hAnsi="仿宋_GB2312" w:cs="仿宋_GB2312" w:hint="eastAsia"/>
          <w:b/>
          <w:sz w:val="32"/>
          <w:szCs w:val="32"/>
        </w:rPr>
        <w:t>2</w:t>
      </w:r>
      <w:r w:rsidRPr="008C526A">
        <w:rPr>
          <w:rFonts w:ascii="方正仿宋简体" w:eastAsia="方正仿宋简体" w:hAnsi="仿宋_GB2312" w:cs="仿宋_GB2312" w:hint="eastAsia"/>
          <w:b/>
          <w:sz w:val="32"/>
          <w:szCs w:val="32"/>
        </w:rPr>
        <w:t>日起施行。</w:t>
      </w: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p>
    <w:p w:rsidR="008C526A" w:rsidRPr="008C526A" w:rsidRDefault="008C526A" w:rsidP="008C526A">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lastRenderedPageBreak/>
        <w:t>附件：1.</w:t>
      </w:r>
      <w:r w:rsidR="00AB37A0">
        <w:rPr>
          <w:rFonts w:ascii="方正仿宋简体" w:eastAsia="方正仿宋简体" w:hAnsi="仿宋_GB2312" w:cs="仿宋_GB2312" w:hint="eastAsia"/>
          <w:b/>
          <w:sz w:val="32"/>
          <w:szCs w:val="32"/>
        </w:rPr>
        <w:t>市管</w:t>
      </w:r>
      <w:r w:rsidRPr="008C526A">
        <w:rPr>
          <w:rFonts w:ascii="方正仿宋简体" w:eastAsia="方正仿宋简体" w:hAnsi="仿宋_GB2312" w:cs="仿宋_GB2312" w:hint="eastAsia"/>
          <w:b/>
          <w:sz w:val="32"/>
          <w:szCs w:val="32"/>
        </w:rPr>
        <w:t>企业混改后评价主要参考指标</w:t>
      </w:r>
    </w:p>
    <w:p w:rsidR="008C526A" w:rsidRPr="008C526A" w:rsidRDefault="008C526A" w:rsidP="008C526A">
      <w:pPr>
        <w:pStyle w:val="0"/>
        <w:adjustRightInd w:val="0"/>
        <w:snapToGrid w:val="0"/>
        <w:spacing w:line="580" w:lineRule="exact"/>
        <w:ind w:firstLineChars="500" w:firstLine="1606"/>
        <w:rPr>
          <w:rFonts w:ascii="方正仿宋简体" w:eastAsia="方正仿宋简体" w:hAnsi="仿宋_GB2312" w:cs="仿宋_GB2312"/>
          <w:b/>
          <w:sz w:val="32"/>
          <w:szCs w:val="32"/>
        </w:rPr>
      </w:pPr>
      <w:r w:rsidRPr="008C526A">
        <w:rPr>
          <w:rFonts w:ascii="方正仿宋简体" w:eastAsia="方正仿宋简体" w:hAnsi="仿宋_GB2312" w:cs="仿宋_GB2312" w:hint="eastAsia"/>
          <w:b/>
          <w:sz w:val="32"/>
          <w:szCs w:val="32"/>
        </w:rPr>
        <w:t>2.《企业混改后评价报告》提纲</w:t>
      </w:r>
    </w:p>
    <w:p w:rsidR="008C526A" w:rsidRPr="008C526A" w:rsidRDefault="008C526A" w:rsidP="008C526A">
      <w:pPr>
        <w:pStyle w:val="0"/>
        <w:spacing w:line="580" w:lineRule="exact"/>
        <w:rPr>
          <w:rFonts w:ascii="黑体" w:eastAsia="黑体" w:hAnsi="黑体"/>
          <w:b/>
          <w:sz w:val="32"/>
          <w:szCs w:val="32"/>
        </w:rPr>
      </w:pPr>
      <w:r w:rsidRPr="008C526A">
        <w:rPr>
          <w:rFonts w:ascii="黑体" w:eastAsia="黑体" w:hAnsi="黑体"/>
          <w:b/>
          <w:sz w:val="32"/>
          <w:szCs w:val="32"/>
        </w:rPr>
        <w:br w:type="page"/>
      </w:r>
      <w:r w:rsidRPr="008C526A">
        <w:rPr>
          <w:rFonts w:ascii="黑体" w:eastAsia="黑体" w:hAnsi="黑体" w:hint="eastAsia"/>
          <w:b/>
          <w:sz w:val="32"/>
          <w:szCs w:val="32"/>
        </w:rPr>
        <w:lastRenderedPageBreak/>
        <w:t xml:space="preserve">附件1   </w:t>
      </w:r>
    </w:p>
    <w:p w:rsidR="008C526A" w:rsidRPr="008C526A" w:rsidRDefault="00AB37A0" w:rsidP="00D81C72">
      <w:pPr>
        <w:spacing w:afterLines="100" w:line="760" w:lineRule="exact"/>
        <w:jc w:val="center"/>
        <w:rPr>
          <w:rFonts w:ascii="方正小标宋简体" w:eastAsia="方正小标宋简体"/>
          <w:b/>
          <w:sz w:val="44"/>
          <w:szCs w:val="44"/>
        </w:rPr>
      </w:pPr>
      <w:r>
        <w:rPr>
          <w:rFonts w:ascii="方正小标宋简体" w:eastAsia="方正小标宋简体" w:hint="eastAsia"/>
          <w:b/>
          <w:sz w:val="44"/>
          <w:szCs w:val="44"/>
        </w:rPr>
        <w:t>市管</w:t>
      </w:r>
      <w:r w:rsidR="008C526A" w:rsidRPr="008C526A">
        <w:rPr>
          <w:rFonts w:ascii="方正小标宋简体" w:eastAsia="方正小标宋简体" w:hint="eastAsia"/>
          <w:b/>
          <w:sz w:val="44"/>
          <w:szCs w:val="44"/>
        </w:rPr>
        <w:t>企业混改后评价主要参考指标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09"/>
        <w:gridCol w:w="850"/>
        <w:gridCol w:w="6581"/>
      </w:tblGrid>
      <w:tr w:rsidR="008C526A" w:rsidRPr="008C526A" w:rsidTr="00C16F20">
        <w:trPr>
          <w:trHeight w:val="762"/>
          <w:tblHeader/>
          <w:jc w:val="center"/>
        </w:trPr>
        <w:tc>
          <w:tcPr>
            <w:tcW w:w="817" w:type="dxa"/>
            <w:vAlign w:val="center"/>
          </w:tcPr>
          <w:p w:rsidR="008C526A" w:rsidRPr="008C526A" w:rsidRDefault="008C526A" w:rsidP="00C16F20">
            <w:pPr>
              <w:pStyle w:val="0"/>
              <w:spacing w:line="360" w:lineRule="exact"/>
              <w:jc w:val="center"/>
              <w:rPr>
                <w:rFonts w:ascii="黑体" w:eastAsia="黑体" w:hAnsi="黑体"/>
                <w:b/>
                <w:sz w:val="24"/>
              </w:rPr>
            </w:pPr>
            <w:r w:rsidRPr="008C526A">
              <w:rPr>
                <w:rFonts w:ascii="黑体" w:eastAsia="黑体" w:hAnsi="黑体" w:hint="eastAsia"/>
                <w:b/>
                <w:sz w:val="24"/>
              </w:rPr>
              <w:t>评价类别</w:t>
            </w:r>
          </w:p>
        </w:tc>
        <w:tc>
          <w:tcPr>
            <w:tcW w:w="709" w:type="dxa"/>
            <w:vAlign w:val="center"/>
          </w:tcPr>
          <w:p w:rsidR="008C526A" w:rsidRPr="008C526A" w:rsidRDefault="008C526A" w:rsidP="00C16F20">
            <w:pPr>
              <w:pStyle w:val="0"/>
              <w:spacing w:line="360" w:lineRule="exact"/>
              <w:jc w:val="center"/>
              <w:rPr>
                <w:rFonts w:ascii="黑体" w:eastAsia="黑体" w:hAnsi="黑体"/>
                <w:b/>
                <w:sz w:val="24"/>
              </w:rPr>
            </w:pPr>
            <w:r w:rsidRPr="008C526A">
              <w:rPr>
                <w:rFonts w:ascii="黑体" w:eastAsia="黑体" w:hAnsi="黑体" w:hint="eastAsia"/>
                <w:b/>
                <w:sz w:val="24"/>
              </w:rPr>
              <w:t>评价内容</w:t>
            </w:r>
          </w:p>
        </w:tc>
        <w:tc>
          <w:tcPr>
            <w:tcW w:w="850" w:type="dxa"/>
            <w:vAlign w:val="center"/>
          </w:tcPr>
          <w:p w:rsidR="008C526A" w:rsidRPr="008C526A" w:rsidRDefault="008C526A" w:rsidP="00C16F20">
            <w:pPr>
              <w:pStyle w:val="0"/>
              <w:spacing w:line="360" w:lineRule="exact"/>
              <w:jc w:val="center"/>
              <w:rPr>
                <w:rFonts w:ascii="黑体" w:eastAsia="黑体" w:hAnsi="黑体"/>
                <w:b/>
                <w:sz w:val="24"/>
              </w:rPr>
            </w:pPr>
            <w:r w:rsidRPr="008C526A">
              <w:rPr>
                <w:rFonts w:ascii="黑体" w:eastAsia="黑体" w:hAnsi="黑体" w:hint="eastAsia"/>
                <w:b/>
                <w:sz w:val="24"/>
              </w:rPr>
              <w:t>评价指标</w:t>
            </w:r>
          </w:p>
        </w:tc>
        <w:tc>
          <w:tcPr>
            <w:tcW w:w="6581" w:type="dxa"/>
            <w:vAlign w:val="center"/>
          </w:tcPr>
          <w:p w:rsidR="008C526A" w:rsidRPr="008C526A" w:rsidRDefault="008C526A" w:rsidP="00C16F20">
            <w:pPr>
              <w:pStyle w:val="0"/>
              <w:spacing w:line="360" w:lineRule="exact"/>
              <w:jc w:val="center"/>
              <w:rPr>
                <w:rFonts w:ascii="黑体" w:eastAsia="黑体" w:hAnsi="黑体"/>
                <w:b/>
                <w:sz w:val="24"/>
              </w:rPr>
            </w:pPr>
            <w:r w:rsidRPr="008C526A">
              <w:rPr>
                <w:rFonts w:ascii="黑体" w:eastAsia="黑体" w:hAnsi="黑体" w:hint="eastAsia"/>
                <w:b/>
                <w:sz w:val="24"/>
              </w:rPr>
              <w:t>评价说明</w:t>
            </w:r>
          </w:p>
        </w:tc>
      </w:tr>
      <w:tr w:rsidR="008C526A" w:rsidRPr="008C526A" w:rsidTr="00C16F20">
        <w:trPr>
          <w:trHeight w:val="762"/>
          <w:jc w:val="center"/>
        </w:trPr>
        <w:tc>
          <w:tcPr>
            <w:tcW w:w="817" w:type="dxa"/>
            <w:vMerge w:val="restart"/>
            <w:vAlign w:val="center"/>
          </w:tcPr>
          <w:p w:rsidR="008C526A" w:rsidRPr="008C526A" w:rsidRDefault="008C526A" w:rsidP="00C16F20">
            <w:pPr>
              <w:pStyle w:val="0"/>
              <w:spacing w:line="360" w:lineRule="exact"/>
              <w:jc w:val="center"/>
              <w:rPr>
                <w:rFonts w:ascii="黑体" w:eastAsia="黑体" w:hAnsi="黑体"/>
                <w:b/>
              </w:rPr>
            </w:pPr>
            <w:r w:rsidRPr="008C526A">
              <w:rPr>
                <w:rFonts w:ascii="黑体" w:eastAsia="黑体" w:hAnsi="黑体" w:hint="eastAsia"/>
                <w:b/>
              </w:rPr>
              <w:t>混改效果评价</w:t>
            </w:r>
          </w:p>
        </w:tc>
        <w:tc>
          <w:tcPr>
            <w:tcW w:w="709" w:type="dxa"/>
            <w:vMerge w:val="restart"/>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资本增量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国有资本增值</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1.测算混改存量产权转让、增资扩股和上市实现国有资本增值比率；2.以交易成交价（对应企业估值）对标同业上市公司指标进行比较，评价混改国有资本增值效果。</w:t>
            </w:r>
          </w:p>
        </w:tc>
      </w:tr>
      <w:tr w:rsidR="008C526A" w:rsidRPr="008C526A" w:rsidTr="00C16F20">
        <w:trPr>
          <w:trHeight w:val="895"/>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股权</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结构</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1.企业混改后股权比例是否与混改方案目标一致；2.对标同业上市公司或标杆企业，评价混改后股权比例的科学、合理性。</w:t>
            </w:r>
          </w:p>
        </w:tc>
      </w:tr>
      <w:tr w:rsidR="008C526A" w:rsidRPr="008C526A" w:rsidTr="00C16F20">
        <w:trPr>
          <w:trHeight w:val="672"/>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股东结构与资源协同</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混改企业股东结构与拟引入的目标战投类型、方向是否一致；2.新进股东是否有对混改企业提供人才、市场、资金、技术等资源支持的相关承诺以及兑现落实情况；3.评价新进股东资源优势和与混改企业的业务协同性。</w:t>
            </w:r>
          </w:p>
        </w:tc>
      </w:tr>
      <w:tr w:rsidR="008C526A" w:rsidRPr="008C526A" w:rsidTr="00C16F20">
        <w:trPr>
          <w:trHeight w:val="1251"/>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资本</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结构</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测算混改企业资本结构相关指标：股东权益比率、股东权益与固定资产比率等；2.对比混改前后相应指标，评价混改企业资本结构的合理性；3.对标同业上市公司或标杆企业相关指标，评价混改企业资本结构合理性。</w:t>
            </w:r>
          </w:p>
        </w:tc>
      </w:tr>
      <w:tr w:rsidR="008C526A" w:rsidRPr="008C526A" w:rsidTr="00C16F20">
        <w:trPr>
          <w:trHeight w:val="1242"/>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效益</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评价</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测算混改企业最近会计期间盈利能力（净资产收益率、销售净利率）、成长能力（营业收入增长率、净利润增长率）、偿债能力（资产负债率、流动比率、速动比率）、运营能力（存货周转率、流动资产周转率、总资产周转率）、股东收益（归母净利润、股息率）等财务指标；2.对比混改前后相应财务指标，评价混改后企业经济效益变化情况；3.对标同业上市公司或标杆企业相关财务指标，评价混改后企业财务状况与经营能力。</w:t>
            </w:r>
          </w:p>
        </w:tc>
      </w:tr>
      <w:tr w:rsidR="008C526A" w:rsidRPr="008C526A" w:rsidTr="00C16F20">
        <w:trPr>
          <w:trHeight w:val="2274"/>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管理增量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公司治理与制度建设</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混改企业是否依据现代企业制度要求，在股东充分沟通、协商一致的前提下依法依规修订公司章程；2.企业是否依据混改目标，对公司治理结构和管理制度进行必要的调整与完善；3.评价混改企业公司章程和调整完善后的治理结构、制度体系的合规性、科学性与适用性，能否做到定位清晰、权责对等、运转协调和制衡有效。</w:t>
            </w:r>
          </w:p>
        </w:tc>
      </w:tr>
      <w:tr w:rsidR="008C526A" w:rsidRPr="008C526A" w:rsidTr="00C16F20">
        <w:trPr>
          <w:trHeight w:val="1946"/>
          <w:jc w:val="center"/>
        </w:trPr>
        <w:tc>
          <w:tcPr>
            <w:tcW w:w="817" w:type="dxa"/>
            <w:vMerge w:val="restart"/>
            <w:vAlign w:val="center"/>
          </w:tcPr>
          <w:p w:rsidR="008C526A" w:rsidRPr="008C526A" w:rsidRDefault="008C526A" w:rsidP="00C16F20">
            <w:pPr>
              <w:pStyle w:val="0"/>
              <w:spacing w:line="360" w:lineRule="exact"/>
              <w:jc w:val="center"/>
              <w:rPr>
                <w:rFonts w:ascii="黑体" w:eastAsia="黑体" w:hAnsi="黑体"/>
                <w:b/>
              </w:rPr>
            </w:pPr>
            <w:r w:rsidRPr="008C526A">
              <w:rPr>
                <w:rFonts w:ascii="黑体" w:eastAsia="黑体" w:hAnsi="黑体" w:hint="eastAsia"/>
                <w:b/>
              </w:rPr>
              <w:lastRenderedPageBreak/>
              <w:t>混改效果评价</w:t>
            </w:r>
          </w:p>
        </w:tc>
        <w:tc>
          <w:tcPr>
            <w:tcW w:w="709" w:type="dxa"/>
            <w:vMerge w:val="restart"/>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管理增量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中小股东作用</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是否在公司治理、运营管理与决策等方面作出了发挥中小股东作用的相关制度安排；2.混改企业公司章程及治理结构的相关制度是否体现了尊重各类股东的平等地位、平等维护股东合法权益的基本原则；3.是否有对发挥中小股东在公司治理中的制衡作用的机制。</w:t>
            </w:r>
          </w:p>
        </w:tc>
      </w:tr>
      <w:tr w:rsidR="008C526A" w:rsidRPr="008C526A" w:rsidTr="00C16F20">
        <w:trPr>
          <w:trHeight w:val="986"/>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国资监管机制</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1.国有股东与混改企业是否有“向管资本转变”的制度安排；2.评价混改企业国资监管制度与机制完善的合规性、适用性。</w:t>
            </w:r>
          </w:p>
        </w:tc>
      </w:tr>
      <w:tr w:rsidR="008C526A" w:rsidRPr="008C526A" w:rsidTr="00C16F20">
        <w:trPr>
          <w:trHeight w:val="2406"/>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党的</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建设</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后是否依规加强党建相关工作，党建写入公司章程，明确党组织在公司法人治理结构中的法定地位；2.评价混改企业党建工作制度是否完备，党务工作机构、人员配置和经费保障是否到位，基层党组织设置是否合理，职责权限是否明确，研究讨论企业重大问题的运行机制是否科学合规，分析混改后党建工作开展的充分性、有效性。</w:t>
            </w:r>
          </w:p>
        </w:tc>
      </w:tr>
      <w:tr w:rsidR="008C526A" w:rsidRPr="008C526A" w:rsidTr="00C16F20">
        <w:trPr>
          <w:trHeight w:val="1652"/>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Merge w:val="restart"/>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技术增量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产品与技术</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是否涉及业务产品（服务）线拓展、技术创新与合作，以及其他产品、技术相关资源引入等事项；2.对比混改前后企业在主营业务产品与核心技术领域的相关变化，评价混改对企业产品与技术方面带来的积极影响。</w:t>
            </w:r>
          </w:p>
        </w:tc>
      </w:tr>
      <w:tr w:rsidR="008C526A" w:rsidRPr="008C526A" w:rsidTr="00C16F20">
        <w:trPr>
          <w:trHeight w:val="1624"/>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团队与研发能力</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是否涉及技术团队关键人员引入、结构优化、研发投入加大以及研发能力提升等相关事项；2.对比混改前后企业在技术团队与研发领域的相关变化，评价混改对技术团队与研发能力提升方面带来的积极影响。</w:t>
            </w:r>
          </w:p>
        </w:tc>
      </w:tr>
      <w:tr w:rsidR="008C526A" w:rsidRPr="008C526A" w:rsidTr="00C16F20">
        <w:trPr>
          <w:trHeight w:val="1260"/>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人才增量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人才引入与激励</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1.企业混改是否涉及关键人才引入、员工持股、非上市公司中长期激励、上市公司股权激励等人才相关配套改革工作；2.评价混改企业在关键人才引进、激励与考核等方面工作实施效果。</w:t>
            </w:r>
          </w:p>
        </w:tc>
      </w:tr>
      <w:tr w:rsidR="008C526A" w:rsidRPr="008C526A" w:rsidTr="00C16F20">
        <w:trPr>
          <w:trHeight w:val="897"/>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Merge w:val="restart"/>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品牌增量</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市场</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份额</w:t>
            </w:r>
          </w:p>
        </w:tc>
        <w:tc>
          <w:tcPr>
            <w:tcW w:w="6581" w:type="dxa"/>
            <w:vMerge w:val="restart"/>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1.企业混改前后市场份额、品牌形象、核心竞争力等方面是否实现有效提升；2.评价混改后战投引入、产业协同或资源共享等因素对企业市场拓展、品牌形象提升带来的积极影响。</w:t>
            </w:r>
          </w:p>
        </w:tc>
      </w:tr>
      <w:tr w:rsidR="008C526A" w:rsidRPr="008C526A" w:rsidTr="00C16F20">
        <w:trPr>
          <w:trHeight w:val="994"/>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品牌</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形象</w:t>
            </w:r>
          </w:p>
        </w:tc>
        <w:tc>
          <w:tcPr>
            <w:tcW w:w="0" w:type="dxa"/>
            <w:vMerge/>
            <w:vAlign w:val="center"/>
          </w:tcPr>
          <w:p w:rsidR="008C526A" w:rsidRPr="008C526A" w:rsidRDefault="008C526A" w:rsidP="00C16F20">
            <w:pPr>
              <w:pStyle w:val="0"/>
              <w:spacing w:line="360" w:lineRule="exact"/>
              <w:rPr>
                <w:rFonts w:ascii="仿宋" w:eastAsia="仿宋" w:hAnsi="仿宋"/>
                <w:b/>
                <w:sz w:val="24"/>
              </w:rPr>
            </w:pPr>
          </w:p>
        </w:tc>
      </w:tr>
      <w:tr w:rsidR="008C526A" w:rsidRPr="008C526A" w:rsidTr="00C16F20">
        <w:trPr>
          <w:trHeight w:val="1275"/>
          <w:jc w:val="center"/>
        </w:trPr>
        <w:tc>
          <w:tcPr>
            <w:tcW w:w="817" w:type="dxa"/>
            <w:vMerge w:val="restart"/>
            <w:vAlign w:val="center"/>
          </w:tcPr>
          <w:p w:rsidR="008C526A" w:rsidRPr="008C526A" w:rsidRDefault="008C526A" w:rsidP="00C16F20">
            <w:pPr>
              <w:pStyle w:val="0"/>
              <w:spacing w:line="360" w:lineRule="exact"/>
              <w:jc w:val="center"/>
              <w:rPr>
                <w:rFonts w:ascii="黑体" w:eastAsia="黑体" w:hAnsi="黑体"/>
                <w:b/>
              </w:rPr>
            </w:pPr>
            <w:r w:rsidRPr="008C526A">
              <w:rPr>
                <w:rFonts w:ascii="黑体" w:eastAsia="黑体" w:hAnsi="黑体" w:hint="eastAsia"/>
                <w:b/>
              </w:rPr>
              <w:lastRenderedPageBreak/>
              <w:t>投资者评价</w:t>
            </w:r>
          </w:p>
        </w:tc>
        <w:tc>
          <w:tcPr>
            <w:tcW w:w="709"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投资者沟通</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信息披露与沟通</w:t>
            </w:r>
          </w:p>
        </w:tc>
        <w:tc>
          <w:tcPr>
            <w:tcW w:w="6581" w:type="dxa"/>
            <w:vAlign w:val="center"/>
          </w:tcPr>
          <w:p w:rsidR="008C526A" w:rsidRPr="008C526A" w:rsidRDefault="008C526A" w:rsidP="00C16F20">
            <w:pPr>
              <w:pStyle w:val="0"/>
              <w:spacing w:line="360" w:lineRule="exact"/>
              <w:rPr>
                <w:rFonts w:ascii="仿宋" w:eastAsia="仿宋" w:hAnsi="仿宋"/>
                <w:b/>
                <w:sz w:val="24"/>
              </w:rPr>
            </w:pPr>
            <w:r w:rsidRPr="008C526A">
              <w:rPr>
                <w:rFonts w:ascii="仿宋" w:eastAsia="仿宋" w:hAnsi="仿宋" w:hint="eastAsia"/>
                <w:b/>
                <w:sz w:val="24"/>
              </w:rPr>
              <w:t>评价混改企业信息披露与沟通的及时性、客观性、充分性。</w:t>
            </w:r>
          </w:p>
        </w:tc>
      </w:tr>
      <w:tr w:rsidR="008C526A" w:rsidRPr="008C526A" w:rsidTr="00C16F20">
        <w:trPr>
          <w:trHeight w:val="884"/>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Merge w:val="restart"/>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参与运营管理与决策</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公司治理机制</w:t>
            </w:r>
          </w:p>
        </w:tc>
        <w:tc>
          <w:tcPr>
            <w:tcW w:w="6581" w:type="dxa"/>
            <w:vAlign w:val="center"/>
          </w:tcPr>
          <w:p w:rsidR="008C526A" w:rsidRPr="008C526A" w:rsidRDefault="008C526A" w:rsidP="00C16F20">
            <w:pPr>
              <w:pStyle w:val="0"/>
              <w:spacing w:line="360" w:lineRule="exact"/>
              <w:rPr>
                <w:rFonts w:eastAsia="仿宋"/>
                <w:b/>
              </w:rPr>
            </w:pPr>
            <w:r w:rsidRPr="008C526A">
              <w:rPr>
                <w:rFonts w:ascii="仿宋" w:eastAsia="仿宋" w:hAnsi="仿宋" w:hint="eastAsia"/>
                <w:b/>
                <w:sz w:val="24"/>
              </w:rPr>
              <w:t>评价公司章程与治理结构中对投资者作用发挥、权益保障措施与实施效果的满意度。</w:t>
            </w:r>
          </w:p>
        </w:tc>
      </w:tr>
      <w:tr w:rsidR="008C526A" w:rsidRPr="008C526A" w:rsidTr="00C16F20">
        <w:trPr>
          <w:trHeight w:val="840"/>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参与管理机制</w:t>
            </w:r>
          </w:p>
        </w:tc>
        <w:tc>
          <w:tcPr>
            <w:tcW w:w="6581" w:type="dxa"/>
            <w:vAlign w:val="center"/>
          </w:tcPr>
          <w:p w:rsidR="008C526A" w:rsidRPr="008C526A" w:rsidRDefault="008C526A" w:rsidP="00C16F20">
            <w:pPr>
              <w:pStyle w:val="0"/>
              <w:spacing w:line="360" w:lineRule="exact"/>
              <w:rPr>
                <w:rFonts w:eastAsia="仿宋"/>
                <w:b/>
              </w:rPr>
            </w:pPr>
            <w:r w:rsidRPr="008C526A">
              <w:rPr>
                <w:rFonts w:ascii="仿宋" w:eastAsia="仿宋" w:hAnsi="仿宋" w:hint="eastAsia"/>
                <w:b/>
                <w:sz w:val="24"/>
              </w:rPr>
              <w:t>对参与公司日常管理机制及实施效果的满意度。</w:t>
            </w:r>
          </w:p>
        </w:tc>
      </w:tr>
      <w:tr w:rsidR="008C526A" w:rsidRPr="008C526A" w:rsidTr="00C16F20">
        <w:trPr>
          <w:trHeight w:val="911"/>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0" w:type="dxa"/>
            <w:vMerge/>
            <w:vAlign w:val="center"/>
          </w:tcPr>
          <w:p w:rsidR="008C526A" w:rsidRPr="008C526A" w:rsidRDefault="008C526A" w:rsidP="00C16F20">
            <w:pPr>
              <w:pStyle w:val="0"/>
              <w:spacing w:line="360" w:lineRule="exact"/>
              <w:jc w:val="center"/>
              <w:rPr>
                <w:rFonts w:ascii="楷体" w:eastAsia="楷体" w:hAnsi="楷体" w:cs="楷体"/>
                <w:b/>
              </w:rPr>
            </w:pP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经营决策效率</w:t>
            </w:r>
          </w:p>
        </w:tc>
        <w:tc>
          <w:tcPr>
            <w:tcW w:w="6581" w:type="dxa"/>
            <w:vAlign w:val="center"/>
          </w:tcPr>
          <w:p w:rsidR="008C526A" w:rsidRPr="008C526A" w:rsidRDefault="008C526A" w:rsidP="00C16F20">
            <w:pPr>
              <w:pStyle w:val="0"/>
              <w:spacing w:line="360" w:lineRule="exact"/>
              <w:rPr>
                <w:rFonts w:eastAsia="仿宋"/>
                <w:b/>
              </w:rPr>
            </w:pPr>
            <w:r w:rsidRPr="008C526A">
              <w:rPr>
                <w:rFonts w:ascii="仿宋" w:eastAsia="仿宋" w:hAnsi="仿宋" w:hint="eastAsia"/>
                <w:b/>
                <w:sz w:val="24"/>
              </w:rPr>
              <w:t>评价公司经营决策效率、国有股东参与决策与监管的时效性。</w:t>
            </w:r>
          </w:p>
        </w:tc>
      </w:tr>
      <w:tr w:rsidR="008C526A" w:rsidRPr="008C526A" w:rsidTr="00C16F20">
        <w:trPr>
          <w:trHeight w:val="911"/>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投资回报</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投资</w:t>
            </w:r>
          </w:p>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收益</w:t>
            </w:r>
          </w:p>
        </w:tc>
        <w:tc>
          <w:tcPr>
            <w:tcW w:w="6581" w:type="dxa"/>
            <w:vAlign w:val="center"/>
          </w:tcPr>
          <w:p w:rsidR="008C526A" w:rsidRPr="008C526A" w:rsidRDefault="008C526A" w:rsidP="00C16F20">
            <w:pPr>
              <w:pStyle w:val="0"/>
              <w:spacing w:line="360" w:lineRule="exact"/>
              <w:rPr>
                <w:rFonts w:eastAsia="仿宋"/>
                <w:b/>
              </w:rPr>
            </w:pPr>
            <w:r w:rsidRPr="008C526A">
              <w:rPr>
                <w:rFonts w:ascii="仿宋" w:eastAsia="仿宋" w:hAnsi="仿宋" w:hint="eastAsia"/>
                <w:b/>
                <w:sz w:val="24"/>
              </w:rPr>
              <w:t>对混改企业经营效益和股东回报的满意度。</w:t>
            </w:r>
          </w:p>
        </w:tc>
      </w:tr>
      <w:tr w:rsidR="008C526A" w:rsidRPr="008C526A" w:rsidTr="00C16F20">
        <w:trPr>
          <w:trHeight w:val="1651"/>
          <w:jc w:val="center"/>
        </w:trPr>
        <w:tc>
          <w:tcPr>
            <w:tcW w:w="0" w:type="dxa"/>
            <w:vMerge/>
            <w:vAlign w:val="center"/>
          </w:tcPr>
          <w:p w:rsidR="008C526A" w:rsidRPr="008C526A" w:rsidRDefault="008C526A" w:rsidP="00C16F20">
            <w:pPr>
              <w:pStyle w:val="0"/>
              <w:spacing w:line="360" w:lineRule="exact"/>
              <w:jc w:val="center"/>
              <w:rPr>
                <w:rFonts w:ascii="黑体" w:eastAsia="黑体" w:hAnsi="黑体"/>
                <w:b/>
              </w:rPr>
            </w:pPr>
          </w:p>
        </w:tc>
        <w:tc>
          <w:tcPr>
            <w:tcW w:w="709"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机制转换与创新</w:t>
            </w:r>
          </w:p>
        </w:tc>
        <w:tc>
          <w:tcPr>
            <w:tcW w:w="850" w:type="dxa"/>
            <w:vAlign w:val="center"/>
          </w:tcPr>
          <w:p w:rsidR="008C526A" w:rsidRPr="008C526A" w:rsidRDefault="008C526A" w:rsidP="00C16F20">
            <w:pPr>
              <w:pStyle w:val="0"/>
              <w:spacing w:line="360" w:lineRule="exact"/>
              <w:jc w:val="center"/>
              <w:rPr>
                <w:rFonts w:ascii="楷体" w:eastAsia="楷体" w:hAnsi="楷体" w:cs="楷体"/>
                <w:b/>
              </w:rPr>
            </w:pPr>
            <w:r w:rsidRPr="008C526A">
              <w:rPr>
                <w:rFonts w:ascii="楷体" w:eastAsia="楷体" w:hAnsi="楷体" w:cs="楷体" w:hint="eastAsia"/>
                <w:b/>
              </w:rPr>
              <w:t>运营机制转换与模式创新</w:t>
            </w:r>
          </w:p>
        </w:tc>
        <w:tc>
          <w:tcPr>
            <w:tcW w:w="6581" w:type="dxa"/>
            <w:vAlign w:val="center"/>
          </w:tcPr>
          <w:p w:rsidR="008C526A" w:rsidRPr="008C526A" w:rsidRDefault="008C526A" w:rsidP="00C16F20">
            <w:pPr>
              <w:pStyle w:val="0"/>
              <w:spacing w:line="360" w:lineRule="exact"/>
              <w:rPr>
                <w:b/>
              </w:rPr>
            </w:pPr>
            <w:r w:rsidRPr="008C526A">
              <w:rPr>
                <w:rFonts w:ascii="仿宋" w:eastAsia="仿宋" w:hAnsi="仿宋" w:hint="eastAsia"/>
                <w:b/>
                <w:sz w:val="24"/>
              </w:rPr>
              <w:t>对混改企业经营机制市场化转换、运营模式创新相关措施的满意度。</w:t>
            </w:r>
          </w:p>
        </w:tc>
      </w:tr>
    </w:tbl>
    <w:p w:rsidR="008C526A" w:rsidRPr="008C526A" w:rsidRDefault="008C526A" w:rsidP="008C526A">
      <w:pPr>
        <w:pStyle w:val="0"/>
        <w:rPr>
          <w:rFonts w:ascii="黑体" w:eastAsia="黑体" w:hAnsi="黑体"/>
          <w:b/>
          <w:sz w:val="32"/>
          <w:szCs w:val="32"/>
        </w:rPr>
      </w:pPr>
    </w:p>
    <w:p w:rsidR="008C526A" w:rsidRPr="008C526A" w:rsidRDefault="008C526A" w:rsidP="008C526A">
      <w:pPr>
        <w:pStyle w:val="0"/>
        <w:rPr>
          <w:rFonts w:ascii="黑体" w:eastAsia="黑体" w:hAnsi="黑体"/>
          <w:b/>
          <w:sz w:val="32"/>
          <w:szCs w:val="32"/>
        </w:rPr>
      </w:pPr>
    </w:p>
    <w:p w:rsidR="008C526A" w:rsidRPr="008C526A" w:rsidRDefault="008C526A" w:rsidP="008C526A">
      <w:pPr>
        <w:pStyle w:val="0"/>
        <w:rPr>
          <w:rFonts w:ascii="黑体" w:eastAsia="黑体" w:hAnsi="黑体"/>
          <w:b/>
          <w:sz w:val="32"/>
          <w:szCs w:val="32"/>
        </w:rPr>
      </w:pPr>
      <w:r w:rsidRPr="008C526A">
        <w:rPr>
          <w:rFonts w:ascii="黑体" w:eastAsia="黑体" w:hAnsi="黑体" w:hint="eastAsia"/>
          <w:b/>
          <w:sz w:val="32"/>
          <w:szCs w:val="32"/>
        </w:rPr>
        <w:br w:type="page"/>
      </w:r>
      <w:r w:rsidRPr="008C526A">
        <w:rPr>
          <w:rFonts w:ascii="黑体" w:eastAsia="黑体" w:hAnsi="黑体" w:hint="eastAsia"/>
          <w:b/>
          <w:sz w:val="32"/>
          <w:szCs w:val="32"/>
        </w:rPr>
        <w:lastRenderedPageBreak/>
        <w:t xml:space="preserve">附件2    </w:t>
      </w:r>
    </w:p>
    <w:p w:rsidR="008C526A" w:rsidRPr="008C526A" w:rsidRDefault="008C526A" w:rsidP="008C526A">
      <w:pPr>
        <w:pStyle w:val="0"/>
        <w:rPr>
          <w:rFonts w:ascii="黑体" w:eastAsia="黑体" w:hAnsi="黑体"/>
          <w:b/>
          <w:sz w:val="32"/>
          <w:szCs w:val="32"/>
        </w:rPr>
      </w:pPr>
    </w:p>
    <w:p w:rsidR="008C526A" w:rsidRPr="008C526A" w:rsidRDefault="008C526A" w:rsidP="008C526A">
      <w:pPr>
        <w:pStyle w:val="0"/>
        <w:jc w:val="center"/>
        <w:rPr>
          <w:rFonts w:ascii="黑体" w:eastAsia="黑体" w:hAnsi="黑体"/>
          <w:b/>
          <w:sz w:val="32"/>
          <w:szCs w:val="32"/>
        </w:rPr>
      </w:pPr>
      <w:r w:rsidRPr="008C526A">
        <w:rPr>
          <w:rFonts w:ascii="黑体" w:eastAsia="黑体" w:hAnsi="黑体" w:hint="eastAsia"/>
          <w:b/>
          <w:color w:val="000000"/>
          <w:sz w:val="32"/>
          <w:szCs w:val="32"/>
        </w:rPr>
        <w:t>《企业混改后评价报告》提纲</w:t>
      </w:r>
    </w:p>
    <w:p w:rsidR="008C526A" w:rsidRPr="008C526A" w:rsidRDefault="008C526A" w:rsidP="008C526A">
      <w:pPr>
        <w:pStyle w:val="0"/>
        <w:rPr>
          <w:rFonts w:ascii="黑体" w:eastAsia="黑体" w:hAnsi="黑体"/>
          <w:b/>
          <w:sz w:val="32"/>
          <w:szCs w:val="32"/>
        </w:rPr>
      </w:pPr>
    </w:p>
    <w:p w:rsidR="008C526A" w:rsidRPr="008C526A" w:rsidRDefault="008C526A" w:rsidP="008C526A">
      <w:pPr>
        <w:pStyle w:val="0"/>
        <w:jc w:val="center"/>
        <w:rPr>
          <w:rFonts w:ascii="黑体" w:eastAsia="黑体" w:hAnsi="黑体"/>
          <w:b/>
          <w:color w:val="000000"/>
          <w:sz w:val="44"/>
          <w:szCs w:val="44"/>
        </w:rPr>
      </w:pPr>
    </w:p>
    <w:p w:rsidR="008C526A" w:rsidRPr="008C526A" w:rsidRDefault="008C526A" w:rsidP="008C526A">
      <w:pPr>
        <w:pStyle w:val="0"/>
        <w:jc w:val="center"/>
        <w:rPr>
          <w:rFonts w:ascii="黑体" w:eastAsia="黑体" w:hAnsi="黑体"/>
          <w:b/>
          <w:color w:val="000000"/>
          <w:sz w:val="44"/>
          <w:szCs w:val="44"/>
        </w:rPr>
      </w:pPr>
    </w:p>
    <w:p w:rsidR="008C526A" w:rsidRPr="008C526A" w:rsidRDefault="008C526A" w:rsidP="008C526A">
      <w:pPr>
        <w:pStyle w:val="0"/>
        <w:jc w:val="center"/>
        <w:rPr>
          <w:rFonts w:ascii="黑体" w:eastAsia="黑体" w:hAnsi="黑体"/>
          <w:b/>
          <w:color w:val="000000"/>
          <w:sz w:val="44"/>
          <w:szCs w:val="44"/>
        </w:rPr>
      </w:pPr>
      <w:r w:rsidRPr="008C526A">
        <w:rPr>
          <w:rFonts w:ascii="黑体" w:eastAsia="黑体" w:hAnsi="黑体" w:hint="eastAsia"/>
          <w:b/>
          <w:color w:val="000000"/>
          <w:sz w:val="44"/>
          <w:szCs w:val="44"/>
        </w:rPr>
        <w:t>×××公司混改后评价报告</w:t>
      </w: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8C526A" w:rsidRDefault="008C526A" w:rsidP="008C526A">
      <w:pPr>
        <w:pStyle w:val="0"/>
        <w:rPr>
          <w:rFonts w:ascii="仿宋" w:eastAsia="仿宋" w:hAnsi="仿宋"/>
          <w:b/>
          <w:sz w:val="28"/>
          <w:szCs w:val="28"/>
        </w:rPr>
      </w:pPr>
    </w:p>
    <w:p w:rsidR="008C526A" w:rsidRPr="00430CF9" w:rsidRDefault="008C526A" w:rsidP="00430CF9">
      <w:pPr>
        <w:pStyle w:val="0"/>
        <w:adjustRightInd w:val="0"/>
        <w:snapToGrid w:val="0"/>
        <w:spacing w:line="580" w:lineRule="exact"/>
        <w:ind w:firstLineChars="200" w:firstLine="643"/>
        <w:jc w:val="center"/>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××××××（编制单位）</w:t>
      </w:r>
    </w:p>
    <w:p w:rsidR="008C526A" w:rsidRPr="00430CF9" w:rsidRDefault="008C526A" w:rsidP="00430CF9">
      <w:pPr>
        <w:pStyle w:val="0"/>
        <w:adjustRightInd w:val="0"/>
        <w:snapToGrid w:val="0"/>
        <w:spacing w:line="580" w:lineRule="exact"/>
        <w:ind w:firstLineChars="200" w:firstLine="643"/>
        <w:jc w:val="center"/>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××××年××月</w:t>
      </w:r>
    </w:p>
    <w:p w:rsidR="008C526A" w:rsidRPr="008C526A" w:rsidRDefault="008C526A" w:rsidP="008C526A">
      <w:pPr>
        <w:pStyle w:val="0"/>
        <w:widowControl/>
        <w:adjustRightInd w:val="0"/>
        <w:snapToGrid w:val="0"/>
        <w:spacing w:line="580" w:lineRule="exact"/>
        <w:ind w:firstLineChars="200" w:firstLine="643"/>
        <w:rPr>
          <w:rFonts w:ascii="黑体" w:eastAsia="黑体" w:hAnsi="黑体"/>
          <w:b/>
          <w:bCs/>
          <w:color w:val="000000"/>
          <w:sz w:val="32"/>
          <w:szCs w:val="32"/>
        </w:rPr>
      </w:pPr>
      <w:r w:rsidRPr="008C526A">
        <w:rPr>
          <w:rFonts w:ascii="仿宋" w:eastAsia="仿宋" w:hAnsi="仿宋"/>
          <w:b/>
          <w:sz w:val="32"/>
          <w:szCs w:val="32"/>
        </w:rPr>
        <w:br w:type="page"/>
      </w:r>
      <w:r w:rsidRPr="008C526A">
        <w:rPr>
          <w:rFonts w:ascii="黑体" w:eastAsia="黑体" w:hAnsi="黑体" w:hint="eastAsia"/>
          <w:b/>
          <w:bCs/>
          <w:color w:val="000000"/>
          <w:sz w:val="32"/>
          <w:szCs w:val="32"/>
        </w:rPr>
        <w:lastRenderedPageBreak/>
        <w:t>一、企业概况</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混改前后企业基本情况，包括但不限于公司注册资本的变化，股东情况，核心管理层，人员情况，组织架构，生产经营情况，财务状况，权属企业情况，主要资产及债权债务</w:t>
      </w:r>
      <w:r w:rsidR="00CE2920">
        <w:rPr>
          <w:rFonts w:ascii="方正仿宋简体" w:eastAsia="方正仿宋简体" w:hAnsi="仿宋_GB2312" w:cs="仿宋_GB2312" w:hint="eastAsia"/>
          <w:b/>
          <w:sz w:val="32"/>
          <w:szCs w:val="32"/>
        </w:rPr>
        <w:t>情况</w:t>
      </w:r>
      <w:r w:rsidRPr="00430CF9">
        <w:rPr>
          <w:rFonts w:ascii="方正仿宋简体" w:eastAsia="方正仿宋简体" w:hAnsi="仿宋_GB2312" w:cs="仿宋_GB2312" w:hint="eastAsia"/>
          <w:b/>
          <w:sz w:val="32"/>
          <w:szCs w:val="32"/>
        </w:rPr>
        <w:t xml:space="preserve">等。 </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二、混改实施与完成情况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（一）混改方案的主要内容</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混改前企业现状与面临的主要问题、企业战略规划、混改目标与原则、混改的必要性与可行性、混改方式与基本路径、投资者引进方向、风险评估、实施计划与保障措施等。</w:t>
      </w:r>
      <w:bookmarkStart w:id="3" w:name="_Hlk52106260"/>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（二）</w:t>
      </w:r>
      <w:bookmarkEnd w:id="3"/>
      <w:r w:rsidRPr="00430CF9">
        <w:rPr>
          <w:rFonts w:ascii="华文楷体" w:eastAsia="华文楷体" w:hAnsi="华文楷体" w:cs="楷体_GB2312" w:hint="eastAsia"/>
          <w:b/>
          <w:color w:val="000000"/>
          <w:sz w:val="32"/>
          <w:szCs w:val="32"/>
        </w:rPr>
        <w:t>混改实施与完成情况</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混改实施情况概述、混改目标完成度、投资者引入情况，混改后实施的主要改革措施与实效。</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三、后评价工作开展情况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（一）后评价工作组织</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后评价工作组织设立及被评价单位协助配合情况。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（二）后评价工作实施</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后评价工作范围与内容确定、评价方法选择、计划管理与过程监督、分阶段实施情况说明等。</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（三）后评价工作存在的问题</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四、混改效果评价</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（一）资本增量</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混改后国有资本增值、股权结构、股东构成、资源协同、经济效益等方面实现的增量情况。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lastRenderedPageBreak/>
        <w:t>（二）管理增量</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混改后企业治理与制度完善、中小股东作用发挥、经营决策效率提升、监管机制转换、党建工作加强等实现管理增效的情况。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（三）技术增量</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通过混改促进企业产品更新、技术引入与合作、研发能力提升、技术团队优化等实现技术增量情况。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（四）人才增量</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混改企业在关键人才引进、员工持股、非上市公司中长期激励、上市公司股权激励等方面规章制度的建设情况，以及在关键人才引进、激励与考核方面的实施情况。</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（五）品牌增量</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战投引入后产业协同、资源共享、市场拓展情况。混改企业品牌文化建设、市场美誉度与行业地位提升情况。</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五、投资者评价</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（一）信息披露与沟通</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企业经营管理信息披露与沟通机制的及时性、客观性、充分性。</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（二）参与管理与运营决策</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公司章程修订依法合规性、治理结构科学合理性、参与运营管理适度性、公司决策有效性等。</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（三）投资回报</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混改前后股东投资回报水平提升、投资回报机制与实效、股东对收益的满意度。</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lastRenderedPageBreak/>
        <w:t>（四）机制转换与创新</w:t>
      </w:r>
    </w:p>
    <w:p w:rsidR="008C526A" w:rsidRPr="00430CF9" w:rsidRDefault="008C526A" w:rsidP="00430CF9">
      <w:pPr>
        <w:pStyle w:val="0"/>
        <w:adjustRightInd w:val="0"/>
        <w:snapToGrid w:val="0"/>
        <w:spacing w:line="580" w:lineRule="exact"/>
        <w:ind w:firstLineChars="200" w:firstLine="643"/>
        <w:rPr>
          <w:rFonts w:ascii="方正仿宋简体" w:eastAsia="方正仿宋简体" w:hAnsi="仿宋_GB2312" w:cs="仿宋_GB2312"/>
          <w:b/>
          <w:sz w:val="32"/>
          <w:szCs w:val="32"/>
        </w:rPr>
      </w:pPr>
      <w:r w:rsidRPr="00430CF9">
        <w:rPr>
          <w:rFonts w:ascii="方正仿宋简体" w:eastAsia="方正仿宋简体" w:hAnsi="仿宋_GB2312" w:cs="仿宋_GB2312" w:hint="eastAsia"/>
          <w:b/>
          <w:sz w:val="32"/>
          <w:szCs w:val="32"/>
        </w:rPr>
        <w:t>混改后现代企业制度完善、企业运营机制转换与经营模式创新满意度。</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六、后评价结论</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（一）混改效果整体评价</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（二）混改经验总结</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（三）存在的不足</w:t>
      </w:r>
    </w:p>
    <w:p w:rsidR="008C526A" w:rsidRPr="008C526A" w:rsidRDefault="008C526A" w:rsidP="008C526A">
      <w:pPr>
        <w:pStyle w:val="0"/>
        <w:adjustRightInd w:val="0"/>
        <w:snapToGrid w:val="0"/>
        <w:spacing w:line="580" w:lineRule="exact"/>
        <w:ind w:firstLineChars="200" w:firstLine="643"/>
        <w:rPr>
          <w:rFonts w:ascii="黑体" w:eastAsia="黑体" w:hAnsi="黑体"/>
          <w:b/>
          <w:bCs/>
          <w:color w:val="000000"/>
          <w:sz w:val="32"/>
          <w:szCs w:val="32"/>
        </w:rPr>
      </w:pPr>
      <w:r w:rsidRPr="008C526A">
        <w:rPr>
          <w:rFonts w:ascii="黑体" w:eastAsia="黑体" w:hAnsi="黑体" w:hint="eastAsia"/>
          <w:b/>
          <w:bCs/>
          <w:color w:val="000000"/>
          <w:sz w:val="32"/>
          <w:szCs w:val="32"/>
        </w:rPr>
        <w:t>七、对策建议</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（一）调整、优化建议</w:t>
      </w:r>
    </w:p>
    <w:p w:rsidR="008C526A" w:rsidRPr="00430CF9" w:rsidRDefault="008C526A" w:rsidP="00430CF9">
      <w:pPr>
        <w:pStyle w:val="0"/>
        <w:adjustRightInd w:val="0"/>
        <w:snapToGrid w:val="0"/>
        <w:spacing w:line="580" w:lineRule="exact"/>
        <w:ind w:firstLineChars="200" w:firstLine="641"/>
        <w:rPr>
          <w:rFonts w:ascii="华文楷体" w:eastAsia="华文楷体" w:hAnsi="华文楷体" w:cs="楷体_GB2312"/>
          <w:b/>
          <w:color w:val="000000"/>
          <w:sz w:val="32"/>
          <w:szCs w:val="32"/>
        </w:rPr>
      </w:pPr>
      <w:r w:rsidRPr="00430CF9">
        <w:rPr>
          <w:rFonts w:ascii="华文楷体" w:eastAsia="华文楷体" w:hAnsi="华文楷体" w:cs="楷体_GB2312" w:hint="eastAsia"/>
          <w:b/>
          <w:color w:val="000000"/>
          <w:sz w:val="32"/>
          <w:szCs w:val="32"/>
        </w:rPr>
        <w:t>（二）进一步深化改革建议</w:t>
      </w:r>
    </w:p>
    <w:p w:rsidR="008C526A" w:rsidRPr="008C526A" w:rsidRDefault="008C526A" w:rsidP="008C526A">
      <w:pPr>
        <w:pStyle w:val="0"/>
        <w:adjustRightInd w:val="0"/>
        <w:snapToGrid w:val="0"/>
        <w:spacing w:line="580" w:lineRule="exact"/>
        <w:rPr>
          <w:rFonts w:ascii="仿宋_GB2312" w:eastAsia="仿宋_GB2312"/>
          <w:b/>
          <w:sz w:val="32"/>
          <w:szCs w:val="32"/>
        </w:rPr>
      </w:pPr>
    </w:p>
    <w:p w:rsidR="008C526A" w:rsidRPr="008C526A" w:rsidRDefault="008C526A" w:rsidP="008C526A">
      <w:pPr>
        <w:adjustRightInd w:val="0"/>
        <w:snapToGrid w:val="0"/>
        <w:spacing w:line="580" w:lineRule="exact"/>
        <w:ind w:firstLineChars="200" w:firstLine="640"/>
        <w:rPr>
          <w:rFonts w:ascii="仿宋_GB2312" w:eastAsia="仿宋_GB2312" w:hAnsi="宋体" w:cs="宋体"/>
          <w:b/>
          <w:sz w:val="32"/>
          <w:szCs w:val="32"/>
        </w:rPr>
      </w:pPr>
    </w:p>
    <w:p w:rsidR="008C526A" w:rsidRPr="008C526A" w:rsidRDefault="008C526A" w:rsidP="008C526A">
      <w:pPr>
        <w:adjustRightInd w:val="0"/>
        <w:snapToGrid w:val="0"/>
        <w:spacing w:line="580" w:lineRule="exact"/>
        <w:ind w:rightChars="652" w:right="1369" w:firstLineChars="1400" w:firstLine="4482"/>
        <w:jc w:val="right"/>
        <w:rPr>
          <w:rFonts w:ascii="仿宋_GB2312" w:eastAsia="仿宋_GB2312" w:hAnsi="宋体" w:cs="宋体"/>
          <w:b/>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r w:rsidRPr="008C526A">
        <w:rPr>
          <w:rFonts w:ascii="仿宋_GB2312" w:eastAsia="仿宋_GB2312" w:hAnsi="宋体" w:cs="宋体"/>
          <w:b/>
          <w:spacing w:val="10"/>
          <w:sz w:val="32"/>
          <w:szCs w:val="32"/>
        </w:rPr>
        <w:br w:type="page"/>
      </w: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8C526A" w:rsidRPr="008C526A" w:rsidRDefault="008C526A" w:rsidP="008C526A">
      <w:pPr>
        <w:spacing w:line="580" w:lineRule="exact"/>
        <w:rPr>
          <w:rFonts w:ascii="仿宋_GB2312" w:eastAsia="仿宋_GB2312" w:hAnsi="宋体" w:cs="宋体"/>
          <w:b/>
          <w:spacing w:val="10"/>
          <w:sz w:val="32"/>
          <w:szCs w:val="32"/>
        </w:rPr>
      </w:pPr>
    </w:p>
    <w:p w:rsidR="001B5B90" w:rsidRDefault="001B5B90" w:rsidP="005858C6">
      <w:pPr>
        <w:spacing w:line="620" w:lineRule="exact"/>
        <w:rPr>
          <w:rFonts w:ascii="仿宋" w:eastAsia="仿宋" w:hAnsi="仿宋"/>
          <w:b/>
          <w:bCs/>
          <w:sz w:val="30"/>
          <w:szCs w:val="30"/>
        </w:rPr>
      </w:pPr>
    </w:p>
    <w:p w:rsidR="00430CF9" w:rsidRDefault="00430CF9" w:rsidP="005858C6">
      <w:pPr>
        <w:spacing w:line="620" w:lineRule="exact"/>
        <w:rPr>
          <w:rFonts w:ascii="仿宋" w:eastAsia="仿宋" w:hAnsi="仿宋"/>
          <w:b/>
          <w:bCs/>
          <w:sz w:val="30"/>
          <w:szCs w:val="30"/>
        </w:rPr>
      </w:pPr>
    </w:p>
    <w:p w:rsidR="00430CF9" w:rsidRPr="008C526A" w:rsidRDefault="00430CF9" w:rsidP="005858C6">
      <w:pPr>
        <w:spacing w:line="620" w:lineRule="exact"/>
        <w:rPr>
          <w:rFonts w:ascii="仿宋" w:eastAsia="仿宋" w:hAnsi="仿宋"/>
          <w:b/>
          <w:bCs/>
          <w:sz w:val="30"/>
          <w:szCs w:val="30"/>
        </w:rPr>
      </w:pPr>
    </w:p>
    <w:p w:rsidR="00553960" w:rsidRPr="008C526A" w:rsidRDefault="00C315C8" w:rsidP="005858C6">
      <w:pPr>
        <w:spacing w:line="620" w:lineRule="exact"/>
        <w:rPr>
          <w:rFonts w:ascii="仿宋" w:eastAsia="仿宋" w:hAnsi="仿宋"/>
          <w:b/>
          <w:sz w:val="30"/>
          <w:szCs w:val="30"/>
        </w:rPr>
      </w:pPr>
      <w:r>
        <w:rPr>
          <w:rFonts w:ascii="仿宋" w:eastAsia="仿宋" w:hAnsi="仿宋"/>
          <w:b/>
          <w:noProof/>
          <w:sz w:val="30"/>
          <w:szCs w:val="30"/>
        </w:rPr>
        <w:pict>
          <v:line id="_x0000_s1027" style="position:absolute;left:0;text-align:left;z-index:251657216" from="-9pt,31pt" to="6in,31pt" strokeweight="1.25pt"/>
        </w:pict>
      </w:r>
      <w:r w:rsidRPr="00C315C8">
        <w:rPr>
          <w:b/>
          <w:noProof/>
        </w:rPr>
        <w:pict>
          <v:line id="_x0000_s1026" style="position:absolute;left:0;text-align:left;z-index:251658240" from="-9pt,5.4pt" to="6in,5.4pt" strokeweight="1.25pt"/>
        </w:pict>
      </w:r>
      <w:r w:rsidR="00553960" w:rsidRPr="008C526A">
        <w:rPr>
          <w:rFonts w:ascii="仿宋" w:eastAsia="仿宋" w:hAnsi="仿宋" w:hint="eastAsia"/>
          <w:b/>
          <w:bCs/>
          <w:sz w:val="30"/>
          <w:szCs w:val="30"/>
        </w:rPr>
        <w:t>济宁市国资委办公室</w:t>
      </w:r>
      <w:r w:rsidR="00B4187E" w:rsidRPr="008C526A">
        <w:rPr>
          <w:rFonts w:ascii="仿宋" w:eastAsia="仿宋" w:hAnsi="仿宋" w:hint="eastAsia"/>
          <w:b/>
          <w:bCs/>
          <w:sz w:val="30"/>
          <w:szCs w:val="30"/>
        </w:rPr>
        <w:t xml:space="preserve">                  </w:t>
      </w:r>
      <w:r w:rsidR="0031483C">
        <w:rPr>
          <w:rFonts w:ascii="仿宋" w:eastAsia="仿宋" w:hAnsi="仿宋" w:hint="eastAsia"/>
          <w:b/>
          <w:bCs/>
          <w:sz w:val="30"/>
          <w:szCs w:val="30"/>
        </w:rPr>
        <w:t xml:space="preserve"> </w:t>
      </w:r>
      <w:r w:rsidR="00B4187E" w:rsidRPr="008C526A">
        <w:rPr>
          <w:rFonts w:ascii="仿宋" w:eastAsia="仿宋" w:hAnsi="仿宋" w:hint="eastAsia"/>
          <w:b/>
          <w:bCs/>
          <w:sz w:val="30"/>
          <w:szCs w:val="30"/>
        </w:rPr>
        <w:t>2021</w:t>
      </w:r>
      <w:r w:rsidR="00553960" w:rsidRPr="008C526A">
        <w:rPr>
          <w:rFonts w:ascii="仿宋" w:eastAsia="仿宋" w:hAnsi="仿宋" w:hint="eastAsia"/>
          <w:b/>
          <w:bCs/>
          <w:sz w:val="30"/>
          <w:szCs w:val="30"/>
        </w:rPr>
        <w:t>年</w:t>
      </w:r>
      <w:r w:rsidR="0031483C">
        <w:rPr>
          <w:rFonts w:ascii="仿宋" w:eastAsia="仿宋" w:hAnsi="仿宋" w:hint="eastAsia"/>
          <w:b/>
          <w:bCs/>
          <w:sz w:val="30"/>
          <w:szCs w:val="30"/>
        </w:rPr>
        <w:t>7</w:t>
      </w:r>
      <w:r w:rsidR="00553960" w:rsidRPr="008C526A">
        <w:rPr>
          <w:rFonts w:ascii="仿宋" w:eastAsia="仿宋" w:hAnsi="仿宋" w:hint="eastAsia"/>
          <w:b/>
          <w:bCs/>
          <w:sz w:val="30"/>
          <w:szCs w:val="30"/>
        </w:rPr>
        <w:t>月</w:t>
      </w:r>
      <w:r w:rsidR="0031483C">
        <w:rPr>
          <w:rFonts w:ascii="仿宋" w:eastAsia="仿宋" w:hAnsi="仿宋" w:hint="eastAsia"/>
          <w:b/>
          <w:bCs/>
          <w:sz w:val="30"/>
          <w:szCs w:val="30"/>
        </w:rPr>
        <w:t>2</w:t>
      </w:r>
      <w:r w:rsidR="00553960" w:rsidRPr="008C526A">
        <w:rPr>
          <w:rFonts w:ascii="仿宋" w:eastAsia="仿宋" w:hAnsi="仿宋" w:hint="eastAsia"/>
          <w:b/>
          <w:bCs/>
          <w:sz w:val="30"/>
          <w:szCs w:val="30"/>
        </w:rPr>
        <w:t>日印发</w:t>
      </w:r>
    </w:p>
    <w:sectPr w:rsidR="00553960" w:rsidRPr="008C526A" w:rsidSect="0056498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D33" w:rsidRDefault="00A75D33" w:rsidP="00F811A3">
      <w:r>
        <w:separator/>
      </w:r>
    </w:p>
  </w:endnote>
  <w:endnote w:type="continuationSeparator" w:id="1">
    <w:p w:rsidR="00A75D33" w:rsidRDefault="00A75D33" w:rsidP="00F81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D33" w:rsidRDefault="00A75D33" w:rsidP="00F811A3">
      <w:r>
        <w:separator/>
      </w:r>
    </w:p>
  </w:footnote>
  <w:footnote w:type="continuationSeparator" w:id="1">
    <w:p w:rsidR="00A75D33" w:rsidRDefault="00A75D33" w:rsidP="00F81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FF" w:rsidRDefault="005014FF" w:rsidP="005014F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23F"/>
    <w:rsid w:val="0002674F"/>
    <w:rsid w:val="00026C9B"/>
    <w:rsid w:val="00030459"/>
    <w:rsid w:val="00032727"/>
    <w:rsid w:val="00036F81"/>
    <w:rsid w:val="00050B32"/>
    <w:rsid w:val="000515F9"/>
    <w:rsid w:val="00051D4D"/>
    <w:rsid w:val="000538A8"/>
    <w:rsid w:val="00054335"/>
    <w:rsid w:val="00054B4A"/>
    <w:rsid w:val="0006122F"/>
    <w:rsid w:val="00061948"/>
    <w:rsid w:val="00065B76"/>
    <w:rsid w:val="00067032"/>
    <w:rsid w:val="00080F6D"/>
    <w:rsid w:val="00096B31"/>
    <w:rsid w:val="000A08DB"/>
    <w:rsid w:val="000B18EF"/>
    <w:rsid w:val="000C12DD"/>
    <w:rsid w:val="000C64F5"/>
    <w:rsid w:val="000E2314"/>
    <w:rsid w:val="000E753F"/>
    <w:rsid w:val="00112E36"/>
    <w:rsid w:val="00114D6E"/>
    <w:rsid w:val="0013337A"/>
    <w:rsid w:val="0014034B"/>
    <w:rsid w:val="00167C8D"/>
    <w:rsid w:val="00187E6A"/>
    <w:rsid w:val="00193F99"/>
    <w:rsid w:val="001B0085"/>
    <w:rsid w:val="001B5B90"/>
    <w:rsid w:val="001B5F87"/>
    <w:rsid w:val="001C2999"/>
    <w:rsid w:val="001D52D8"/>
    <w:rsid w:val="001E4145"/>
    <w:rsid w:val="001E4F34"/>
    <w:rsid w:val="001F0891"/>
    <w:rsid w:val="0021613C"/>
    <w:rsid w:val="00226EED"/>
    <w:rsid w:val="00236B89"/>
    <w:rsid w:val="00246F4F"/>
    <w:rsid w:val="0024795C"/>
    <w:rsid w:val="00253AB3"/>
    <w:rsid w:val="0027509C"/>
    <w:rsid w:val="00284911"/>
    <w:rsid w:val="002B4793"/>
    <w:rsid w:val="002D178F"/>
    <w:rsid w:val="0031483C"/>
    <w:rsid w:val="00317671"/>
    <w:rsid w:val="00344184"/>
    <w:rsid w:val="00376D35"/>
    <w:rsid w:val="00380497"/>
    <w:rsid w:val="003B7257"/>
    <w:rsid w:val="003E357F"/>
    <w:rsid w:val="003E40CF"/>
    <w:rsid w:val="003F0F5A"/>
    <w:rsid w:val="00402078"/>
    <w:rsid w:val="00410CA9"/>
    <w:rsid w:val="0041251B"/>
    <w:rsid w:val="00413F8B"/>
    <w:rsid w:val="00415F6C"/>
    <w:rsid w:val="004200FE"/>
    <w:rsid w:val="00424EF9"/>
    <w:rsid w:val="0042564E"/>
    <w:rsid w:val="00425C52"/>
    <w:rsid w:val="00430CF9"/>
    <w:rsid w:val="004315B0"/>
    <w:rsid w:val="00436AC3"/>
    <w:rsid w:val="00461F7E"/>
    <w:rsid w:val="00472BE2"/>
    <w:rsid w:val="004748CE"/>
    <w:rsid w:val="0048516F"/>
    <w:rsid w:val="00485938"/>
    <w:rsid w:val="00487000"/>
    <w:rsid w:val="004A13AA"/>
    <w:rsid w:val="004B075F"/>
    <w:rsid w:val="004C3760"/>
    <w:rsid w:val="004C4D84"/>
    <w:rsid w:val="004E0155"/>
    <w:rsid w:val="004E643F"/>
    <w:rsid w:val="005014FF"/>
    <w:rsid w:val="00502AFA"/>
    <w:rsid w:val="00553960"/>
    <w:rsid w:val="00554007"/>
    <w:rsid w:val="00561214"/>
    <w:rsid w:val="00561470"/>
    <w:rsid w:val="00564987"/>
    <w:rsid w:val="005652D9"/>
    <w:rsid w:val="005858C6"/>
    <w:rsid w:val="005B567D"/>
    <w:rsid w:val="005D09AF"/>
    <w:rsid w:val="005F248E"/>
    <w:rsid w:val="005F577D"/>
    <w:rsid w:val="006173AB"/>
    <w:rsid w:val="0062317C"/>
    <w:rsid w:val="006261DF"/>
    <w:rsid w:val="006261EE"/>
    <w:rsid w:val="006518B5"/>
    <w:rsid w:val="00653626"/>
    <w:rsid w:val="00660416"/>
    <w:rsid w:val="0066421D"/>
    <w:rsid w:val="0067137F"/>
    <w:rsid w:val="00694EA8"/>
    <w:rsid w:val="006B035C"/>
    <w:rsid w:val="006D0722"/>
    <w:rsid w:val="006E0775"/>
    <w:rsid w:val="006F4DEB"/>
    <w:rsid w:val="00707BF3"/>
    <w:rsid w:val="00730665"/>
    <w:rsid w:val="00740F15"/>
    <w:rsid w:val="00750EDA"/>
    <w:rsid w:val="007536DC"/>
    <w:rsid w:val="007572DE"/>
    <w:rsid w:val="00780163"/>
    <w:rsid w:val="00786E41"/>
    <w:rsid w:val="007C0E30"/>
    <w:rsid w:val="007F31DE"/>
    <w:rsid w:val="00804860"/>
    <w:rsid w:val="00836C23"/>
    <w:rsid w:val="008545F7"/>
    <w:rsid w:val="0088753A"/>
    <w:rsid w:val="00893A9F"/>
    <w:rsid w:val="008C444A"/>
    <w:rsid w:val="008C526A"/>
    <w:rsid w:val="008D2BA9"/>
    <w:rsid w:val="008E7262"/>
    <w:rsid w:val="008F4871"/>
    <w:rsid w:val="0092089F"/>
    <w:rsid w:val="00937172"/>
    <w:rsid w:val="009440A2"/>
    <w:rsid w:val="00947A9F"/>
    <w:rsid w:val="009520A3"/>
    <w:rsid w:val="009524C4"/>
    <w:rsid w:val="009E2C5B"/>
    <w:rsid w:val="00A06B31"/>
    <w:rsid w:val="00A31402"/>
    <w:rsid w:val="00A55793"/>
    <w:rsid w:val="00A60451"/>
    <w:rsid w:val="00A61A58"/>
    <w:rsid w:val="00A64ACA"/>
    <w:rsid w:val="00A7212F"/>
    <w:rsid w:val="00A75D33"/>
    <w:rsid w:val="00A833A1"/>
    <w:rsid w:val="00A94972"/>
    <w:rsid w:val="00AA32EE"/>
    <w:rsid w:val="00AA4655"/>
    <w:rsid w:val="00AA7AA6"/>
    <w:rsid w:val="00AB37A0"/>
    <w:rsid w:val="00AD12CD"/>
    <w:rsid w:val="00AF2800"/>
    <w:rsid w:val="00AF2CBC"/>
    <w:rsid w:val="00AF556B"/>
    <w:rsid w:val="00B05B61"/>
    <w:rsid w:val="00B21D66"/>
    <w:rsid w:val="00B35EAF"/>
    <w:rsid w:val="00B4187E"/>
    <w:rsid w:val="00B4523F"/>
    <w:rsid w:val="00B53EFD"/>
    <w:rsid w:val="00B846E7"/>
    <w:rsid w:val="00BB3C03"/>
    <w:rsid w:val="00BD1575"/>
    <w:rsid w:val="00BD45AF"/>
    <w:rsid w:val="00BF128F"/>
    <w:rsid w:val="00BF3D26"/>
    <w:rsid w:val="00C06E25"/>
    <w:rsid w:val="00C315C8"/>
    <w:rsid w:val="00C33F63"/>
    <w:rsid w:val="00C4387E"/>
    <w:rsid w:val="00C512DE"/>
    <w:rsid w:val="00C5356A"/>
    <w:rsid w:val="00C572F4"/>
    <w:rsid w:val="00C64893"/>
    <w:rsid w:val="00C74D2D"/>
    <w:rsid w:val="00C93E10"/>
    <w:rsid w:val="00C96568"/>
    <w:rsid w:val="00CB4356"/>
    <w:rsid w:val="00CB77E6"/>
    <w:rsid w:val="00CD214E"/>
    <w:rsid w:val="00CD6CFD"/>
    <w:rsid w:val="00CE2920"/>
    <w:rsid w:val="00CF469C"/>
    <w:rsid w:val="00D00216"/>
    <w:rsid w:val="00D25FAF"/>
    <w:rsid w:val="00D41317"/>
    <w:rsid w:val="00D425BF"/>
    <w:rsid w:val="00D475A9"/>
    <w:rsid w:val="00D6283B"/>
    <w:rsid w:val="00D71621"/>
    <w:rsid w:val="00D735AF"/>
    <w:rsid w:val="00D806AB"/>
    <w:rsid w:val="00D81C72"/>
    <w:rsid w:val="00D83A09"/>
    <w:rsid w:val="00DB001F"/>
    <w:rsid w:val="00DC3DDA"/>
    <w:rsid w:val="00DE6E08"/>
    <w:rsid w:val="00DF0C40"/>
    <w:rsid w:val="00DF12E7"/>
    <w:rsid w:val="00E134B7"/>
    <w:rsid w:val="00E1765C"/>
    <w:rsid w:val="00E22AA3"/>
    <w:rsid w:val="00E67FDF"/>
    <w:rsid w:val="00E77F7C"/>
    <w:rsid w:val="00EA1515"/>
    <w:rsid w:val="00EA3715"/>
    <w:rsid w:val="00EA5824"/>
    <w:rsid w:val="00EB251F"/>
    <w:rsid w:val="00EB30AE"/>
    <w:rsid w:val="00EC28F1"/>
    <w:rsid w:val="00ED38C9"/>
    <w:rsid w:val="00EE077F"/>
    <w:rsid w:val="00EE1A38"/>
    <w:rsid w:val="00EF36A8"/>
    <w:rsid w:val="00F159D9"/>
    <w:rsid w:val="00F34FE6"/>
    <w:rsid w:val="00F51383"/>
    <w:rsid w:val="00F64E48"/>
    <w:rsid w:val="00F811A3"/>
    <w:rsid w:val="00F82249"/>
    <w:rsid w:val="00F8717F"/>
    <w:rsid w:val="00FA0903"/>
    <w:rsid w:val="00FC7C3D"/>
    <w:rsid w:val="00FE51FD"/>
    <w:rsid w:val="00FF72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23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81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811A3"/>
    <w:rPr>
      <w:rFonts w:ascii="Times New Roman" w:eastAsia="宋体" w:hAnsi="Times New Roman" w:cs="Times New Roman"/>
      <w:sz w:val="18"/>
      <w:szCs w:val="18"/>
    </w:rPr>
  </w:style>
  <w:style w:type="paragraph" w:styleId="a4">
    <w:name w:val="footer"/>
    <w:basedOn w:val="a"/>
    <w:link w:val="Char0"/>
    <w:uiPriority w:val="99"/>
    <w:semiHidden/>
    <w:rsid w:val="00F811A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811A3"/>
    <w:rPr>
      <w:rFonts w:ascii="Times New Roman" w:eastAsia="宋体" w:hAnsi="Times New Roman" w:cs="Times New Roman"/>
      <w:sz w:val="18"/>
      <w:szCs w:val="18"/>
    </w:rPr>
  </w:style>
  <w:style w:type="paragraph" w:styleId="a5">
    <w:name w:val="Date"/>
    <w:basedOn w:val="a"/>
    <w:next w:val="a"/>
    <w:link w:val="Char1"/>
    <w:uiPriority w:val="99"/>
    <w:rsid w:val="00415F6C"/>
    <w:pPr>
      <w:ind w:leftChars="2500" w:left="100"/>
    </w:pPr>
  </w:style>
  <w:style w:type="character" w:customStyle="1" w:styleId="Char1">
    <w:name w:val="日期 Char"/>
    <w:basedOn w:val="a0"/>
    <w:link w:val="a5"/>
    <w:uiPriority w:val="99"/>
    <w:semiHidden/>
    <w:locked/>
    <w:rsid w:val="00A55793"/>
    <w:rPr>
      <w:rFonts w:ascii="Times New Roman" w:hAnsi="Times New Roman" w:cs="Times New Roman"/>
      <w:sz w:val="24"/>
      <w:szCs w:val="24"/>
    </w:rPr>
  </w:style>
  <w:style w:type="paragraph" w:styleId="a6">
    <w:name w:val="Balloon Text"/>
    <w:basedOn w:val="a"/>
    <w:link w:val="Char2"/>
    <w:uiPriority w:val="99"/>
    <w:semiHidden/>
    <w:rsid w:val="00061948"/>
    <w:rPr>
      <w:sz w:val="18"/>
      <w:szCs w:val="18"/>
    </w:rPr>
  </w:style>
  <w:style w:type="character" w:customStyle="1" w:styleId="Char2">
    <w:name w:val="批注框文本 Char"/>
    <w:basedOn w:val="a0"/>
    <w:link w:val="a6"/>
    <w:uiPriority w:val="99"/>
    <w:semiHidden/>
    <w:locked/>
    <w:rsid w:val="00730665"/>
    <w:rPr>
      <w:rFonts w:ascii="Times New Roman" w:hAnsi="Times New Roman" w:cs="Times New Roman"/>
      <w:sz w:val="2"/>
    </w:rPr>
  </w:style>
  <w:style w:type="paragraph" w:customStyle="1" w:styleId="0">
    <w:name w:val="正文_0"/>
    <w:qFormat/>
    <w:rsid w:val="008C526A"/>
    <w:pPr>
      <w:widowControl w:val="0"/>
      <w:jc w:val="both"/>
    </w:pPr>
  </w:style>
  <w:style w:type="paragraph" w:styleId="a7">
    <w:name w:val="Normal (Web)"/>
    <w:basedOn w:val="0"/>
    <w:rsid w:val="008C526A"/>
    <w:pPr>
      <w:widowControl/>
      <w:spacing w:before="100" w:beforeAutospacing="1" w:after="100" w:afterAutospacing="1"/>
      <w:jc w:val="left"/>
    </w:pPr>
    <w:rPr>
      <w:rFonts w:ascii="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258B-DC88-4F14-9BD2-BA313D6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16</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83</cp:revision>
  <cp:lastPrinted>2021-04-21T08:01:00Z</cp:lastPrinted>
  <dcterms:created xsi:type="dcterms:W3CDTF">2017-04-12T05:50:00Z</dcterms:created>
  <dcterms:modified xsi:type="dcterms:W3CDTF">2021-07-02T07:57:00Z</dcterms:modified>
</cp:coreProperties>
</file>