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1B6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济宁市港航事业发展中心</w:t>
      </w:r>
    </w:p>
    <w:p w14:paraId="5B922D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 w14:paraId="3C9F37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D456A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本报告由济宁市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港航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事业发展中心按照《中华人民共和国政府信息公开条例》（以下简称《条例》）和《中华人民共和国政府信息公开工作年度报告格式》（国办公开办函〔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2021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〕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30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号）要求编制。</w:t>
      </w:r>
    </w:p>
    <w:p w14:paraId="66F0DF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本报告内容包括总体情况、主动公开政府信息情况、收到和处理政府信息公</w:t>
      </w:r>
      <w:bookmarkStart w:id="1" w:name="_GoBack"/>
      <w:bookmarkEnd w:id="1"/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开申请情况、政府信息公开行政复议和行政诉讼情况、存在的主要问题及改进情况、其他需要报告的事项等六部分内容。</w:t>
      </w:r>
    </w:p>
    <w:p w14:paraId="219F0F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本报告所列数据的统计期限自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2025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1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1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日起至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2025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12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31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日止。本报告电子版可在“中国·济宁”政府门户网站（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http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://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www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jining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gov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cn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/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col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/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col33356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/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index</w:t>
      </w:r>
    </w:p>
    <w:p w14:paraId="0F952F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.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html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?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jh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=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264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）查阅或下载。如对本报告有疑问，请与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济宁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市港航事业发展中心联系（地址：济宁市洸河路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19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号，联系电话：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0537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-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2603869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）。</w:t>
      </w:r>
    </w:p>
    <w:p w14:paraId="70F693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0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一、总体情况</w:t>
      </w:r>
    </w:p>
    <w:p w14:paraId="03A492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1"/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（一）主动公开情况</w:t>
      </w:r>
    </w:p>
    <w:p w14:paraId="4176C3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2025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济宁市港航事业发展中心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完成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政府信息公开发布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26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条，其中</w:t>
      </w:r>
      <w:bookmarkStart w:id="0" w:name="OLE_LINK1"/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更新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政府信息公开指南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次、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领导信息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次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；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公开发布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会议公开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条；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规划计划1条；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重点承诺事项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条；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财政预决算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条；建议提案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其他法定信息5条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。</w:t>
      </w:r>
      <w:bookmarkEnd w:id="0"/>
    </w:p>
    <w:p w14:paraId="7B8511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2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drawing>
          <wp:inline distT="0" distB="0" distL="114300" distR="114300">
            <wp:extent cx="5273675" cy="4184015"/>
            <wp:effectExtent l="0" t="0" r="3175" b="6985"/>
            <wp:docPr id="1" name="图片 1" descr="2025年主动公开信息26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主动公开信息26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D89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outlineLvl w:val="1"/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（二）依申请公开情况</w:t>
      </w:r>
    </w:p>
    <w:p w14:paraId="0D2CFF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度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，市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港航</w:t>
      </w:r>
      <w:r>
        <w:rPr>
          <w:rStyle w:val="5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事业发展中心受理依申请公开0件。</w:t>
      </w:r>
    </w:p>
    <w:p w14:paraId="7C7D19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1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（三）政府信息管理情况</w:t>
      </w:r>
    </w:p>
    <w:p w14:paraId="38D3FA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强化信息公开管理，规范主动公开政府信息、依申请公开政府信息等操作流程，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及时修订中心信息公开指南，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确保信息及时主动公开。</w:t>
      </w:r>
      <w:r>
        <w:rPr>
          <w:rStyle w:val="5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健全政府信息公开属性源头认定机制，将公开属性审核嵌入公文起草</w:t>
      </w:r>
      <w:r>
        <w:rPr>
          <w:rStyle w:val="5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流程</w:t>
      </w:r>
      <w:r>
        <w:rPr>
          <w:rStyle w:val="5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环节，实现“应公开尽公开、应保密尽保密”</w:t>
      </w:r>
      <w:r>
        <w:rPr>
          <w:rStyle w:val="5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5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严格执行信息发布保密审查制度，建立</w:t>
      </w:r>
      <w:r>
        <w:rPr>
          <w:rStyle w:val="5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部室</w:t>
      </w:r>
      <w:r>
        <w:rPr>
          <w:rStyle w:val="5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初审、分管领导复审、主要领导终审</w:t>
      </w:r>
      <w:r>
        <w:rPr>
          <w:rStyle w:val="5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机制</w:t>
      </w:r>
      <w:r>
        <w:rPr>
          <w:rStyle w:val="5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，全年未发生失泄密事件。</w:t>
      </w:r>
    </w:p>
    <w:p w14:paraId="49CDBD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1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（四）政府信息公开平台建设情况</w:t>
      </w:r>
    </w:p>
    <w:p w14:paraId="0B5C04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default"/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持续强化政府网站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及政务新媒体信息发布阵地建设管理，优化升级内容和功能。网站第一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时向公众权威发布港航动态，提供无障碍浏览及长者模式；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新媒体账号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提供及时、准确的航道数据、物流信息、海事船检等港航资讯。全年在网站和新媒体发布各类信息500余条，“港货郎”板块发布物流信息6787条。</w:t>
      </w:r>
    </w:p>
    <w:p w14:paraId="4BD0AE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1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（五）监督保障情况</w:t>
      </w:r>
    </w:p>
    <w:p w14:paraId="45AB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根据人事变动，及时调整了政务公开工作领导小组成员和职责，指定专人负责政务公开日常工作。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月份组织开展了年度培训，进一步明确了政务公开领导小组工作人员的职责，规范了办事流程，强调了公开纪律，有效增强了政务公开意识，高标准完成了全年政府信息公开工作任务。</w:t>
      </w:r>
    </w:p>
    <w:p w14:paraId="3215F1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0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C3AF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115D8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38E99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492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AE0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549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171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6115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D96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75A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E2A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71E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AD5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F47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4B3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6F8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656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A5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E1CE0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0AC4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3C0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9C4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E84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D69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A28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ABE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3B514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756DA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779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FF3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5B2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AC5B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A63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D18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B73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1E2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20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AA90C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6BBD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B87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396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44D0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A06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8BA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AFE46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0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三、行政机关收到和处理政府信息公开申请情况</w:t>
      </w:r>
    </w:p>
    <w:tbl>
      <w:tblPr>
        <w:tblStyle w:val="3"/>
        <w:tblW w:w="8820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5"/>
        <w:gridCol w:w="2880"/>
        <w:gridCol w:w="795"/>
        <w:gridCol w:w="600"/>
        <w:gridCol w:w="585"/>
        <w:gridCol w:w="600"/>
        <w:gridCol w:w="570"/>
        <w:gridCol w:w="555"/>
        <w:gridCol w:w="525"/>
      </w:tblGrid>
      <w:tr w14:paraId="4353D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F4D5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30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0ADC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申请人情况</w:t>
            </w:r>
          </w:p>
        </w:tc>
      </w:tr>
      <w:tr w14:paraId="54364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DF32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91BF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291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2CB0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0E23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</w:tr>
      <w:tr w14:paraId="301FE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F6E5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2173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8D18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商业</w:t>
            </w:r>
          </w:p>
          <w:p w14:paraId="488221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企业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5BB4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科研</w:t>
            </w:r>
          </w:p>
          <w:p w14:paraId="77BA1E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机构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E6FC8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0538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6728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B8DBE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EF4C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59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0A7F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AB60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ADE9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AF2F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700B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FBB6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2360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35EE5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57987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459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994E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9B45B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54C4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EF57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42CF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780A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0E50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69BCC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38729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25D1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0D00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25C7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70D4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ABDC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1DA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F1BE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2568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EA1C1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6D495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8DE2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618B3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4DEA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B9AA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050F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7E9A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E5EA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E514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B763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638EB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B9E5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130B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7F674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1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.属于国家秘密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7697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0B73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630F0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46A7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F4D1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CFF9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B6FBB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17079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1063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FCC3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C2BBB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2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.其他法律行政法规禁止公开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11C7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509F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972B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2728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EBD2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2148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6B71F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15B06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8AC7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6FCB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3AABD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3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.危及“三安全一稳定”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D315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AAA8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6EED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705A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261F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C96C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386A5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7AE8B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F3A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B554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4BDF0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4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.保护第三方合法权益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56D5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4F4E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97F2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E7F2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6E66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407F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E889B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1F3CA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3CB4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5DFB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F4695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5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.属于三类内部事务信息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4A29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6CB0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BD48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3E07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6CDB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0680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CA2FB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70446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FC71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35A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935E8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6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.属于四类过程性信息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90FB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14E2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731A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9E7F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CD10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A8A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90908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04521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9B2C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B2DA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E6F31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7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.属于行政执法案卷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A34A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D3E4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0F48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5E60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737E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CAA4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B1DA8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11131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D152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E7B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DEA0F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8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.属于行政查询事项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27F7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4743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E4A3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F1D4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4F7E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5CA1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4368E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25918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1203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6EB6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F54F5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1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.本机关不掌握相关政府信息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6139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227B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9F57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5BE9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9A13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8CD1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CE6E9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343D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93F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D3A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19BE0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2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.没有现成信息需要另行制作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052F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43DB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6384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2564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EAD5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560A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1DA49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1956B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1D7E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640A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D0BAB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3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.补正后申请内容仍不明确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97957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2E80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8593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E7FB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26E4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2F2C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D8BA2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5A0A3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739C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644B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35466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1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.信访举报投诉类申请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43B7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631C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5361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36F5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E429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406C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6F8BC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1FD12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73E8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6BD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9802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2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.重复申请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FE73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A5D8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6BDB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705A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FD20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4628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74900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4C10F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DBA2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5F3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ABC99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3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.要求提供公开出版物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8319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1389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E478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DA1C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38EE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26FF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54C7C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588F8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C6B9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9FFF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BA78C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4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.无正当理由大量反复申请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84DC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7F93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07AC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5434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A4CC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428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8D073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664DD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7687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0BD5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25C0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5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.要求行政机关确认或重新出具已获取信息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4FAF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7AA3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B7DC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FA2C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D042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591E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5558C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</w:pPr>
          </w:p>
          <w:p w14:paraId="077406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7AA5D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FF41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D9A5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29C1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1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.申请人无正当理由逾期不补正、行政机关不再处理其政府信息公开申请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1009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6A3E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9C8E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266A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1C15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4593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85FBD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</w:pPr>
          </w:p>
          <w:p w14:paraId="75BDCC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00511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A28E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3D2D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15F9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2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D355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8B34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3271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37F6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BAB9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9926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7BEAF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  <w:p w14:paraId="3C4AA0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75063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BC53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4404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F3EA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3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.其他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AC70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43C3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9A10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11AA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62FC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A9AD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934F2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4E584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7218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CF33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3BF3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BB76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B916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DC5E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F81D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BFD1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5B839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 w14:paraId="5426B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B66B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1D2E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2BE6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C45A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187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3BB1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0428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2290B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>0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</w:tbl>
    <w:p w14:paraId="1829A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0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四、因政府信息公开工作被申请行政复议、提起行政诉讼情况</w:t>
      </w:r>
    </w:p>
    <w:tbl>
      <w:tblPr>
        <w:tblStyle w:val="3"/>
        <w:tblW w:w="8805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613"/>
        <w:gridCol w:w="598"/>
        <w:gridCol w:w="583"/>
        <w:gridCol w:w="479"/>
        <w:gridCol w:w="642"/>
        <w:gridCol w:w="642"/>
        <w:gridCol w:w="642"/>
        <w:gridCol w:w="627"/>
        <w:gridCol w:w="450"/>
        <w:gridCol w:w="642"/>
        <w:gridCol w:w="642"/>
        <w:gridCol w:w="642"/>
        <w:gridCol w:w="553"/>
        <w:gridCol w:w="437"/>
      </w:tblGrid>
      <w:tr w14:paraId="564D69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A96D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行政复议</w:t>
            </w:r>
          </w:p>
        </w:tc>
        <w:tc>
          <w:tcPr>
            <w:tcW w:w="592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4FC6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行政诉讼</w:t>
            </w:r>
          </w:p>
        </w:tc>
      </w:tr>
      <w:tr w14:paraId="04A074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E34C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4D95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 w14:paraId="675A7F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56AF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</w:p>
          <w:p w14:paraId="29EF4A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32D8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尚未</w:t>
            </w:r>
          </w:p>
          <w:p w14:paraId="56E60A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9F7E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55F8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未经复议直接起诉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5D8A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复议后起诉</w:t>
            </w:r>
          </w:p>
        </w:tc>
      </w:tr>
      <w:tr w14:paraId="29B883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3C3D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2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812F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2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86D5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2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97BE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2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1B56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2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D8A4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 w14:paraId="2566AC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0B40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 w14:paraId="4916F9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1BAE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</w:p>
          <w:p w14:paraId="4E53FC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70FD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尚未</w:t>
            </w:r>
          </w:p>
          <w:p w14:paraId="75FC24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EAA4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87D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 w14:paraId="065216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4081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 w14:paraId="73C73B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099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</w:p>
          <w:p w14:paraId="3A8027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355A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尚未</w:t>
            </w:r>
          </w:p>
          <w:p w14:paraId="5AAC29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12E9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</w:tr>
      <w:tr w14:paraId="6B39A6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94B8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F16F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B2F9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8500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C73F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F2E0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1F1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FA4E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E658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6412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B09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54C0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8D8F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CBB8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9A38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2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简体" w:cs="Times New Roman"/>
                <w:color w:val="333333"/>
                <w:sz w:val="21"/>
                <w:szCs w:val="21"/>
              </w:rPr>
              <w:t>0</w:t>
            </w:r>
          </w:p>
        </w:tc>
      </w:tr>
    </w:tbl>
    <w:p w14:paraId="668812C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0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政府信息公开工作存在的主要问题及改进情况</w:t>
      </w:r>
    </w:p>
    <w:p w14:paraId="4EB333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2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一年来，在市政府办公室的指导帮助下，我单位政务公开工作持续稳步推进，虽有成绩，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但仍存在一些不足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，主要表现：一是对公开认识不足，专业能力仍需提升；二是公开内容的深度不足，部分重点领域公开不够细化。</w:t>
      </w:r>
    </w:p>
    <w:p w14:paraId="0C5195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2"/>
        <w:rPr>
          <w:rFonts w:hint="default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年，市港航事业发展中心将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持续强化专业队伍建设，建立常态化培训机制，力争邀请行业专家、业务骨干专题授课。深化公开内容，聚焦港航物流贸易与港产城融合等重点战略，细化公开目录，重点公开重大项目建设进度、社会效益等信息，创新公开模式，让公众“看得懂、用得上”。</w:t>
      </w:r>
    </w:p>
    <w:p w14:paraId="72AA7A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0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六、</w:t>
      </w: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其他需要报告的事项</w:t>
      </w:r>
    </w:p>
    <w:p w14:paraId="379A7A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1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（一）依据《政府信息公开信息处理费管理办法》收取信息处理费的情况</w:t>
      </w:r>
    </w:p>
    <w:p w14:paraId="2633B5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2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年，市港航事业发展中心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无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收取信息处理费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的情况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 w14:paraId="6E3DD2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1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）落实上级年度信息公开工作要点情况</w:t>
      </w:r>
    </w:p>
    <w:p w14:paraId="39398C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2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年，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  <w:lang w:val="en-US" w:eastAsia="zh-CN"/>
        </w:rPr>
        <w:t>我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</w:rPr>
        <w:t>中心对照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  <w:lang w:val="en-US" w:eastAsia="zh-CN"/>
        </w:rPr>
        <w:t>省政府办公厅印发的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</w:rPr>
        <w:t>政务公开工作要点，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  <w:lang w:val="en-US" w:eastAsia="zh-CN"/>
        </w:rPr>
        <w:t>严格按照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highlight w:val="none"/>
        </w:rPr>
        <w:t>市委、市政府工作部署，坚决扛牢“走在前、勇争先”使命担当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highlight w:val="none"/>
          <w:lang w:eastAsia="zh-CN"/>
        </w:rPr>
        <w:t>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</w:rPr>
        <w:t>聚焦群众需求，夯实公开基础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  <w:lang w:eastAsia="zh-CN"/>
        </w:rPr>
        <w:t>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</w:rPr>
        <w:t>深化公开内容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  <w:lang w:eastAsia="zh-CN"/>
        </w:rPr>
        <w:t>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  <w:lang w:val="en-US" w:eastAsia="zh-CN"/>
        </w:rPr>
        <w:t>丰富公开形式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highlight w:val="none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高效完成了年度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信息公开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工作任务。10月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份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，中心组织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在职和离退休党员干部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开展了内河航运高质量发展成果展观摩活动。成果展分为京杭大运河历史变迁、济宁内河航运发展历程、涉港涉航县市区发展成果三大板块，通过展板讲解的形式，系统呈现了从古至今济宁内河航运的历史变迁，集中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展示了近年来济宁内河航运发展取得的丰硕成果，全方位展现了港航事业的蓬勃发展态势。</w:t>
      </w:r>
    </w:p>
    <w:p w14:paraId="685786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1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）人大代表建议和政协提案办理结果公开情况</w:t>
      </w:r>
    </w:p>
    <w:p w14:paraId="023577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2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年，市港航事业发展中心共承办市人大代表建议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件，政协提案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件，我中心已按期全部办复，代表和委员满意和基本满意率达到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%。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D691F"/>
    <w:multiLevelType w:val="singleLevel"/>
    <w:tmpl w:val="287D69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jM5NjZmMDViZGRlMDU3NDc1YWI5OWVmMDZkYzIifQ=="/>
    <w:docVar w:name="KSO_WPS_MARK_KEY" w:val="cd73ae92-7622-4a27-90f3-6fb5dd17ebe1"/>
  </w:docVars>
  <w:rsids>
    <w:rsidRoot w:val="00000000"/>
    <w:rsid w:val="0010032A"/>
    <w:rsid w:val="0143513F"/>
    <w:rsid w:val="02AD361F"/>
    <w:rsid w:val="02BC1AB4"/>
    <w:rsid w:val="02D50DC8"/>
    <w:rsid w:val="05A21A10"/>
    <w:rsid w:val="07876DD3"/>
    <w:rsid w:val="09E64164"/>
    <w:rsid w:val="0C644F3A"/>
    <w:rsid w:val="0DFF3329"/>
    <w:rsid w:val="0EA87D44"/>
    <w:rsid w:val="123C65D5"/>
    <w:rsid w:val="12702D87"/>
    <w:rsid w:val="1490670C"/>
    <w:rsid w:val="14AC2898"/>
    <w:rsid w:val="17186743"/>
    <w:rsid w:val="17655383"/>
    <w:rsid w:val="176C7143"/>
    <w:rsid w:val="17E2466E"/>
    <w:rsid w:val="18A87744"/>
    <w:rsid w:val="193547B0"/>
    <w:rsid w:val="198B4C3C"/>
    <w:rsid w:val="1BDA6C2E"/>
    <w:rsid w:val="1C4F16D7"/>
    <w:rsid w:val="1CA76EDA"/>
    <w:rsid w:val="1DF8703A"/>
    <w:rsid w:val="1E4503D6"/>
    <w:rsid w:val="1EB12B65"/>
    <w:rsid w:val="23346C67"/>
    <w:rsid w:val="251E4C45"/>
    <w:rsid w:val="263A15AF"/>
    <w:rsid w:val="26B712CF"/>
    <w:rsid w:val="285B1F7A"/>
    <w:rsid w:val="28EE4750"/>
    <w:rsid w:val="29BA499C"/>
    <w:rsid w:val="2AE928B6"/>
    <w:rsid w:val="2F282CFD"/>
    <w:rsid w:val="2FC075F9"/>
    <w:rsid w:val="300626DC"/>
    <w:rsid w:val="30882DA5"/>
    <w:rsid w:val="31F05010"/>
    <w:rsid w:val="3312392D"/>
    <w:rsid w:val="33694A91"/>
    <w:rsid w:val="342E1F62"/>
    <w:rsid w:val="34B55F89"/>
    <w:rsid w:val="35743075"/>
    <w:rsid w:val="382B5E65"/>
    <w:rsid w:val="387B5434"/>
    <w:rsid w:val="39520EF7"/>
    <w:rsid w:val="3DB974D5"/>
    <w:rsid w:val="3FEEDDE4"/>
    <w:rsid w:val="41654CB4"/>
    <w:rsid w:val="419268FE"/>
    <w:rsid w:val="43380348"/>
    <w:rsid w:val="454837A5"/>
    <w:rsid w:val="48187FCD"/>
    <w:rsid w:val="483B3C1F"/>
    <w:rsid w:val="49FB248F"/>
    <w:rsid w:val="4A543DC8"/>
    <w:rsid w:val="4DC36B0B"/>
    <w:rsid w:val="4E2B2566"/>
    <w:rsid w:val="4E782283"/>
    <w:rsid w:val="4F7015B5"/>
    <w:rsid w:val="54FC02EC"/>
    <w:rsid w:val="55D82081"/>
    <w:rsid w:val="56EE4F2B"/>
    <w:rsid w:val="56F617CA"/>
    <w:rsid w:val="576C0528"/>
    <w:rsid w:val="59644A3A"/>
    <w:rsid w:val="59AF0BA0"/>
    <w:rsid w:val="5A6B7BD1"/>
    <w:rsid w:val="5AA323D6"/>
    <w:rsid w:val="5B252A91"/>
    <w:rsid w:val="5BFE3D7A"/>
    <w:rsid w:val="5DA6534F"/>
    <w:rsid w:val="5FDC410F"/>
    <w:rsid w:val="5FF7FD66"/>
    <w:rsid w:val="6021201E"/>
    <w:rsid w:val="60505E9E"/>
    <w:rsid w:val="615B1D05"/>
    <w:rsid w:val="63972996"/>
    <w:rsid w:val="63EF65C6"/>
    <w:rsid w:val="645263C3"/>
    <w:rsid w:val="6677200C"/>
    <w:rsid w:val="67401089"/>
    <w:rsid w:val="67A11CAC"/>
    <w:rsid w:val="68791E53"/>
    <w:rsid w:val="68F241F9"/>
    <w:rsid w:val="6FB00432"/>
    <w:rsid w:val="70D76F38"/>
    <w:rsid w:val="71426A60"/>
    <w:rsid w:val="72372970"/>
    <w:rsid w:val="723A39CB"/>
    <w:rsid w:val="72E32A52"/>
    <w:rsid w:val="73115E7C"/>
    <w:rsid w:val="75454A9D"/>
    <w:rsid w:val="783542D9"/>
    <w:rsid w:val="79F9A5C6"/>
    <w:rsid w:val="7A830551"/>
    <w:rsid w:val="7B206314"/>
    <w:rsid w:val="7C9A0EDF"/>
    <w:rsid w:val="7D185A54"/>
    <w:rsid w:val="7DE1487C"/>
    <w:rsid w:val="7E2915F9"/>
    <w:rsid w:val="7E37615C"/>
    <w:rsid w:val="7F946173"/>
    <w:rsid w:val="7FFB27A2"/>
    <w:rsid w:val="BDCE6C30"/>
    <w:rsid w:val="BDE75E3D"/>
    <w:rsid w:val="F1F5C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769</Words>
  <Characters>861</Characters>
  <Lines>0</Lines>
  <Paragraphs>0</Paragraphs>
  <TotalTime>33</TotalTime>
  <ScaleCrop>false</ScaleCrop>
  <LinksUpToDate>false</LinksUpToDate>
  <CharactersWithSpaces>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2023-12-12T01:42:00Z</dcterms:created>
  <dc:creator>Administrator</dc:creator>
  <cp:lastModifiedBy>何锐</cp:lastModifiedBy>
  <dcterms:modified xsi:type="dcterms:W3CDTF">2026-01-27T00:27:52Z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1CE8B60463CF45878B41573C4DBAF634_12</vt:lpwstr>
  </property>
  <property fmtid="{D5CDD505-2E9C-101B-9397-08002B2CF9AE}" pid="4" name="KSOTemplateDocerSaveRecord">
    <vt:lpwstr>eyJoZGlkIjoiMDNkMjM5NjZmMDViZGRlMDU3NDc1YWI5OWVmMDZkYzIiLCJ1c2VySWQiOiIxNDc5NTc0NjkxIn0=</vt:lpwstr>
  </property>
</Properties>
</file>