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黑体简体" w:hAnsi="文星标宋" w:eastAsia="方正黑体简体" w:cs="文星标宋"/>
          <w:b/>
          <w:color w:val="000000" w:themeColor="text1"/>
          <w:sz w:val="28"/>
          <w:szCs w:val="28"/>
          <w14:textFill>
            <w14:solidFill>
              <w14:schemeClr w14:val="tx1"/>
            </w14:solidFill>
          </w14:textFill>
        </w:rPr>
      </w:pPr>
      <w:r>
        <w:rPr>
          <w:rFonts w:hint="eastAsia" w:ascii="方正黑体简体" w:hAnsi="文星标宋" w:eastAsia="方正黑体简体" w:cs="文星标宋"/>
          <w:b/>
          <w:color w:val="000000" w:themeColor="text1"/>
          <w:sz w:val="32"/>
          <w:szCs w:val="32"/>
          <w14:textFill>
            <w14:solidFill>
              <w14:schemeClr w14:val="tx1"/>
            </w14:solidFill>
          </w14:textFill>
        </w:rPr>
        <w:t>JNCR—2024—0010009</w:t>
      </w:r>
    </w:p>
    <w:p>
      <w:pPr>
        <w:spacing w:line="600" w:lineRule="exact"/>
        <w:jc w:val="center"/>
        <w:rPr>
          <w:rFonts w:ascii="文星标宋" w:hAnsi="文星标宋" w:eastAsia="文星标宋" w:cs="文星标宋"/>
          <w:color w:val="FF0000"/>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济政发〔2024〕20号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MWFMfTRAQAAzgMAAA4A AABkcnMvZTJvRG9jLnhtbK1TTW/bMAy9D9h/EHRfnAbtVhhxemiaXYotwLYfwEh0LEBfENU4+fej 5DTduksO80GmJPKR75FaPhydFQdMZILv5M1sLgV6FbTx+07++rn5dC8FZfAabPDYyROSfFh9/LAc Y4uLMASrMQkG8dSOsZNDzrFtGlIDOqBZiOj5sg/JQeZt2jc6wcjozjaL+fxzM4akYwoKifh0PV3K M2K6BjD0vVG4DurFoc8TakILmSnRYCLJVa2271Hl731PmIXtJDPNdeUkbO/K2qyW0O4TxMGocwlw TQnvODkwnpNeoNaQQbwk8w+UMyoFCn2eqeCaiUhVhFnczN9p82OAiJULS03xIjr9P1j17bBNwuhO LqTw4Ljhz8ajuC3KjJFadnj023TeUdymQvPYJ1f+TEAcq5qni5p4zELx4d3d/Zw/KdTrXfMWGBPl rxicKEYnLees+sHhmTInY9dXl5LHejHysC6+VDzgseu53QztIpdOfl+DKVijN8baEkJpv3u0SRyA W7/Z1FIm4L/cSpY10DD51atpKAYE/eS1yKfIonh+C7LU4FBLYZGfTrEYENoMxl7jyZysZ2pF1knI Yu2CPlV96zm3uZI/j2SZoz/3NfrtGa5+A1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KJlcBLVAAAA BwEAAA8AAAAAAAAAAQAgAAAAOAAAAGRycy9kb3ducmV2LnhtbFBLAQIUABQAAAAIAIdO4kDFhTH0 0QEAAM4DAAAOAAAAAAAAAAEAIAAAADoBAABkcnMvZTJvRG9jLnhtbFBLBQYAAAAABgAGAFkBAAB9 BQAAAAA= ">
                <v:fill on="f" focussize="0,0"/>
                <v:stroke weight="1pt" color="#FF0000" joinstyle="round"/>
                <v:imagedata o:title=""/>
                <o:lock v:ext="edit" aspectratio="f"/>
              </v:line>
            </w:pict>
          </mc:Fallback>
        </mc:AlternateContent>
      </w:r>
    </w:p>
    <w:p>
      <w:pPr>
        <w:spacing w:line="500" w:lineRule="exact"/>
        <w:jc w:val="center"/>
        <w:rPr>
          <w:rFonts w:ascii="方正小标宋简体" w:hAnsi="文星仿宋" w:eastAsia="方正小标宋简体" w:cs="方正小标宋简体"/>
          <w:b/>
          <w:color w:val="000000"/>
          <w:sz w:val="44"/>
          <w:szCs w:val="44"/>
        </w:rPr>
      </w:pPr>
    </w:p>
    <w:p>
      <w:pPr>
        <w:tabs>
          <w:tab w:val="left" w:pos="8730"/>
        </w:tabs>
        <w:spacing w:line="500" w:lineRule="exact"/>
        <w:ind w:right="-6"/>
        <w:jc w:val="center"/>
        <w:rPr>
          <w:rFonts w:ascii="方正小标宋简体" w:hAnsi="方正小标宋简体" w:eastAsia="方正小标宋简体" w:cs="方正小标宋简体"/>
          <w:b/>
          <w:color w:val="000000"/>
          <w:sz w:val="44"/>
          <w:szCs w:val="44"/>
        </w:rPr>
      </w:pPr>
      <w:bookmarkStart w:id="1" w:name="标题"/>
      <w:bookmarkEnd w:id="1"/>
      <w:r>
        <w:rPr>
          <w:rFonts w:hint="eastAsia" w:ascii="方正小标宋简体" w:hAnsi="方正小标宋简体" w:eastAsia="方正小标宋简体" w:cs="方正小标宋简体"/>
          <w:b/>
          <w:sz w:val="44"/>
          <w:szCs w:val="44"/>
          <w:lang w:bidi="ar"/>
        </w:rPr>
        <w:t>济宁市人民政府</w:t>
      </w:r>
    </w:p>
    <w:p>
      <w:pPr>
        <w:spacing w:line="500" w:lineRule="exact"/>
        <w:jc w:val="center"/>
        <w:rPr>
          <w:rFonts w:ascii="方正小标宋简体" w:hAnsi="文星仿宋" w:eastAsia="方正小标宋简体" w:cs="方正小标宋简体"/>
          <w:b/>
          <w:sz w:val="44"/>
          <w:szCs w:val="44"/>
        </w:rPr>
      </w:pPr>
      <w:bookmarkStart w:id="2" w:name="BKsubject"/>
      <w:r>
        <w:rPr>
          <w:rFonts w:hint="eastAsia" w:ascii="方正小标宋简体" w:hAnsi="文星仿宋" w:eastAsia="方正小标宋简体" w:cs="方正小标宋简体"/>
          <w:b/>
          <w:sz w:val="44"/>
          <w:szCs w:val="44"/>
          <w:lang w:bidi="ar"/>
        </w:rPr>
        <w:t>关于印发《济宁市中小学生校外托管场所食品安全监督管理办法》的通知</w:t>
      </w:r>
      <w:bookmarkEnd w:id="2"/>
    </w:p>
    <w:p>
      <w:pPr>
        <w:spacing w:line="500" w:lineRule="exact"/>
        <w:rPr>
          <w:rFonts w:ascii="方正仿宋简体" w:hAnsi="文星仿宋" w:eastAsia="方正仿宋简体" w:cs="方正仿宋简体"/>
          <w:b/>
          <w:color w:val="000000"/>
        </w:rPr>
      </w:pPr>
    </w:p>
    <w:p>
      <w:pPr>
        <w:spacing w:line="500" w:lineRule="exact"/>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各县（市、区）人民政府，</w:t>
      </w:r>
      <w:r>
        <w:rPr>
          <w:rFonts w:ascii="方正仿宋简体" w:hAnsi="方正仿宋简体" w:eastAsia="方正仿宋简体" w:cs="方正仿宋简体"/>
          <w:b/>
          <w:sz w:val="32"/>
          <w:szCs w:val="32"/>
        </w:rPr>
        <w:t>济宁</w:t>
      </w:r>
      <w:r>
        <w:rPr>
          <w:rFonts w:hint="eastAsia" w:ascii="方正仿宋简体" w:hAnsi="方正仿宋简体" w:eastAsia="方正仿宋简体" w:cs="方正仿宋简体"/>
          <w:b/>
          <w:sz w:val="32"/>
          <w:szCs w:val="32"/>
        </w:rPr>
        <w:t>高新区、太白湖新区、</w:t>
      </w:r>
      <w:r>
        <w:rPr>
          <w:rFonts w:ascii="方正仿宋简体" w:hAnsi="方正仿宋简体" w:eastAsia="方正仿宋简体" w:cs="方正仿宋简体"/>
          <w:b/>
          <w:sz w:val="32"/>
          <w:szCs w:val="32"/>
        </w:rPr>
        <w:t>济宁</w:t>
      </w:r>
      <w:r>
        <w:rPr>
          <w:rFonts w:hint="eastAsia" w:ascii="方正仿宋简体" w:hAnsi="方正仿宋简体" w:eastAsia="方正仿宋简体" w:cs="方正仿宋简体"/>
          <w:b/>
          <w:sz w:val="32"/>
          <w:szCs w:val="32"/>
        </w:rPr>
        <w:t>经济技术开发区管委会，市政府</w:t>
      </w:r>
      <w:r>
        <w:rPr>
          <w:rFonts w:ascii="方正仿宋简体" w:hAnsi="方正仿宋简体" w:eastAsia="方正仿宋简体" w:cs="方正仿宋简体"/>
          <w:b/>
          <w:sz w:val="32"/>
          <w:szCs w:val="32"/>
        </w:rPr>
        <w:t>有关部门、单位</w:t>
      </w:r>
      <w:r>
        <w:rPr>
          <w:rFonts w:hint="eastAsia" w:ascii="方正仿宋简体" w:hAnsi="方正仿宋简体" w:eastAsia="方正仿宋简体" w:cs="方正仿宋简体"/>
          <w:b/>
          <w:sz w:val="32"/>
          <w:szCs w:val="32"/>
        </w:rPr>
        <w:t>：</w:t>
      </w:r>
    </w:p>
    <w:p>
      <w:pPr>
        <w:spacing w:line="500" w:lineRule="exact"/>
        <w:ind w:firstLine="642"/>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现将《济宁市中小学生校外托管场所食品安全监督管理办法》印发给你们，请按照要求抓好贯彻落实。</w:t>
      </w:r>
    </w:p>
    <w:p>
      <w:pPr>
        <w:spacing w:line="520" w:lineRule="exact"/>
        <w:ind w:firstLine="641"/>
        <w:rPr>
          <w:rFonts w:ascii="方正仿宋简体" w:hAnsi="方正仿宋简体" w:eastAsia="方正仿宋简体" w:cs="方正仿宋简体"/>
          <w:b/>
          <w:sz w:val="32"/>
          <w:szCs w:val="32"/>
        </w:rPr>
      </w:pPr>
    </w:p>
    <w:p>
      <w:pPr>
        <w:spacing w:line="520" w:lineRule="exact"/>
        <w:ind w:firstLine="641"/>
        <w:rPr>
          <w:rFonts w:ascii="方正仿宋简体" w:hAnsi="方正仿宋简体" w:eastAsia="方正仿宋简体" w:cs="方正仿宋简体"/>
          <w:b/>
          <w:sz w:val="32"/>
          <w:szCs w:val="32"/>
        </w:rPr>
      </w:pPr>
    </w:p>
    <w:p>
      <w:pPr>
        <w:spacing w:line="520" w:lineRule="exact"/>
        <w:ind w:firstLine="641"/>
        <w:rPr>
          <w:rFonts w:ascii="方正仿宋简体" w:hAnsi="方正仿宋简体" w:eastAsia="方正仿宋简体" w:cs="方正仿宋简体"/>
          <w:b/>
          <w:sz w:val="32"/>
          <w:szCs w:val="32"/>
        </w:rPr>
      </w:pPr>
    </w:p>
    <w:p>
      <w:pPr>
        <w:wordWrap w:val="0"/>
        <w:spacing w:line="600" w:lineRule="exact"/>
        <w:ind w:firstLine="642"/>
        <w:jc w:val="right"/>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 xml:space="preserve">                     济宁市人民政府        </w:t>
      </w:r>
    </w:p>
    <w:p>
      <w:pPr>
        <w:spacing w:line="600" w:lineRule="exact"/>
        <w:ind w:firstLine="642"/>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 xml:space="preserve">                            2024年12月23日</w:t>
      </w:r>
    </w:p>
    <w:p>
      <w:pPr>
        <w:spacing w:line="600" w:lineRule="exact"/>
        <w:ind w:firstLine="642"/>
        <w:rPr>
          <w:rFonts w:ascii="方正仿宋简体" w:hAnsi="方正仿宋简体" w:eastAsia="方正仿宋简体" w:cs="方正仿宋简体"/>
          <w:b/>
          <w:sz w:val="32"/>
          <w:szCs w:val="32"/>
        </w:rPr>
      </w:pPr>
      <w:r>
        <w:rPr>
          <w:rFonts w:hint="eastAsia" w:ascii="方正仿宋简体" w:hAnsi="文星仿宋" w:eastAsia="方正仿宋简体" w:cs="方正仿宋简体"/>
          <w:b/>
          <w:color w:val="000000"/>
          <w:sz w:val="32"/>
          <w:szCs w:val="32"/>
          <w:lang w:bidi="ar"/>
        </w:rPr>
        <w:t>（此件公开发布）</w:t>
      </w:r>
    </w:p>
    <w:p>
      <w:pPr>
        <w:spacing w:line="600" w:lineRule="exact"/>
        <w:rPr>
          <w:rFonts w:ascii="方正仿宋简体" w:hAnsi="方正仿宋简体" w:eastAsia="方正仿宋简体" w:cs="方正仿宋简体"/>
          <w:b/>
          <w:sz w:val="32"/>
          <w:szCs w:val="32"/>
        </w:rPr>
      </w:pPr>
    </w:p>
    <w:p>
      <w:pPr>
        <w:spacing w:line="600" w:lineRule="exact"/>
        <w:jc w:val="center"/>
        <w:rPr>
          <w:rFonts w:ascii="方正小标宋简体" w:hAnsi="方正仿宋简体" w:eastAsia="方正小标宋简体" w:cs="方正仿宋简体"/>
          <w:b/>
          <w:sz w:val="44"/>
          <w:szCs w:val="44"/>
        </w:rPr>
      </w:pPr>
      <w:r>
        <w:rPr>
          <w:rFonts w:hint="eastAsia" w:ascii="方正小标宋简体" w:hAnsi="方正仿宋简体" w:eastAsia="方正小标宋简体" w:cs="方正仿宋简体"/>
          <w:b/>
          <w:sz w:val="44"/>
          <w:szCs w:val="44"/>
        </w:rPr>
        <w:t>济宁市中小学生校外托管场所</w:t>
      </w:r>
    </w:p>
    <w:p>
      <w:pPr>
        <w:spacing w:line="600" w:lineRule="exact"/>
        <w:jc w:val="center"/>
        <w:rPr>
          <w:rFonts w:ascii="方正小标宋简体" w:hAnsi="方正仿宋简体" w:eastAsia="方正小标宋简体" w:cs="方正仿宋简体"/>
          <w:b/>
          <w:sz w:val="44"/>
          <w:szCs w:val="44"/>
        </w:rPr>
      </w:pPr>
      <w:r>
        <w:rPr>
          <w:rFonts w:hint="eastAsia" w:ascii="方正小标宋简体" w:hAnsi="方正仿宋简体" w:eastAsia="方正小标宋简体" w:cs="方正仿宋简体"/>
          <w:b/>
          <w:sz w:val="44"/>
          <w:szCs w:val="44"/>
        </w:rPr>
        <w:t>食品安全监督管理办法</w:t>
      </w:r>
    </w:p>
    <w:p>
      <w:pPr>
        <w:spacing w:line="600" w:lineRule="exact"/>
        <w:ind w:firstLine="642"/>
        <w:rPr>
          <w:rFonts w:ascii="方正仿宋简体" w:hAnsi="方正仿宋简体" w:eastAsia="方正仿宋简体" w:cs="方正仿宋简体"/>
          <w:b/>
          <w:sz w:val="32"/>
          <w:szCs w:val="32"/>
        </w:rPr>
      </w:pPr>
    </w:p>
    <w:p>
      <w:pPr>
        <w:spacing w:line="600" w:lineRule="exact"/>
        <w:ind w:firstLine="642"/>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 xml:space="preserve">第一条 </w:t>
      </w:r>
      <w:r>
        <w:rPr>
          <w:rFonts w:hint="eastAsia" w:ascii="方正仿宋简体" w:hAnsi="方正仿宋简体" w:eastAsia="方正仿宋简体" w:cs="方正仿宋简体"/>
          <w:b/>
          <w:sz w:val="32"/>
          <w:szCs w:val="32"/>
        </w:rPr>
        <w:t xml:space="preserve"> 为进一步加强中小学生校外托管场所食品安全管理工作，保障广大中小学生饮食安全，根据《中华人民共和国食品安全法》《中华人民共和国反食品浪费法》《山东省食品安全条例》《山东省食品小作坊小餐饮和食品摊点管理条例》《食品经营许可和备案管理办法》等有关规定要求，结合我市实际，制定本办法。</w:t>
      </w:r>
    </w:p>
    <w:p>
      <w:pPr>
        <w:spacing w:line="600" w:lineRule="exact"/>
        <w:ind w:firstLine="642"/>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 xml:space="preserve">第二条 </w:t>
      </w:r>
      <w:r>
        <w:rPr>
          <w:rFonts w:hint="eastAsia" w:ascii="方正仿宋简体" w:hAnsi="方正仿宋简体" w:eastAsia="方正仿宋简体" w:cs="方正仿宋简体"/>
          <w:b/>
          <w:sz w:val="32"/>
          <w:szCs w:val="32"/>
        </w:rPr>
        <w:t xml:space="preserve"> 本办法所称中小学生校外托管场所，是指公民、法人或者其他组织在校外开办并依法登记，受学生监护人的委托，在非在校时段为中小学生提供接送、休息、看护等校外托管服务，并提供餐饮服务的固定场所。</w:t>
      </w:r>
    </w:p>
    <w:p>
      <w:pPr>
        <w:spacing w:line="600" w:lineRule="exact"/>
        <w:ind w:firstLine="642"/>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第三条</w:t>
      </w:r>
      <w:r>
        <w:rPr>
          <w:rFonts w:hint="eastAsia" w:ascii="方正仿宋简体" w:hAnsi="方正仿宋简体" w:eastAsia="方正仿宋简体" w:cs="方正仿宋简体"/>
          <w:b/>
          <w:sz w:val="32"/>
          <w:szCs w:val="32"/>
        </w:rPr>
        <w:t xml:space="preserve">  县级市场监督管理部门承担中小学生校外托管场所的食品安全监督管理具体工作。</w:t>
      </w:r>
    </w:p>
    <w:p>
      <w:pPr>
        <w:spacing w:line="600" w:lineRule="exact"/>
        <w:ind w:firstLine="642"/>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 xml:space="preserve">第四条 </w:t>
      </w:r>
      <w:r>
        <w:rPr>
          <w:rFonts w:hint="eastAsia" w:ascii="方正仿宋简体" w:hAnsi="方正仿宋简体" w:eastAsia="方正仿宋简体" w:cs="方正仿宋简体"/>
          <w:b/>
          <w:sz w:val="32"/>
          <w:szCs w:val="32"/>
        </w:rPr>
        <w:t xml:space="preserve"> 营利性中小学生校外托管场所应当依法办理营业执照，非营利性中小学生校外托管场所应当依法办理民办非企业单位登记。中小学生校外托管场所从事餐饮服务活动应当依法取得食品经营许可。</w:t>
      </w:r>
    </w:p>
    <w:p>
      <w:pPr>
        <w:spacing w:line="580" w:lineRule="exact"/>
        <w:ind w:firstLine="641"/>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 xml:space="preserve">第五条 </w:t>
      </w:r>
      <w:r>
        <w:rPr>
          <w:rFonts w:hint="eastAsia" w:ascii="方正仿宋简体" w:hAnsi="方正仿宋简体" w:eastAsia="方正仿宋简体" w:cs="方正仿宋简体"/>
          <w:b/>
          <w:sz w:val="32"/>
          <w:szCs w:val="32"/>
        </w:rPr>
        <w:t xml:space="preserve"> 行政审批服务部门依照法定职责负责中小学生校外托管场所的登记和食品经营许可工作。</w:t>
      </w:r>
    </w:p>
    <w:p>
      <w:pPr>
        <w:spacing w:line="600" w:lineRule="exact"/>
        <w:ind w:firstLine="642"/>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外商投资企业登记管理工作由市场监管部门依照法定职责负责。</w:t>
      </w:r>
    </w:p>
    <w:p>
      <w:pPr>
        <w:spacing w:line="600" w:lineRule="exact"/>
        <w:ind w:firstLine="642"/>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第六条</w:t>
      </w:r>
      <w:r>
        <w:rPr>
          <w:rFonts w:hint="eastAsia" w:ascii="方正仿宋简体" w:hAnsi="方正仿宋简体" w:eastAsia="方正仿宋简体" w:cs="方正仿宋简体"/>
          <w:b/>
          <w:sz w:val="32"/>
          <w:szCs w:val="32"/>
        </w:rPr>
        <w:t xml:space="preserve">  中小学生校外托管场所开办者作为食品安全的第一责任人，应当严格落实食品安全主体责任，依照法律、法规、规章、食品安全标准等规定从事餐饮服务活动，保证食品安全，接受社会监督。</w:t>
      </w:r>
    </w:p>
    <w:p>
      <w:pPr>
        <w:spacing w:line="600" w:lineRule="exact"/>
        <w:ind w:firstLine="642"/>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第七条</w:t>
      </w:r>
      <w:r>
        <w:rPr>
          <w:rFonts w:hint="eastAsia" w:ascii="方正仿宋简体" w:hAnsi="方正仿宋简体" w:eastAsia="方正仿宋简体" w:cs="方正仿宋简体"/>
          <w:b/>
          <w:sz w:val="32"/>
          <w:szCs w:val="32"/>
        </w:rPr>
        <w:t xml:space="preserve">  中小学生校外托管场所食品加工制作及用餐场所食品安全应当符合《餐饮服务通用卫生规范（GB31654</w:t>
      </w:r>
      <w:r>
        <w:rPr>
          <w:rFonts w:hint="default" w:ascii="方正仿宋简体" w:hAnsi="方正仿宋简体" w:eastAsia="方正仿宋简体" w:cs="方正仿宋简体"/>
          <w:b/>
          <w:sz w:val="32"/>
          <w:szCs w:val="32"/>
        </w:rPr>
        <w:t>—</w:t>
      </w:r>
      <w:bookmarkStart w:id="4" w:name="_GoBack"/>
      <w:bookmarkEnd w:id="4"/>
      <w:r>
        <w:rPr>
          <w:rFonts w:hint="eastAsia" w:ascii="方正仿宋简体" w:hAnsi="方正仿宋简体" w:eastAsia="方正仿宋简体" w:cs="方正仿宋简体"/>
          <w:b/>
          <w:sz w:val="32"/>
          <w:szCs w:val="32"/>
        </w:rPr>
        <w:t>2021）》等要求。</w:t>
      </w:r>
    </w:p>
    <w:p>
      <w:pPr>
        <w:spacing w:line="600" w:lineRule="exact"/>
        <w:ind w:firstLine="642"/>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 xml:space="preserve">第八条 </w:t>
      </w:r>
      <w:r>
        <w:rPr>
          <w:rFonts w:hint="eastAsia" w:ascii="方正仿宋简体" w:hAnsi="方正仿宋简体" w:eastAsia="方正仿宋简体" w:cs="方正仿宋简体"/>
          <w:b/>
          <w:sz w:val="32"/>
          <w:szCs w:val="32"/>
        </w:rPr>
        <w:t xml:space="preserve"> 中小学生校外托管场所发生食品安全事故的，应当立即采取措施，防止事故扩大，并按规定及时向事故发生地县级人民政府食品安全监督管理、卫生行政部门报告。</w:t>
      </w:r>
    </w:p>
    <w:p>
      <w:pPr>
        <w:spacing w:line="600" w:lineRule="exact"/>
        <w:ind w:firstLine="642"/>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第九条</w:t>
      </w:r>
      <w:r>
        <w:rPr>
          <w:rFonts w:hint="eastAsia" w:ascii="方正仿宋简体" w:hAnsi="方正仿宋简体" w:eastAsia="方正仿宋简体" w:cs="方正仿宋简体"/>
          <w:b/>
          <w:sz w:val="32"/>
          <w:szCs w:val="32"/>
        </w:rPr>
        <w:t xml:space="preserve">  有条件的中小学生校外托管场所宜做到明厨亮灶，公开食品加工过程。鼓励运用互联网等信息化手段，加强对食品来源、采购、加工制作全过程的管控。</w:t>
      </w:r>
    </w:p>
    <w:p>
      <w:pPr>
        <w:spacing w:line="600" w:lineRule="exact"/>
        <w:ind w:firstLine="642"/>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 xml:space="preserve">第十条 </w:t>
      </w:r>
      <w:r>
        <w:rPr>
          <w:rFonts w:hint="eastAsia" w:ascii="方正仿宋简体" w:hAnsi="方正仿宋简体" w:eastAsia="方正仿宋简体" w:cs="方正仿宋简体"/>
          <w:b/>
          <w:sz w:val="32"/>
          <w:szCs w:val="32"/>
        </w:rPr>
        <w:t xml:space="preserve"> 中小学生校外托管场所应当依法采取有效措施，防止食品浪费。</w:t>
      </w:r>
    </w:p>
    <w:p>
      <w:pPr>
        <w:spacing w:line="600" w:lineRule="exact"/>
        <w:ind w:firstLine="642"/>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 xml:space="preserve">第十一条 </w:t>
      </w:r>
      <w:r>
        <w:rPr>
          <w:rFonts w:hint="eastAsia" w:ascii="方正仿宋简体" w:hAnsi="方正仿宋简体" w:eastAsia="方正仿宋简体" w:cs="方正仿宋简体"/>
          <w:b/>
          <w:sz w:val="32"/>
          <w:szCs w:val="32"/>
        </w:rPr>
        <w:t xml:space="preserve"> 县级市场监督管理部门应当加强对中小学生校外托管场所开办者、从业人员食品安全知识的培训，提高其食品安全保障能力。</w:t>
      </w:r>
    </w:p>
    <w:p>
      <w:pPr>
        <w:spacing w:line="580" w:lineRule="exact"/>
        <w:ind w:firstLine="641"/>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第十二条</w:t>
      </w:r>
      <w:r>
        <w:rPr>
          <w:rFonts w:hint="eastAsia" w:ascii="方正仿宋简体" w:hAnsi="方正仿宋简体" w:eastAsia="方正仿宋简体" w:cs="方正仿宋简体"/>
          <w:b/>
          <w:sz w:val="32"/>
          <w:szCs w:val="32"/>
        </w:rPr>
        <w:t xml:space="preserve">  本办法自2025年1月25日起施行，有效期至2029年1月24日。</w:t>
      </w:r>
    </w:p>
    <w:p>
      <w:pPr>
        <w:spacing w:line="600" w:lineRule="exact"/>
        <w:ind w:firstLine="642"/>
        <w:rPr>
          <w:rFonts w:ascii="方正仿宋简体" w:hAnsi="方正仿宋简体" w:eastAsia="方正仿宋简体" w:cs="方正仿宋简体"/>
          <w:b/>
          <w:spacing w:val="6"/>
          <w:sz w:val="32"/>
          <w:szCs w:val="32"/>
        </w:rPr>
      </w:pPr>
    </w:p>
    <w:p>
      <w:pPr>
        <w:spacing w:line="600" w:lineRule="exact"/>
        <w:ind w:firstLine="642"/>
        <w:rPr>
          <w:rFonts w:ascii="方正仿宋简体" w:hAnsi="方正仿宋简体" w:eastAsia="方正仿宋简体" w:cs="方正仿宋简体"/>
          <w:b/>
          <w:spacing w:val="6"/>
          <w:sz w:val="32"/>
          <w:szCs w:val="32"/>
        </w:rPr>
      </w:pPr>
    </w:p>
    <w:p>
      <w:pPr>
        <w:spacing w:line="600" w:lineRule="exact"/>
        <w:ind w:firstLine="642"/>
        <w:rPr>
          <w:rFonts w:ascii="方正仿宋简体" w:hAnsi="方正仿宋简体" w:eastAsia="方正仿宋简体" w:cs="方正仿宋简体"/>
          <w:b/>
          <w:spacing w:val="6"/>
          <w:sz w:val="32"/>
          <w:szCs w:val="32"/>
        </w:rPr>
      </w:pPr>
    </w:p>
    <w:p>
      <w:pPr>
        <w:spacing w:line="600" w:lineRule="exact"/>
        <w:ind w:firstLine="642"/>
        <w:rPr>
          <w:rFonts w:ascii="方正仿宋简体" w:hAnsi="方正仿宋简体" w:eastAsia="方正仿宋简体" w:cs="方正仿宋简体"/>
          <w:b/>
          <w:spacing w:val="6"/>
          <w:sz w:val="32"/>
          <w:szCs w:val="32"/>
        </w:rPr>
      </w:pPr>
      <w:r>
        <w:rPr>
          <w:rFonts w:ascii="方正仿宋简体" w:hAnsi="方正仿宋简体" w:eastAsia="方正仿宋简体" w:cs="方正仿宋简体"/>
          <w:b/>
          <w:spacing w:val="6"/>
          <w:sz w:val="32"/>
          <w:szCs w:val="32"/>
        </w:rPr>
        <w:cr/>
      </w:r>
    </w:p>
    <w:p>
      <w:pPr>
        <w:spacing w:line="600" w:lineRule="exact"/>
        <w:ind w:firstLine="642"/>
        <w:rPr>
          <w:rFonts w:ascii="方正仿宋简体" w:hAnsi="方正仿宋简体" w:eastAsia="方正仿宋简体" w:cs="方正仿宋简体"/>
          <w:b/>
          <w:spacing w:val="6"/>
          <w:sz w:val="32"/>
          <w:szCs w:val="32"/>
        </w:rPr>
      </w:pPr>
    </w:p>
    <w:p>
      <w:pPr>
        <w:spacing w:line="600" w:lineRule="exact"/>
        <w:ind w:firstLine="642"/>
        <w:rPr>
          <w:rFonts w:ascii="方正仿宋简体" w:hAnsi="方正仿宋简体" w:eastAsia="方正仿宋简体" w:cs="方正仿宋简体"/>
          <w:b/>
          <w:spacing w:val="6"/>
          <w:sz w:val="32"/>
          <w:szCs w:val="32"/>
        </w:rPr>
      </w:pPr>
    </w:p>
    <w:p>
      <w:pPr>
        <w:spacing w:line="600" w:lineRule="exact"/>
        <w:ind w:firstLine="642"/>
        <w:rPr>
          <w:rFonts w:ascii="方正仿宋简体" w:hAnsi="方正仿宋简体" w:eastAsia="方正仿宋简体" w:cs="方正仿宋简体"/>
          <w:b/>
          <w:spacing w:val="6"/>
          <w:sz w:val="32"/>
          <w:szCs w:val="32"/>
        </w:rPr>
      </w:pPr>
      <w:r>
        <w:rPr>
          <w:rFonts w:ascii="方正仿宋简体" w:hAnsi="方正仿宋简体" w:eastAsia="方正仿宋简体" w:cs="方正仿宋简体"/>
          <w:b/>
          <w:spacing w:val="6"/>
          <w:sz w:val="32"/>
          <w:szCs w:val="32"/>
        </w:rPr>
        <w:cr/>
      </w:r>
    </w:p>
    <w:p>
      <w:pPr>
        <w:spacing w:line="600" w:lineRule="exact"/>
        <w:ind w:firstLine="642"/>
        <w:rPr>
          <w:rFonts w:ascii="方正仿宋简体" w:hAnsi="方正仿宋简体" w:eastAsia="方正仿宋简体" w:cs="方正仿宋简体"/>
          <w:b/>
          <w:spacing w:val="6"/>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S7cl/0gEAAM4DAAAO AAAAZHJzL2Uyb0RvYy54bWytU01v2zAMvQ/YfxB0X+xm7ToYcXpo1l2KrcC2H8BIdCxAXxDVOPn3 o+Q03bpLDvNBpiTyke+RWt0dnBV7TGSC7+XVopUCvQra+F0vf/18+PBZCsrgNdjgsZdHJHm3fv9u NcUOl2EMVmMSDOKpm2Ivx5xj1zSkRnRAixDR8+UQkoPM27RrdIKJ0Z1tlm37qZlC0jEFhUR8upkv 5QkxXQIYhsEo3AT17NDnGTWhhcyUaDSR5LpWOwyo8vdhIMzC9pKZ5rpyEra3ZW3WK+h2CeJo1KkE uKSEN5wcGM9Jz1AbyCCek/kHyhmVAoUhL1RwzUykKsIsrto32vwYIWLlwlJTPItO/w9Wfds/JWF0 Lz9K4cFxwx+NR3FblJkidexw75/SaUfxKRWahyG58mcC4lDVPJ7VxEMWig9vbq6v25aFVi93zWtg TJS/YnCiGL20nLPqB/tHypyMXV9cSh7rxcTDuryteMBjN3C7GdpFLp38rgZTsEY/GGtLCKXd9t4m sYfS+voVTgz8l1vJsgEaZ796NQ/FiKC/eC3yMbIont+CLDU41FJY5KdTLAaELoOxl3hyauu5giLr LGSxtkEfq771nNtcazyNZJmjP/c1+vUZrn8D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Rh/g1dYA AAAGAQAADwAAAAAAAAABACAAAAA4AAAAZHJzL2Rvd25yZXYueG1sUEsBAhQAFAAAAAgAh07iQJLt yX/SAQAAzgMAAA4AAAAAAAAAAQAgAAAAOwEAAGRycy9lMm9Eb2MueG1sUEsFBgAAAAAGAAYAWQEA AH8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5"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3"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233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AL/WWn0gEAAM4DAAAO AAAAZHJzL2Uyb0RvYy54bWytU01v2zAMvQ/YfxB0X+wG6T6MOD006y7FFmDdD1AkyhagL4hqnPz7 UXKabt0lh/kgUxL5yPdIre+OzrIDJDTB9/xm0XIGXgZl/NDzX08PHz5zhll4JWzw0PMTIL/bvH+3 nmIHyzAGqyAxAvHYTbHnY86xaxqUIziBixDB06UOyYlM2zQ0KomJ0J1tlm37sZlCUjEFCYh0up0v +RkxXQMYtDYStkE+O/B5Rk1gRSZKOJqIfFOr1Rpk/qE1Qma258Q015WSkL0va7NZi25IIo5GnksQ 15TwhpMTxlPSC9RWZMGek/kHyhmZAgadFzK4ZiZSFSEWN+0bbX6OIkLlQlJjvIiO/w9Wfj/sEjOq 5yvOvHDU8EfjgX0pykwRO3K497t03mHcpULzqJMrfyLAjlXN00VNOGYm6fD2drVqWxJavtw1r4Ex Yf4GwbFi9NxSzqqfODxipmTk+uJS8ljPJhrW5aeKJ2jsNLWboF2k0tEPNRiDNerBWFtCMA37e5vY QZTW169wIuC/3EqWrcBx9qtX81CMINRXr1g+RRLF01vgpQYHijML9HSKRYCiy8LYazwptfVUQZF1 FrJY+6BOVd96Tm2uNZ5HsszRn/sa/foMN78B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9UyYONYA AAAGAQAADwAAAAAAAAABACAAAAA4AAAAZHJzL2Rvd25yZXYueG1sUEsBAhQAFAAAAAgAh07iQAv9 ZafSAQAAzgMAAA4AAAAAAAAAAQAgAAAAOwEAAGRycy9lMm9Eb2MueG1sUEsFBgAAAAAGAAYAWQEA AH8FA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DIPtTnRAQAAzgMAAA4A AABkcnMvZTJvRG9jLnhtbK1TTW/bMAy9D9h/EHRf7AbtVhhxemjWXYotwLYfwEh0LEBfENU4+fej 5DRdu0sP80GmJPKR75Fa3R2dFQdMZILv5dWilQK9Ctr4fS9//3r4dCsFZfAabPDYyxOSvFt//LCa YofLMAarMQkG8dRNsZdjzrFrGlIjOqBFiOj5cgjJQeZt2jc6wcTozjbLtv3cTCHpmIJCIj7dzJfy jJjeAxiGwSjcBPXk0OcZNaGFzJRoNJHkulY7DKjyj2EgzML2kpnmunIStndlbdYr6PYJ4mjUuQR4 TwlvODkwnpNeoDaQQTwl8w+UMyoFCkNeqOCamUhVhFlctW+0+TlCxMqFpaZ4EZ3+H6z6ftgmYTRP ghQeHDf80XgUt0WZKVLHDvd+m847ittUaB6H5MqfCYhjVfN0UROPWSg+vLm5vm5bFlo93zUvgTFR /obBiWL00nLOqh8cHilzMnZ9dil5rBcTl7j8UvGAx27gdjO0i1w6+X0NpmCNfjDWlhBK+929TeIA pfX1K5wY+JVbybIBGme/ejUPxYigv3ot8imyKJ7fgiw1ONRSWOSnUywGhC6Dse/x5NTWcwVF1lnI Yu2CPlV96zm3udZ4HskyR3/va/TLM1z/AV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HLzmarVAAAA BgEAAA8AAAAAAAAAAQAgAAAAOAAAAGRycy9kb3ducmV2LnhtbFBLAQIUABQAAAAIAIdO4kAyD7U5 0QEAAM4DAAAOAAAAAAAAAAEAIAAAADoBAABkcnMvZTJvRG9jLnhtbFBLBQYAAAAABgAGAFkBAAB9 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2024年12月23日印发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方正仿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 w:name="文星标宋">
    <w:altName w:val="宋体"/>
    <w:panose1 w:val="00000000000000000000"/>
    <w:charset w:val="86"/>
    <w:family w:val="auto"/>
    <w:pitch w:val="default"/>
    <w:sig w:usb0="00000000" w:usb1="00000000" w:usb2="0000001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Noto Sans Symbols2">
    <w:panose1 w:val="020B0502040504020204"/>
    <w:charset w:val="00"/>
    <w:family w:val="auto"/>
    <w:pitch w:val="default"/>
    <w:sig w:usb0="80000003" w:usb1="0200E3E4" w:usb2="00040020" w:usb3="0580A048" w:csb0="0000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4 -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1" w:edit="readOnly" w:salt="pmSZ9CZFu4dWNir+woEv4Q==" w:hash="zJiyLbgnkTghbRIq+7GHZjzf9uwImNvYr/lJsK7jgeZSMz7uCX65ceYCbiYAoKQAdtIYyEZ0qBlkw5OVwyMBHw=="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03AA7"/>
    <w:rsid w:val="002C2DD0"/>
    <w:rsid w:val="003F5732"/>
    <w:rsid w:val="00407532"/>
    <w:rsid w:val="00477AA5"/>
    <w:rsid w:val="004E5E23"/>
    <w:rsid w:val="005648C1"/>
    <w:rsid w:val="006B328E"/>
    <w:rsid w:val="00711F93"/>
    <w:rsid w:val="00774CDD"/>
    <w:rsid w:val="0085342D"/>
    <w:rsid w:val="00A13BCC"/>
    <w:rsid w:val="00A16746"/>
    <w:rsid w:val="00A813F9"/>
    <w:rsid w:val="00B73BF5"/>
    <w:rsid w:val="00B87D81"/>
    <w:rsid w:val="00CF697A"/>
    <w:rsid w:val="00D15811"/>
    <w:rsid w:val="00D85FDE"/>
    <w:rsid w:val="00E06F7C"/>
    <w:rsid w:val="00E64922"/>
    <w:rsid w:val="00E703C6"/>
    <w:rsid w:val="00EB221F"/>
    <w:rsid w:val="00F70E70"/>
    <w:rsid w:val="3FECD483"/>
    <w:rsid w:val="6FB7197F"/>
    <w:rsid w:val="77EF1D70"/>
    <w:rsid w:val="78F514BC"/>
    <w:rsid w:val="7DD432CA"/>
    <w:rsid w:val="7F595842"/>
    <w:rsid w:val="FC3E7450"/>
    <w:rsid w:val="FEFB15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1"/>
    <w:basedOn w:val="5"/>
    <w:qFormat/>
    <w:uiPriority w:val="0"/>
    <w:rPr>
      <w:rFonts w:hint="eastAsia" w:ascii="方正仿宋简体" w:hAnsi="方正仿宋简体" w:eastAsia="方正仿宋简体" w:cs="方正仿宋简体"/>
      <w:kern w:val="2"/>
      <w:sz w:val="18"/>
      <w:szCs w:val="18"/>
    </w:rPr>
  </w:style>
  <w:style w:type="character" w:customStyle="1" w:styleId="7">
    <w:name w:val="页脚 Char1"/>
    <w:basedOn w:val="5"/>
    <w:qFormat/>
    <w:uiPriority w:val="99"/>
    <w:rPr>
      <w:rFonts w:hint="eastAsia" w:ascii="方正仿宋简体" w:hAnsi="方正仿宋简体" w:eastAsia="方正仿宋简体" w:cs="方正仿宋简体"/>
      <w:kern w:val="2"/>
      <w:sz w:val="18"/>
      <w:szCs w:val="18"/>
    </w:rPr>
  </w:style>
  <w:style w:type="character" w:customStyle="1" w:styleId="8">
    <w:name w:val="页脚 Char"/>
    <w:basedOn w:val="5"/>
    <w:link w:val="2"/>
    <w:qFormat/>
    <w:uiPriority w:val="99"/>
    <w:rPr>
      <w:sz w:val="18"/>
      <w:szCs w:val="18"/>
    </w:rPr>
  </w:style>
  <w:style w:type="character" w:customStyle="1" w:styleId="9">
    <w:name w:val="页眉 Char2"/>
    <w:basedOn w:val="5"/>
    <w:link w:val="3"/>
    <w:qFormat/>
    <w:uiPriority w:val="99"/>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194</Words>
  <Characters>1110</Characters>
  <Lines>9</Lines>
  <Paragraphs>2</Paragraphs>
  <TotalTime>2</TotalTime>
  <ScaleCrop>false</ScaleCrop>
  <LinksUpToDate>false</LinksUpToDate>
  <CharactersWithSpaces>1302</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2024-12-24T18:40:00Z</dcterms:created>
  <dc:creator>nizy</dc:creator>
  <cp:lastModifiedBy>user</cp:lastModifiedBy>
  <cp:lastPrinted>2024-12-21T11:04:00Z</cp:lastPrinted>
  <dcterms:modified xsi:type="dcterms:W3CDTF">2024-12-25T14:07:31Z</dcterms:modified>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