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17"/>
          <w:sz w:val="44"/>
          <w:szCs w:val="44"/>
          <w:highlight w:val="none"/>
          <w:shd w:val="clear" w:fill="FFFFFF"/>
          <w:lang w:val="en-US" w:eastAsia="zh-CN"/>
        </w:rPr>
      </w:pPr>
      <w:r>
        <w:rPr>
          <w:rFonts w:hint="eastAsia" w:ascii="方正小标宋简体" w:hAnsi="方正小标宋简体" w:eastAsia="方正小标宋简体" w:cs="方正小标宋简体"/>
          <w:b/>
          <w:bCs w:val="0"/>
          <w:i w:val="0"/>
          <w:caps w:val="0"/>
          <w:color w:val="333333"/>
          <w:spacing w:val="0"/>
          <w:sz w:val="44"/>
          <w:szCs w:val="44"/>
          <w:highlight w:val="none"/>
          <w:shd w:val="clear" w:fill="FFFFFF"/>
          <w:lang w:eastAsia="zh-CN"/>
        </w:rPr>
        <w:t>济宁市</w:t>
      </w:r>
      <w:r>
        <w:rPr>
          <w:rFonts w:hint="eastAsia" w:ascii="方正小标宋简体" w:hAnsi="方正小标宋简体" w:eastAsia="方正小标宋简体" w:cs="方正小标宋简体"/>
          <w:b/>
          <w:bCs w:val="0"/>
          <w:i w:val="0"/>
          <w:caps w:val="0"/>
          <w:color w:val="333333"/>
          <w:spacing w:val="0"/>
          <w:sz w:val="44"/>
          <w:szCs w:val="44"/>
          <w:highlight w:val="none"/>
          <w:shd w:val="clear" w:fill="FFFFFF"/>
          <w:lang w:val="en-US" w:eastAsia="zh-CN"/>
        </w:rPr>
        <w:t>城市管理</w:t>
      </w:r>
      <w:r>
        <w:rPr>
          <w:rFonts w:hint="eastAsia" w:ascii="方正小标宋简体" w:hAnsi="方正小标宋简体" w:eastAsia="方正小标宋简体" w:cs="方正小标宋简体"/>
          <w:b/>
          <w:bCs w:val="0"/>
          <w:i w:val="0"/>
          <w:caps w:val="0"/>
          <w:color w:val="333333"/>
          <w:spacing w:val="-17"/>
          <w:sz w:val="44"/>
          <w:szCs w:val="44"/>
          <w:highlight w:val="none"/>
          <w:shd w:val="clear" w:fill="FFFFFF"/>
          <w:lang w:val="en-US" w:eastAsia="zh-CN"/>
        </w:rPr>
        <w:t>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highlight w:val="none"/>
        </w:rPr>
      </w:pPr>
      <w:r>
        <w:rPr>
          <w:rFonts w:hint="eastAsia" w:ascii="方正小标宋简体" w:hAnsi="方正小标宋简体" w:eastAsia="方正小标宋简体" w:cs="方正小标宋简体"/>
          <w:b/>
          <w:bCs w:val="0"/>
          <w:i w:val="0"/>
          <w:caps w:val="0"/>
          <w:color w:val="333333"/>
          <w:spacing w:val="-17"/>
          <w:sz w:val="44"/>
          <w:szCs w:val="44"/>
          <w:highlight w:val="none"/>
          <w:shd w:val="clear" w:fill="FFFFFF"/>
          <w:lang w:val="en-US" w:eastAsia="zh-CN"/>
        </w:rPr>
        <w:t>2024年</w:t>
      </w:r>
      <w:r>
        <w:rPr>
          <w:rFonts w:hint="eastAsia" w:ascii="方正小标宋简体" w:hAnsi="方正小标宋简体" w:eastAsia="方正小标宋简体" w:cs="方正小标宋简体"/>
          <w:b/>
          <w:bCs w:val="0"/>
          <w:i w:val="0"/>
          <w:caps w:val="0"/>
          <w:color w:val="333333"/>
          <w:spacing w:val="-17"/>
          <w:sz w:val="44"/>
          <w:szCs w:val="44"/>
          <w:highlight w:val="none"/>
          <w:shd w:val="clear" w:fill="FFFFFF"/>
        </w:rPr>
        <w:t>政府信息公开工作</w:t>
      </w:r>
      <w:r>
        <w:rPr>
          <w:rFonts w:hint="eastAsia" w:ascii="方正小标宋简体" w:hAnsi="方正小标宋简体" w:eastAsia="方正小标宋简体" w:cs="方正小标宋简体"/>
          <w:b/>
          <w:bCs w:val="0"/>
          <w:i w:val="0"/>
          <w:caps w:val="0"/>
          <w:color w:val="333333"/>
          <w:spacing w:val="0"/>
          <w:sz w:val="44"/>
          <w:szCs w:val="44"/>
          <w:highlight w:val="none"/>
          <w:shd w:val="clear" w:fill="FFFFFF"/>
        </w:rPr>
        <w:t>年度报告</w:t>
      </w:r>
    </w:p>
    <w:p>
      <w:pPr>
        <w:keepNext w:val="0"/>
        <w:keepLines w:val="0"/>
        <w:pageBreakBefore w:val="0"/>
        <w:kinsoku/>
        <w:wordWrap/>
        <w:overflowPunct/>
        <w:topLinePunct w:val="0"/>
        <w:autoSpaceDE/>
        <w:autoSpaceDN/>
        <w:bidi w:val="0"/>
        <w:adjustRightInd/>
        <w:snapToGrid/>
        <w:spacing w:line="540" w:lineRule="exact"/>
        <w:ind w:right="-105" w:rightChars="-50" w:firstLine="643" w:firstLineChars="200"/>
        <w:textAlignment w:val="auto"/>
        <w:rPr>
          <w:rFonts w:hint="eastAsia" w:ascii="方正仿宋简体" w:eastAsia="方正仿宋简体"/>
          <w:b/>
          <w:color w:val="000000"/>
          <w:sz w:val="32"/>
          <w:szCs w:val="32"/>
          <w:highlight w:val="none"/>
        </w:rPr>
      </w:pPr>
    </w:p>
    <w:p>
      <w:pPr>
        <w:keepNext w:val="0"/>
        <w:keepLines w:val="0"/>
        <w:pageBreakBefore w:val="0"/>
        <w:kinsoku/>
        <w:wordWrap/>
        <w:overflowPunct/>
        <w:topLinePunct w:val="0"/>
        <w:autoSpaceDE/>
        <w:autoSpaceDN/>
        <w:bidi w:val="0"/>
        <w:adjustRightInd/>
        <w:snapToGrid/>
        <w:spacing w:line="540" w:lineRule="exact"/>
        <w:ind w:right="0" w:rightChars="0" w:firstLine="602" w:firstLineChars="200"/>
        <w:textAlignment w:val="auto"/>
        <w:rPr>
          <w:rFonts w:hint="eastAsia" w:ascii="方正仿宋简体" w:hAnsi="方正仿宋简体" w:eastAsia="方正仿宋简体" w:cs="方正仿宋简体"/>
          <w:b/>
          <w:bCs/>
          <w:color w:val="auto"/>
          <w:spacing w:val="0"/>
          <w:sz w:val="30"/>
          <w:szCs w:val="30"/>
          <w:highlight w:val="none"/>
        </w:rPr>
      </w:pPr>
      <w:r>
        <w:rPr>
          <w:rFonts w:hint="eastAsia" w:ascii="方正仿宋简体" w:hAnsi="方正仿宋简体" w:eastAsia="方正仿宋简体" w:cs="方正仿宋简体"/>
          <w:b/>
          <w:bCs/>
          <w:color w:val="auto"/>
          <w:sz w:val="30"/>
          <w:szCs w:val="30"/>
          <w:highlight w:val="none"/>
        </w:rPr>
        <w:t>本报告由</w:t>
      </w:r>
      <w:r>
        <w:rPr>
          <w:rFonts w:hint="eastAsia" w:ascii="方正仿宋简体" w:hAnsi="方正仿宋简体" w:eastAsia="方正仿宋简体" w:cs="方正仿宋简体"/>
          <w:b/>
          <w:bCs/>
          <w:color w:val="auto"/>
          <w:sz w:val="30"/>
          <w:szCs w:val="30"/>
          <w:highlight w:val="none"/>
          <w:lang w:val="en-US" w:eastAsia="zh-CN"/>
        </w:rPr>
        <w:t>济宁市城市管理局</w:t>
      </w:r>
      <w:r>
        <w:rPr>
          <w:rFonts w:hint="eastAsia" w:ascii="方正仿宋简体" w:hAnsi="方正仿宋简体" w:eastAsia="方正仿宋简体" w:cs="方正仿宋简体"/>
          <w:b/>
          <w:bCs/>
          <w:color w:val="auto"/>
          <w:sz w:val="30"/>
          <w:szCs w:val="30"/>
          <w:highlight w:val="none"/>
        </w:rPr>
        <w:t>按照《中华人民共和国政府信息公开条例》（以下简称《条例》）和《中华人民共和国政府信息</w:t>
      </w:r>
      <w:r>
        <w:rPr>
          <w:rFonts w:hint="eastAsia" w:ascii="方正仿宋简体" w:hAnsi="方正仿宋简体" w:eastAsia="方正仿宋简体" w:cs="方正仿宋简体"/>
          <w:b/>
          <w:bCs/>
          <w:color w:val="auto"/>
          <w:spacing w:val="0"/>
          <w:sz w:val="30"/>
          <w:szCs w:val="30"/>
          <w:highlight w:val="none"/>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40" w:lineRule="exact"/>
        <w:ind w:right="-105" w:rightChars="-50" w:firstLine="602" w:firstLineChars="200"/>
        <w:textAlignment w:val="auto"/>
        <w:rPr>
          <w:rFonts w:hint="eastAsia" w:ascii="方正仿宋简体" w:hAnsi="方正仿宋简体" w:eastAsia="方正仿宋简体" w:cs="方正仿宋简体"/>
          <w:b/>
          <w:bCs/>
          <w:color w:val="auto"/>
          <w:sz w:val="30"/>
          <w:szCs w:val="30"/>
          <w:highlight w:val="none"/>
        </w:rPr>
      </w:pPr>
      <w:r>
        <w:rPr>
          <w:rFonts w:hint="eastAsia" w:ascii="方正仿宋简体" w:hAnsi="方正仿宋简体" w:eastAsia="方正仿宋简体" w:cs="方正仿宋简体"/>
          <w:b/>
          <w:bCs/>
          <w:color w:val="auto"/>
          <w:sz w:val="30"/>
          <w:szCs w:val="30"/>
          <w:highlight w:val="none"/>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40" w:lineRule="exact"/>
        <w:ind w:right="-105" w:rightChars="-50" w:firstLine="602" w:firstLineChars="200"/>
        <w:textAlignment w:val="auto"/>
        <w:rPr>
          <w:rFonts w:hint="eastAsia" w:ascii="方正仿宋简体" w:hAnsi="方正仿宋简体" w:eastAsia="方正仿宋简体" w:cs="方正仿宋简体"/>
          <w:b/>
          <w:bCs/>
          <w:color w:val="auto"/>
          <w:sz w:val="30"/>
          <w:szCs w:val="30"/>
          <w:highlight w:val="none"/>
        </w:rPr>
      </w:pPr>
      <w:r>
        <w:rPr>
          <w:rFonts w:hint="eastAsia" w:ascii="方正仿宋简体" w:hAnsi="方正仿宋简体" w:eastAsia="方正仿宋简体" w:cs="方正仿宋简体"/>
          <w:b/>
          <w:bCs/>
          <w:color w:val="auto"/>
          <w:sz w:val="30"/>
          <w:szCs w:val="30"/>
          <w:highlight w:val="none"/>
        </w:rPr>
        <w:t>本报告所列数据的统计期限自</w:t>
      </w:r>
      <w:r>
        <w:rPr>
          <w:rFonts w:hint="eastAsia" w:ascii="方正仿宋简体" w:hAnsi="方正仿宋简体" w:eastAsia="方正仿宋简体" w:cs="方正仿宋简体"/>
          <w:b/>
          <w:bCs/>
          <w:color w:val="auto"/>
          <w:sz w:val="30"/>
          <w:szCs w:val="30"/>
          <w:highlight w:val="none"/>
          <w:lang w:val="en-US" w:eastAsia="zh-CN"/>
        </w:rPr>
        <w:t>2024</w:t>
      </w:r>
      <w:r>
        <w:rPr>
          <w:rFonts w:hint="eastAsia" w:ascii="方正仿宋简体" w:hAnsi="方正仿宋简体" w:eastAsia="方正仿宋简体" w:cs="方正仿宋简体"/>
          <w:b/>
          <w:bCs/>
          <w:color w:val="auto"/>
          <w:sz w:val="30"/>
          <w:szCs w:val="30"/>
          <w:highlight w:val="none"/>
        </w:rPr>
        <w:t>年1月1日起至</w:t>
      </w:r>
      <w:r>
        <w:rPr>
          <w:rFonts w:hint="eastAsia" w:ascii="方正仿宋简体" w:hAnsi="方正仿宋简体" w:eastAsia="方正仿宋简体" w:cs="方正仿宋简体"/>
          <w:b/>
          <w:bCs/>
          <w:color w:val="auto"/>
          <w:sz w:val="30"/>
          <w:szCs w:val="30"/>
          <w:highlight w:val="none"/>
          <w:lang w:val="en-US" w:eastAsia="zh-CN"/>
        </w:rPr>
        <w:t>2024</w:t>
      </w:r>
      <w:r>
        <w:rPr>
          <w:rFonts w:hint="eastAsia" w:ascii="方正仿宋简体" w:hAnsi="方正仿宋简体" w:eastAsia="方正仿宋简体" w:cs="方正仿宋简体"/>
          <w:b/>
          <w:bCs/>
          <w:color w:val="auto"/>
          <w:sz w:val="30"/>
          <w:szCs w:val="30"/>
          <w:highlight w:val="none"/>
        </w:rPr>
        <w:t>年12月31日止。本报告电子版可在“中国·济宁”政府门户网站（http://www.jining.gov.cn/）查阅或下载。如对本报告有疑问，请与</w:t>
      </w:r>
      <w:r>
        <w:rPr>
          <w:rFonts w:hint="eastAsia" w:ascii="方正仿宋简体" w:hAnsi="方正仿宋简体" w:eastAsia="方正仿宋简体" w:cs="方正仿宋简体"/>
          <w:b/>
          <w:bCs/>
          <w:color w:val="auto"/>
          <w:sz w:val="30"/>
          <w:szCs w:val="30"/>
          <w:highlight w:val="none"/>
          <w:lang w:val="en-US" w:eastAsia="zh-CN"/>
        </w:rPr>
        <w:t>济宁市城市管理局</w:t>
      </w:r>
      <w:r>
        <w:rPr>
          <w:rFonts w:hint="eastAsia" w:ascii="方正仿宋简体" w:hAnsi="方正仿宋简体" w:eastAsia="方正仿宋简体" w:cs="方正仿宋简体"/>
          <w:b/>
          <w:bCs/>
          <w:color w:val="auto"/>
          <w:sz w:val="30"/>
          <w:szCs w:val="30"/>
          <w:highlight w:val="none"/>
        </w:rPr>
        <w:t>联系（地址：</w:t>
      </w:r>
      <w:r>
        <w:rPr>
          <w:rFonts w:hint="eastAsia" w:ascii="方正仿宋简体" w:hAnsi="方正仿宋简体" w:eastAsia="方正仿宋简体" w:cs="方正仿宋简体"/>
          <w:b/>
          <w:bCs/>
          <w:i w:val="0"/>
          <w:caps w:val="0"/>
          <w:color w:val="auto"/>
          <w:spacing w:val="0"/>
          <w:sz w:val="30"/>
          <w:szCs w:val="30"/>
          <w:highlight w:val="none"/>
          <w:shd w:val="clear"/>
        </w:rPr>
        <w:t>济宁市任城区洸河路16号</w:t>
      </w:r>
      <w:r>
        <w:rPr>
          <w:rFonts w:hint="eastAsia" w:ascii="方正仿宋简体" w:hAnsi="方正仿宋简体" w:eastAsia="方正仿宋简体" w:cs="方正仿宋简体"/>
          <w:b/>
          <w:bCs/>
          <w:color w:val="auto"/>
          <w:sz w:val="30"/>
          <w:szCs w:val="30"/>
          <w:highlight w:val="none"/>
        </w:rPr>
        <w:t>，联系电话：0537—</w:t>
      </w:r>
      <w:r>
        <w:rPr>
          <w:rFonts w:hint="eastAsia" w:ascii="方正仿宋简体" w:hAnsi="方正仿宋简体" w:eastAsia="方正仿宋简体" w:cs="方正仿宋简体"/>
          <w:b/>
          <w:bCs/>
          <w:color w:val="auto"/>
          <w:sz w:val="30"/>
          <w:szCs w:val="30"/>
          <w:highlight w:val="none"/>
          <w:lang w:val="en-US" w:eastAsia="zh-CN"/>
        </w:rPr>
        <w:t>3160011</w:t>
      </w:r>
      <w:r>
        <w:rPr>
          <w:rFonts w:hint="eastAsia" w:ascii="方正仿宋简体" w:hAnsi="方正仿宋简体" w:eastAsia="方正仿宋简体" w:cs="方正仿宋简体"/>
          <w:b/>
          <w:bCs/>
          <w:color w:val="auto"/>
          <w:sz w:val="30"/>
          <w:szCs w:val="30"/>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一、总体情况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02" w:firstLineChars="200"/>
        <w:jc w:val="both"/>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2024年济宁市城市管理局积极响应党中央、省级及市级关于政务公开的政策导向，致力于提高信息公开的质量，强化信息发布的时效性与力度，同时不断丰富政策解读的形式与内容，推动政务公开工作的标准化与规范化建设迈向新台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02" w:firstLineChars="200"/>
        <w:jc w:val="both"/>
        <w:textAlignment w:val="auto"/>
        <w:rPr>
          <w:rFonts w:hint="eastAsia" w:ascii="方正楷体简体" w:hAnsi="方正楷体简体" w:eastAsia="方正楷体简体" w:cs="方正楷体简体"/>
          <w:b/>
          <w:bCs/>
          <w:color w:val="auto"/>
          <w:kern w:val="2"/>
          <w:sz w:val="30"/>
          <w:szCs w:val="30"/>
          <w:highlight w:val="none"/>
          <w:lang w:val="en-US" w:eastAsia="zh-CN" w:bidi="ar-SA"/>
        </w:rPr>
      </w:pPr>
      <w:r>
        <w:rPr>
          <w:rFonts w:hint="eastAsia" w:ascii="方正楷体简体" w:hAnsi="方正楷体简体" w:eastAsia="方正楷体简体" w:cs="方正楷体简体"/>
          <w:b/>
          <w:bCs/>
          <w:color w:val="auto"/>
          <w:kern w:val="2"/>
          <w:sz w:val="30"/>
          <w:szCs w:val="30"/>
          <w:highlight w:val="none"/>
          <w:lang w:val="en-US" w:eastAsia="zh-CN" w:bidi="ar-SA"/>
        </w:rPr>
        <w:t>（一）主动公开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2" w:firstLineChars="200"/>
        <w:jc w:val="both"/>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1）2024年，制定《济宁市城市管理局主动公开制度》，修订《2024年政务公开工作实施方案》。通过网站、“济宁城市运行管理”微信公众号主动公开政府信息1074条。其中，网站共发布各类信息702条，公众号发布信息372条，订阅人数达到7870余人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归集展示《济宁市生活垃圾分类攻坚行动计划（2024-2025年）》草案征集反馈和解读说明、会议审议、决策公开、政策解读等全过程。会议公开13件（全体会议2件，专题会议2件，部门会议9件）。积极开展政策解读工作，2024年发布政策解读5件。</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02" w:firstLineChars="200"/>
        <w:jc w:val="both"/>
        <w:textAlignment w:val="auto"/>
        <w:rPr>
          <w:rFonts w:hint="eastAsia" w:eastAsiaTheme="minorEastAsia"/>
          <w:color w:val="auto"/>
          <w:sz w:val="30"/>
          <w:szCs w:val="30"/>
          <w:highlight w:val="none"/>
          <w:lang w:eastAsia="zh-CN"/>
        </w:rPr>
      </w:pPr>
      <w:r>
        <w:rPr>
          <w:rFonts w:hint="eastAsia" w:ascii="方正仿宋简体" w:hAnsi="方正仿宋简体" w:eastAsia="方正仿宋简体" w:cs="方正仿宋简体"/>
          <w:b/>
          <w:bCs/>
          <w:color w:val="auto"/>
          <w:kern w:val="2"/>
          <w:sz w:val="30"/>
          <w:szCs w:val="30"/>
          <w:highlight w:val="none"/>
          <w:lang w:val="en-US" w:eastAsia="zh-CN" w:bidi="ar-SA"/>
        </w:rPr>
        <w:t>（3）积极开展雪天出行避险指南、扫雪除冰、春节亮化工程、城区赏花地图、垃圾分类、防汛科普、防汛演练、餐厨垃圾清运、飞絮治理、花开满城、口袋公园等工作的宣传报道。今年在省及以上媒体发稿800余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02" w:firstLineChars="200"/>
        <w:textAlignment w:val="auto"/>
        <w:rPr>
          <w:rFonts w:hint="eastAsia" w:ascii="方正楷体简体" w:hAnsi="方正楷体简体" w:eastAsia="方正楷体简体" w:cs="方正楷体简体"/>
          <w:b/>
          <w:bCs/>
          <w:color w:val="auto"/>
          <w:sz w:val="30"/>
          <w:szCs w:val="30"/>
          <w:highlight w:val="none"/>
          <w:lang w:val="en-US" w:eastAsia="zh-CN"/>
        </w:rPr>
      </w:pPr>
      <w:r>
        <w:rPr>
          <w:rFonts w:hint="eastAsia" w:ascii="方正楷体简体" w:hAnsi="方正楷体简体" w:eastAsia="方正楷体简体" w:cs="方正楷体简体"/>
          <w:b/>
          <w:bCs/>
          <w:color w:val="auto"/>
          <w:sz w:val="30"/>
          <w:szCs w:val="30"/>
          <w:highlight w:val="none"/>
          <w:lang w:val="en-US" w:eastAsia="zh-CN"/>
        </w:rPr>
        <w:t>（二）依申请公开</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本年度共收到信息公开申请14件，均已按时办理完毕。其中，《建设工程规划批后管理服务规范》、济宁市城市公园名录以及面积等12件予以公开，另外2件申请公开的信息非本机关制作或保存。我局依申请公开不涉及收费情况。</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default" w:ascii="方正仿宋简体" w:hAnsi="方正仿宋简体" w:eastAsia="方正仿宋简体" w:cs="方正仿宋简体"/>
          <w:b/>
          <w:bCs/>
          <w:color w:val="auto"/>
          <w:kern w:val="2"/>
          <w:sz w:val="30"/>
          <w:szCs w:val="30"/>
          <w:highlight w:val="none"/>
          <w:lang w:val="en-US" w:eastAsia="zh-CN" w:bidi="ar-SA"/>
        </w:rPr>
        <w:drawing>
          <wp:inline distT="0" distB="0" distL="114300" distR="114300">
            <wp:extent cx="4578985" cy="2752090"/>
            <wp:effectExtent l="0" t="0" r="8255" b="6350"/>
            <wp:docPr id="4" name="图片 4" descr="C:\Users\Administrator\Desktop\信息公开申请情况.png信息公开申请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信息公开申请情况.png信息公开申请情况"/>
                    <pic:cNvPicPr>
                      <a:picLocks noChangeAspect="1"/>
                    </pic:cNvPicPr>
                  </pic:nvPicPr>
                  <pic:blipFill>
                    <a:blip r:embed="rId4"/>
                    <a:srcRect/>
                    <a:stretch>
                      <a:fillRect/>
                    </a:stretch>
                  </pic:blipFill>
                  <pic:spPr>
                    <a:xfrm>
                      <a:off x="0" y="0"/>
                      <a:ext cx="4578985" cy="2752090"/>
                    </a:xfrm>
                    <a:prstGeom prst="rect">
                      <a:avLst/>
                    </a:prstGeom>
                  </pic:spPr>
                </pic:pic>
              </a:graphicData>
            </a:graphic>
          </wp:inline>
        </w:drawing>
      </w:r>
    </w:p>
    <w:p>
      <w:pPr>
        <w:pStyle w:val="5"/>
        <w:ind w:left="0" w:leftChars="0" w:firstLine="0" w:firstLineChars="0"/>
        <w:jc w:val="center"/>
        <w:rPr>
          <w:rFonts w:hint="eastAsia"/>
          <w:color w:val="auto"/>
          <w:sz w:val="30"/>
          <w:szCs w:val="30"/>
          <w:highlight w:val="none"/>
          <w:lang w:val="en-US" w:eastAsia="zh-CN"/>
        </w:rPr>
      </w:pPr>
      <w:r>
        <w:rPr>
          <w:rFonts w:hint="eastAsia"/>
          <w:color w:val="auto"/>
          <w:sz w:val="30"/>
          <w:szCs w:val="30"/>
          <w:highlight w:val="none"/>
          <w:lang w:val="en-US" w:eastAsia="zh-CN"/>
        </w:rPr>
        <w:drawing>
          <wp:inline distT="0" distB="0" distL="114300" distR="114300">
            <wp:extent cx="4584065" cy="2755265"/>
            <wp:effectExtent l="0" t="0" r="3175" b="3175"/>
            <wp:docPr id="16" name="图片 16" descr="C:\Users\Administrator\Desktop\全年收到依申请公开数量.png全年收到依申请公开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全年收到依申请公开数量.png全年收到依申请公开数量"/>
                    <pic:cNvPicPr>
                      <a:picLocks noChangeAspect="1"/>
                    </pic:cNvPicPr>
                  </pic:nvPicPr>
                  <pic:blipFill>
                    <a:blip r:embed="rId5"/>
                    <a:srcRect/>
                    <a:stretch>
                      <a:fillRect/>
                    </a:stretch>
                  </pic:blipFill>
                  <pic:spPr>
                    <a:xfrm>
                      <a:off x="0" y="0"/>
                      <a:ext cx="4584065" cy="2755265"/>
                    </a:xfrm>
                    <a:prstGeom prst="rect">
                      <a:avLst/>
                    </a:prstGeom>
                  </pic:spPr>
                </pic:pic>
              </a:graphicData>
            </a:graphic>
          </wp:inline>
        </w:drawing>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02" w:firstLineChars="200"/>
        <w:textAlignment w:val="auto"/>
        <w:rPr>
          <w:rFonts w:hint="eastAsia" w:ascii="方正楷体简体" w:hAnsi="方正楷体简体" w:eastAsia="方正楷体简体" w:cs="方正楷体简体"/>
          <w:b/>
          <w:bCs/>
          <w:color w:val="auto"/>
          <w:sz w:val="30"/>
          <w:szCs w:val="30"/>
          <w:highlight w:val="none"/>
          <w:lang w:val="en-US" w:eastAsia="zh-CN"/>
        </w:rPr>
      </w:pPr>
      <w:r>
        <w:rPr>
          <w:rFonts w:hint="eastAsia" w:ascii="方正楷体简体" w:hAnsi="方正楷体简体" w:eastAsia="方正楷体简体" w:cs="方正楷体简体"/>
          <w:b/>
          <w:bCs/>
          <w:color w:val="auto"/>
          <w:sz w:val="30"/>
          <w:szCs w:val="30"/>
          <w:highlight w:val="none"/>
          <w:lang w:val="en-US" w:eastAsia="zh-CN"/>
        </w:rPr>
        <w:t>（三）政府信息管理</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制定《济宁市城市管理局新闻宣传发稿“三审三校”制度》。严守公文类政府信息“先确定公开属性，再运转呈签”的办文程序，严格按照《条例》规定的主动公开、依申请公开、不予公开范围，对拟公开的公文类信息进行审核，对已失效的规范性文件及时清理。推进政府网站与政务新媒体的协同发布，全方位加强政府信息管理。在官方网站开通关键词搜索，方便市民查阅相关文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3" w:firstLineChars="200"/>
        <w:textAlignment w:val="auto"/>
        <w:rPr>
          <w:rFonts w:hint="eastAsia" w:ascii="方正楷体简体" w:hAnsi="方正楷体简体" w:eastAsia="方正楷体简体" w:cs="方正楷体简体"/>
          <w:b/>
          <w:bCs/>
          <w:color w:val="auto"/>
          <w:sz w:val="32"/>
          <w:szCs w:val="32"/>
          <w:highlight w:val="none"/>
          <w:lang w:val="en-US" w:eastAsia="zh-CN"/>
        </w:rPr>
      </w:pPr>
      <w:r>
        <w:rPr>
          <w:rFonts w:hint="eastAsia" w:ascii="方正楷体简体" w:hAnsi="方正楷体简体" w:eastAsia="方正楷体简体" w:cs="方正楷体简体"/>
          <w:b/>
          <w:bCs/>
          <w:color w:val="auto"/>
          <w:sz w:val="32"/>
          <w:szCs w:val="32"/>
          <w:highlight w:val="none"/>
          <w:lang w:val="en-US" w:eastAsia="zh-CN"/>
        </w:rPr>
        <w:t>（四）政府信息公开平台建设</w:t>
      </w:r>
    </w:p>
    <w:p>
      <w:pPr>
        <w:keepNext w:val="0"/>
        <w:keepLines w:val="0"/>
        <w:pageBreakBefore w:val="0"/>
        <w:widowControl w:val="0"/>
        <w:tabs>
          <w:tab w:val="left" w:pos="1597"/>
        </w:tabs>
        <w:kinsoku/>
        <w:wordWrap/>
        <w:overflowPunct/>
        <w:topLinePunct w:val="0"/>
        <w:autoSpaceDE/>
        <w:autoSpaceDN/>
        <w:bidi w:val="0"/>
        <w:adjustRightInd/>
        <w:snapToGrid/>
        <w:spacing w:line="540" w:lineRule="exact"/>
        <w:ind w:firstLine="602" w:firstLineChars="200"/>
        <w:jc w:val="left"/>
        <w:textAlignment w:val="auto"/>
        <w:rPr>
          <w:rFonts w:hint="eastAsia" w:ascii="方正仿宋简体" w:hAnsi="方正仿宋_GBK" w:eastAsia="方正仿宋简体" w:cs="方正仿宋简体"/>
          <w:b/>
          <w:bCs/>
          <w:color w:val="auto"/>
          <w:spacing w:val="0"/>
          <w:kern w:val="0"/>
          <w:sz w:val="24"/>
          <w:szCs w:val="24"/>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市城市管理局网站共设有今日头条、公告公示等19个专栏，创新开设“城管正能量”专栏，另有</w:t>
      </w:r>
      <w:r>
        <w:rPr>
          <w:rFonts w:hint="eastAsia" w:ascii="方正仿宋简体" w:hAnsi="方正仿宋_GBK" w:eastAsia="方正仿宋简体" w:cs="方正仿宋简体"/>
          <w:b/>
          <w:bCs/>
          <w:color w:val="auto"/>
          <w:spacing w:val="0"/>
          <w:kern w:val="0"/>
          <w:sz w:val="30"/>
          <w:szCs w:val="30"/>
          <w:highlight w:val="none"/>
          <w:lang w:val="en-US" w:eastAsia="zh-CN" w:bidi="ar-SA"/>
        </w:rPr>
        <w:t>“城市运行管理”微信公众号，协同发布济宁市城市管理领域相关工作动态，为市民了解及参与城市管理工作提供多种渠道。</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02" w:firstLineChars="200"/>
        <w:jc w:val="both"/>
        <w:textAlignment w:val="auto"/>
        <w:rPr>
          <w:rFonts w:hint="eastAsia" w:ascii="方正楷体简体" w:hAnsi="方正楷体简体" w:eastAsia="方正楷体简体" w:cs="方正楷体简体"/>
          <w:b/>
          <w:bCs/>
          <w:color w:val="auto"/>
          <w:sz w:val="30"/>
          <w:szCs w:val="30"/>
          <w:highlight w:val="none"/>
          <w:lang w:val="en-US" w:eastAsia="zh-CN"/>
        </w:rPr>
      </w:pPr>
      <w:r>
        <w:rPr>
          <w:rFonts w:hint="eastAsia" w:ascii="方正楷体简体" w:hAnsi="方正楷体简体" w:eastAsia="方正楷体简体" w:cs="方正楷体简体"/>
          <w:b/>
          <w:bCs/>
          <w:color w:val="auto"/>
          <w:sz w:val="30"/>
          <w:szCs w:val="30"/>
          <w:highlight w:val="none"/>
          <w:lang w:val="en-US" w:eastAsia="zh-CN"/>
        </w:rPr>
        <w:t>（五）监督保障</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firstLine="602" w:firstLineChars="200"/>
        <w:textAlignment w:val="auto"/>
        <w:rPr>
          <w:rFonts w:hint="eastAsia" w:ascii="方正仿宋简体" w:hAnsi="方正仿宋简体" w:eastAsia="方正仿宋简体" w:cs="方正仿宋简体"/>
          <w:b/>
          <w:bCs/>
          <w:color w:val="FF0000"/>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为进一步做好我局政务公开工作，加大政务公开工作力度，成立政务信息公开工作领导小组，做到计划科学、审查严格、措施具体、责任明确，确保政务公开工作顺利进行。制定《济宁市城市管理局2024年政务公开工作实施方案》，并召开政务公开工作专题培训会议。</w:t>
      </w:r>
    </w:p>
    <w:p>
      <w:pPr>
        <w:pStyle w:val="5"/>
        <w:ind w:left="0" w:leftChars="0" w:firstLine="0" w:firstLineChars="0"/>
        <w:jc w:val="center"/>
        <w:rPr>
          <w:rFonts w:hint="default" w:eastAsia="仿宋_GB2312"/>
          <w:highlight w:val="none"/>
          <w:lang w:val="en-US" w:eastAsia="zh-CN"/>
        </w:rPr>
      </w:pPr>
      <w:r>
        <w:rPr>
          <w:rFonts w:hint="eastAsia" w:eastAsia="仿宋_GB2312"/>
          <w:highlight w:val="none"/>
          <w:lang w:eastAsia="zh-CN"/>
        </w:rPr>
        <w:drawing>
          <wp:inline distT="0" distB="0" distL="114300" distR="114300">
            <wp:extent cx="2164715" cy="2897505"/>
            <wp:effectExtent l="0" t="0" r="14605" b="13335"/>
            <wp:docPr id="6" name="图片 6" descr="9ad3d0ccd2564c32b8382ef6d0b8c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ad3d0ccd2564c32b8382ef6d0b8c5f"/>
                    <pic:cNvPicPr>
                      <a:picLocks noChangeAspect="1"/>
                    </pic:cNvPicPr>
                  </pic:nvPicPr>
                  <pic:blipFill>
                    <a:blip r:embed="rId6"/>
                    <a:stretch>
                      <a:fillRect/>
                    </a:stretch>
                  </pic:blipFill>
                  <pic:spPr>
                    <a:xfrm>
                      <a:off x="0" y="0"/>
                      <a:ext cx="2164715" cy="2897505"/>
                    </a:xfrm>
                    <a:prstGeom prst="rect">
                      <a:avLst/>
                    </a:prstGeom>
                  </pic:spPr>
                </pic:pic>
              </a:graphicData>
            </a:graphic>
          </wp:inline>
        </w:drawing>
      </w:r>
      <w:r>
        <w:rPr>
          <w:rFonts w:hint="eastAsia"/>
          <w:highlight w:val="none"/>
          <w:lang w:val="en-US" w:eastAsia="zh-CN"/>
        </w:rPr>
        <w:t xml:space="preserve"> </w:t>
      </w:r>
      <w:r>
        <w:rPr>
          <w:rFonts w:hint="default" w:eastAsia="仿宋_GB2312"/>
          <w:highlight w:val="none"/>
          <w:lang w:val="en-US" w:eastAsia="zh-CN"/>
        </w:rPr>
        <w:drawing>
          <wp:inline distT="0" distB="0" distL="114300" distR="114300">
            <wp:extent cx="2174875" cy="2901950"/>
            <wp:effectExtent l="0" t="0" r="4445" b="8890"/>
            <wp:docPr id="9" name="图片 9" descr="75b90213e2c121bdff747dee7fd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5b90213e2c121bdff747dee7fd9287"/>
                    <pic:cNvPicPr>
                      <a:picLocks noChangeAspect="1"/>
                    </pic:cNvPicPr>
                  </pic:nvPicPr>
                  <pic:blipFill>
                    <a:blip r:embed="rId7"/>
                    <a:stretch>
                      <a:fillRect/>
                    </a:stretch>
                  </pic:blipFill>
                  <pic:spPr>
                    <a:xfrm>
                      <a:off x="0" y="0"/>
                      <a:ext cx="2174875" cy="290195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二、行政机关主动公开政府信息情况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1</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264（一般程序）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三、行政机关收到和处理政府信息公开申请情况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2"/>
        <w:gridCol w:w="54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highlight w:val="none"/>
              </w:rPr>
            </w:pPr>
            <w:r>
              <w:rPr>
                <w:rFonts w:hint="eastAsia" w:ascii="楷体_GB2312" w:hAnsi="黑体" w:eastAsia="楷体_GB2312"/>
                <w:kern w:val="0"/>
                <w:szCs w:val="21"/>
                <w:highlight w:val="none"/>
              </w:rPr>
              <w:t>（本列数据的勾稽关系为：第一项加第二项之和，</w:t>
            </w:r>
          </w:p>
          <w:p>
            <w:pPr>
              <w:widowControl/>
              <w:jc w:val="center"/>
              <w:rPr>
                <w:rFonts w:ascii="仿宋_GB2312" w:hAnsi="Times New Roman" w:eastAsia="仿宋_GB2312"/>
                <w:szCs w:val="21"/>
                <w:highlight w:val="none"/>
              </w:rPr>
            </w:pPr>
            <w:r>
              <w:rPr>
                <w:rFonts w:hint="eastAsia" w:ascii="楷体_GB2312" w:hAnsi="黑体" w:eastAsia="楷体_GB2312"/>
                <w:kern w:val="0"/>
                <w:szCs w:val="21"/>
                <w:highlight w:val="none"/>
              </w:rPr>
              <w:t>等于第三项加第四项之和）</w:t>
            </w:r>
          </w:p>
        </w:tc>
        <w:tc>
          <w:tcPr>
            <w:tcW w:w="4448" w:type="dxa"/>
            <w:gridSpan w:val="9"/>
            <w:shd w:val="clear" w:color="auto" w:fill="auto"/>
            <w:tcMar>
              <w:left w:w="108" w:type="dxa"/>
              <w:right w:w="108" w:type="dxa"/>
            </w:tcMar>
            <w:vAlign w:val="center"/>
          </w:tcPr>
          <w:p>
            <w:pPr>
              <w:widowControl/>
              <w:spacing w:line="320" w:lineRule="exact"/>
              <w:jc w:val="center"/>
              <w:rPr>
                <w:rFonts w:ascii="黑体" w:hAnsi="黑体" w:eastAsia="黑体"/>
                <w:szCs w:val="21"/>
                <w:highlight w:val="none"/>
              </w:rPr>
            </w:pPr>
            <w:r>
              <w:rPr>
                <w:rFonts w:hint="eastAsia" w:ascii="黑体" w:hAnsi="黑体" w:eastAsia="黑体"/>
                <w:kern w:val="0"/>
                <w:szCs w:val="21"/>
                <w:highlight w:val="none"/>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highlight w:val="none"/>
              </w:rPr>
            </w:pPr>
          </w:p>
        </w:tc>
        <w:tc>
          <w:tcPr>
            <w:tcW w:w="742" w:type="dxa"/>
            <w:vMerge w:val="restart"/>
            <w:shd w:val="clear" w:color="auto" w:fill="auto"/>
            <w:tcMar>
              <w:left w:w="108" w:type="dxa"/>
              <w:right w:w="108" w:type="dxa"/>
            </w:tcMar>
            <w:vAlign w:val="center"/>
          </w:tcPr>
          <w:p>
            <w:pPr>
              <w:widowControl/>
              <w:jc w:val="center"/>
              <w:rPr>
                <w:rFonts w:ascii="黑体" w:hAnsi="黑体" w:eastAsia="黑体"/>
                <w:szCs w:val="21"/>
                <w:highlight w:val="none"/>
              </w:rPr>
            </w:pPr>
            <w:r>
              <w:rPr>
                <w:rFonts w:hint="eastAsia" w:ascii="黑体" w:hAnsi="黑体" w:eastAsia="黑体"/>
                <w:kern w:val="0"/>
                <w:szCs w:val="21"/>
                <w:highlight w:val="none"/>
              </w:rPr>
              <w:t>自然人</w:t>
            </w:r>
          </w:p>
        </w:tc>
        <w:tc>
          <w:tcPr>
            <w:tcW w:w="3005" w:type="dxa"/>
            <w:gridSpan w:val="6"/>
            <w:shd w:val="clear" w:color="auto" w:fill="auto"/>
            <w:tcMar>
              <w:left w:w="108" w:type="dxa"/>
              <w:right w:w="108" w:type="dxa"/>
            </w:tcMar>
            <w:vAlign w:val="center"/>
          </w:tcPr>
          <w:p>
            <w:pPr>
              <w:widowControl/>
              <w:spacing w:line="320" w:lineRule="exact"/>
              <w:jc w:val="center"/>
              <w:rPr>
                <w:rFonts w:ascii="黑体" w:hAnsi="黑体" w:eastAsia="黑体"/>
                <w:szCs w:val="21"/>
                <w:highlight w:val="none"/>
              </w:rPr>
            </w:pPr>
            <w:r>
              <w:rPr>
                <w:rFonts w:hint="eastAsia" w:ascii="黑体" w:hAnsi="黑体" w:eastAsia="黑体"/>
                <w:kern w:val="0"/>
                <w:szCs w:val="21"/>
                <w:highlight w:val="none"/>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highlight w:val="none"/>
              </w:rPr>
            </w:pPr>
            <w:r>
              <w:rPr>
                <w:rFonts w:hint="eastAsia" w:ascii="黑体" w:hAnsi="黑体" w:eastAsia="黑体"/>
                <w:kern w:val="0"/>
                <w:szCs w:val="21"/>
                <w:highlight w:val="none"/>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highlight w:val="none"/>
              </w:rPr>
            </w:pPr>
          </w:p>
        </w:tc>
        <w:tc>
          <w:tcPr>
            <w:tcW w:w="742" w:type="dxa"/>
            <w:vMerge w:val="continue"/>
            <w:shd w:val="clear" w:color="auto" w:fill="auto"/>
            <w:tcMar>
              <w:left w:w="108" w:type="dxa"/>
              <w:right w:w="108" w:type="dxa"/>
            </w:tcMar>
            <w:vAlign w:val="center"/>
          </w:tcPr>
          <w:p>
            <w:pPr>
              <w:jc w:val="center"/>
              <w:rPr>
                <w:rFonts w:ascii="黑体" w:hAnsi="黑体" w:eastAsia="黑体"/>
                <w:szCs w:val="21"/>
                <w:highlight w:val="none"/>
              </w:rPr>
            </w:pPr>
          </w:p>
        </w:tc>
        <w:tc>
          <w:tcPr>
            <w:tcW w:w="54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highlight w:val="none"/>
              </w:rPr>
            </w:pPr>
            <w:r>
              <w:rPr>
                <w:rFonts w:hint="eastAsia" w:ascii="黑体" w:hAnsi="黑体" w:eastAsia="黑体"/>
                <w:kern w:val="0"/>
                <w:szCs w:val="21"/>
                <w:highlight w:val="none"/>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highlight w:val="none"/>
              </w:rPr>
            </w:pPr>
            <w:r>
              <w:rPr>
                <w:rFonts w:hint="eastAsia" w:ascii="黑体" w:hAnsi="黑体" w:eastAsia="黑体"/>
                <w:kern w:val="0"/>
                <w:szCs w:val="21"/>
                <w:highlight w:val="none"/>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highlight w:val="none"/>
              </w:rPr>
            </w:pPr>
            <w:r>
              <w:rPr>
                <w:rFonts w:hint="eastAsia" w:ascii="黑体" w:hAnsi="黑体" w:eastAsia="黑体"/>
                <w:kern w:val="0"/>
                <w:szCs w:val="21"/>
                <w:highlight w:val="none"/>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highlight w:val="none"/>
              </w:rPr>
            </w:pPr>
            <w:r>
              <w:rPr>
                <w:rFonts w:hint="eastAsia" w:ascii="黑体" w:hAnsi="黑体" w:eastAsia="黑体"/>
                <w:kern w:val="0"/>
                <w:szCs w:val="21"/>
                <w:highlight w:val="none"/>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highlight w:val="none"/>
              </w:rPr>
            </w:pPr>
            <w:r>
              <w:rPr>
                <w:rFonts w:hint="eastAsia" w:ascii="黑体" w:hAnsi="黑体" w:eastAsia="黑体"/>
                <w:kern w:val="0"/>
                <w:szCs w:val="21"/>
                <w:highlight w:val="none"/>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highlight w:val="none"/>
              </w:rPr>
            </w:pPr>
            <w:r>
              <w:rPr>
                <w:rFonts w:hint="eastAsia" w:ascii="黑体" w:hAnsi="黑体" w:eastAsia="黑体"/>
                <w:kern w:val="0"/>
                <w:szCs w:val="21"/>
                <w:highlight w:val="none"/>
              </w:rPr>
              <w:t>一、</w:t>
            </w:r>
            <w:bookmarkStart w:id="0" w:name="_Hlk66973412"/>
            <w:r>
              <w:rPr>
                <w:rFonts w:hint="eastAsia" w:ascii="黑体" w:hAnsi="黑体" w:eastAsia="黑体"/>
                <w:kern w:val="0"/>
                <w:szCs w:val="21"/>
                <w:highlight w:val="none"/>
              </w:rPr>
              <w:t>本年新收政府信息公开申请数量</w:t>
            </w:r>
            <w:bookmarkEnd w:id="0"/>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14</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highlight w:val="none"/>
              </w:rPr>
            </w:pPr>
            <w:r>
              <w:rPr>
                <w:rFonts w:hint="eastAsia" w:ascii="黑体" w:hAnsi="黑体" w:eastAsia="黑体"/>
                <w:kern w:val="0"/>
                <w:szCs w:val="21"/>
                <w:highlight w:val="none"/>
              </w:rPr>
              <w:t>二、上年结转政府信息公开申请数量</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highlight w:val="none"/>
              </w:rPr>
            </w:pPr>
            <w:r>
              <w:rPr>
                <w:rFonts w:hint="eastAsia" w:ascii="黑体" w:hAnsi="黑体" w:eastAsia="黑体"/>
                <w:kern w:val="0"/>
                <w:szCs w:val="21"/>
                <w:highlight w:val="none"/>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highlight w:val="none"/>
              </w:rPr>
            </w:pPr>
            <w:r>
              <w:rPr>
                <w:rFonts w:hint="eastAsia" w:ascii="黑体" w:hAnsi="黑体" w:eastAsia="黑体"/>
                <w:kern w:val="0"/>
                <w:szCs w:val="21"/>
                <w:highlight w:val="none"/>
              </w:rPr>
              <w:t>（一）予以公开</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12</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4677" w:type="dxa"/>
            <w:gridSpan w:val="2"/>
            <w:shd w:val="clear" w:color="auto" w:fill="auto"/>
            <w:tcMar>
              <w:left w:w="108" w:type="dxa"/>
              <w:right w:w="108" w:type="dxa"/>
            </w:tcMar>
            <w:vAlign w:val="center"/>
          </w:tcPr>
          <w:p>
            <w:pPr>
              <w:widowControl/>
              <w:rPr>
                <w:rFonts w:ascii="黑体" w:hAnsi="黑体" w:eastAsia="黑体"/>
                <w:szCs w:val="21"/>
                <w:highlight w:val="none"/>
              </w:rPr>
            </w:pPr>
            <w:r>
              <w:rPr>
                <w:rFonts w:hint="eastAsia" w:ascii="黑体" w:hAnsi="黑体" w:eastAsia="黑体"/>
                <w:kern w:val="0"/>
                <w:szCs w:val="21"/>
                <w:highlight w:val="none"/>
              </w:rPr>
              <w:t>（二）部分公开（</w:t>
            </w:r>
            <w:bookmarkStart w:id="1" w:name="_Hlk66973981"/>
            <w:r>
              <w:rPr>
                <w:rFonts w:hint="eastAsia" w:ascii="黑体" w:hAnsi="黑体" w:eastAsia="黑体"/>
                <w:kern w:val="0"/>
                <w:szCs w:val="21"/>
                <w:highlight w:val="none"/>
              </w:rPr>
              <w:t>区分处理的，只计这一情形，不计其他情形</w:t>
            </w:r>
            <w:bookmarkEnd w:id="1"/>
            <w:r>
              <w:rPr>
                <w:rFonts w:hint="eastAsia" w:ascii="黑体" w:hAnsi="黑体" w:eastAsia="黑体"/>
                <w:kern w:val="0"/>
                <w:szCs w:val="21"/>
                <w:highlight w:val="none"/>
              </w:rPr>
              <w:t>）</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highlight w:val="none"/>
              </w:rPr>
            </w:pPr>
            <w:r>
              <w:rPr>
                <w:rFonts w:hint="eastAsia" w:ascii="黑体" w:hAnsi="黑体" w:eastAsia="黑体"/>
                <w:kern w:val="0"/>
                <w:szCs w:val="21"/>
                <w:highlight w:val="none"/>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1.属于国家秘密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2.</w:t>
            </w:r>
            <w:bookmarkStart w:id="2" w:name="_Hlk66974104"/>
            <w:r>
              <w:rPr>
                <w:rFonts w:hint="eastAsia" w:ascii="仿宋_GB2312" w:hAnsi="黑体" w:eastAsia="仿宋_GB2312"/>
                <w:kern w:val="0"/>
                <w:szCs w:val="21"/>
                <w:highlight w:val="none"/>
              </w:rPr>
              <w:t>其他法律行政法规禁止公开</w:t>
            </w:r>
            <w:bookmarkEnd w:id="2"/>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3.危及“三安全一稳定”</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4.</w:t>
            </w:r>
            <w:bookmarkStart w:id="3" w:name="_Hlk66974290"/>
            <w:r>
              <w:rPr>
                <w:rFonts w:hint="eastAsia" w:ascii="仿宋_GB2312" w:hAnsi="黑体" w:eastAsia="仿宋_GB2312"/>
                <w:kern w:val="0"/>
                <w:szCs w:val="21"/>
                <w:highlight w:val="none"/>
              </w:rPr>
              <w:t>保护第三方合法权益</w:t>
            </w:r>
            <w:bookmarkEnd w:id="3"/>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5.属于三类内部事务信息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6.</w:t>
            </w:r>
            <w:bookmarkStart w:id="4" w:name="_Hlk66974555"/>
            <w:r>
              <w:rPr>
                <w:rFonts w:hint="eastAsia" w:ascii="仿宋_GB2312" w:hAnsi="黑体" w:eastAsia="仿宋_GB2312"/>
                <w:kern w:val="0"/>
                <w:szCs w:val="21"/>
                <w:highlight w:val="none"/>
              </w:rPr>
              <w:t>属于四类过程性信息</w:t>
            </w:r>
            <w:bookmarkEnd w:id="4"/>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7.属于行政执法案卷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8.</w:t>
            </w:r>
            <w:bookmarkStart w:id="5" w:name="_Hlk66975211"/>
            <w:r>
              <w:rPr>
                <w:rFonts w:hint="eastAsia" w:ascii="仿宋_GB2312" w:hAnsi="黑体" w:eastAsia="仿宋_GB2312"/>
                <w:kern w:val="0"/>
                <w:szCs w:val="21"/>
                <w:highlight w:val="none"/>
              </w:rPr>
              <w:t>属于行政查询事项</w:t>
            </w:r>
            <w:bookmarkEnd w:id="5"/>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highlight w:val="none"/>
              </w:rPr>
            </w:pPr>
            <w:r>
              <w:rPr>
                <w:rFonts w:hint="eastAsia" w:ascii="黑体" w:hAnsi="黑体" w:eastAsia="黑体"/>
                <w:kern w:val="0"/>
                <w:szCs w:val="21"/>
                <w:highlight w:val="none"/>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1.本机关不掌握相关政府信息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2</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2.</w:t>
            </w:r>
            <w:bookmarkStart w:id="6" w:name="_Hlk66975392"/>
            <w:r>
              <w:rPr>
                <w:rFonts w:hint="eastAsia" w:ascii="仿宋_GB2312" w:hAnsi="黑体" w:eastAsia="仿宋_GB2312"/>
                <w:kern w:val="0"/>
                <w:szCs w:val="21"/>
                <w:highlight w:val="none"/>
              </w:rPr>
              <w:t>没有现成信息需要另行制作</w:t>
            </w:r>
            <w:bookmarkEnd w:id="6"/>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3.</w:t>
            </w:r>
            <w:bookmarkStart w:id="7" w:name="_Hlk66975466"/>
            <w:r>
              <w:rPr>
                <w:rFonts w:hint="eastAsia" w:ascii="仿宋_GB2312" w:hAnsi="黑体" w:eastAsia="仿宋_GB2312"/>
                <w:kern w:val="0"/>
                <w:szCs w:val="21"/>
                <w:highlight w:val="none"/>
              </w:rPr>
              <w:t>补正后申请内容仍不明确</w:t>
            </w:r>
            <w:bookmarkEnd w:id="7"/>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highlight w:val="none"/>
              </w:rPr>
            </w:pPr>
            <w:r>
              <w:rPr>
                <w:rFonts w:hint="eastAsia" w:ascii="黑体" w:hAnsi="黑体" w:eastAsia="黑体"/>
                <w:kern w:val="0"/>
                <w:szCs w:val="21"/>
                <w:highlight w:val="none"/>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1.</w:t>
            </w:r>
            <w:bookmarkStart w:id="8" w:name="_Hlk66975537"/>
            <w:r>
              <w:rPr>
                <w:rFonts w:hint="eastAsia" w:ascii="仿宋_GB2312" w:hAnsi="黑体" w:eastAsia="仿宋_GB2312"/>
                <w:kern w:val="0"/>
                <w:szCs w:val="21"/>
                <w:highlight w:val="none"/>
              </w:rPr>
              <w:t>信访举报投诉类申请</w:t>
            </w:r>
            <w:bookmarkEnd w:id="8"/>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2.重复申请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highlight w:val="none"/>
              </w:rPr>
            </w:pPr>
            <w:r>
              <w:rPr>
                <w:rFonts w:hint="eastAsia" w:ascii="仿宋_GB2312" w:hAnsi="黑体" w:eastAsia="仿宋_GB2312"/>
                <w:kern w:val="0"/>
                <w:szCs w:val="21"/>
                <w:highlight w:val="none"/>
              </w:rPr>
              <w:t>3.要求提供公开出版物</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highlight w:val="none"/>
              </w:rPr>
            </w:pPr>
            <w:r>
              <w:rPr>
                <w:rFonts w:hint="eastAsia" w:ascii="仿宋_GB2312" w:hAnsi="黑体" w:eastAsia="仿宋_GB2312"/>
                <w:kern w:val="0"/>
                <w:szCs w:val="21"/>
                <w:highlight w:val="none"/>
              </w:rPr>
              <w:t>4.无正当理由大量反复申请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highlight w:val="none"/>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highlight w:val="none"/>
              </w:rPr>
            </w:pPr>
            <w:r>
              <w:rPr>
                <w:rFonts w:hint="eastAsia" w:ascii="仿宋_GB2312" w:hAnsi="黑体" w:eastAsia="仿宋_GB2312"/>
                <w:kern w:val="0"/>
                <w:szCs w:val="21"/>
                <w:highlight w:val="none"/>
              </w:rPr>
              <w:t>5.要求行政机关确认或重新</w:t>
            </w:r>
          </w:p>
          <w:p>
            <w:pPr>
              <w:widowControl/>
              <w:spacing w:line="300" w:lineRule="exact"/>
              <w:ind w:firstLine="210" w:firstLineChars="100"/>
              <w:rPr>
                <w:rFonts w:ascii="仿宋_GB2312" w:hAnsi="黑体" w:eastAsia="仿宋_GB2312"/>
                <w:szCs w:val="21"/>
                <w:highlight w:val="none"/>
              </w:rPr>
            </w:pPr>
            <w:r>
              <w:rPr>
                <w:rFonts w:hint="eastAsia" w:ascii="仿宋_GB2312" w:hAnsi="黑体" w:eastAsia="仿宋_GB2312"/>
                <w:kern w:val="0"/>
                <w:szCs w:val="21"/>
                <w:highlight w:val="none"/>
              </w:rPr>
              <w:t>出具已获取信息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highlight w:val="none"/>
              </w:rPr>
            </w:pPr>
            <w:r>
              <w:rPr>
                <w:rFonts w:hint="eastAsia" w:ascii="黑体" w:hAnsi="黑体" w:eastAsia="黑体"/>
                <w:kern w:val="0"/>
                <w:szCs w:val="21"/>
                <w:highlight w:val="none"/>
              </w:rPr>
              <w:t>（六）其他处理</w:t>
            </w:r>
          </w:p>
        </w:tc>
        <w:tc>
          <w:tcPr>
            <w:tcW w:w="2976" w:type="dxa"/>
            <w:shd w:val="clear" w:color="auto" w:fill="auto"/>
            <w:vAlign w:val="center"/>
          </w:tcPr>
          <w:p>
            <w:pPr>
              <w:widowControl/>
              <w:spacing w:line="300" w:lineRule="exact"/>
              <w:rPr>
                <w:rFonts w:ascii="仿宋_GB2312" w:hAnsi="楷体" w:eastAsia="仿宋_GB2312"/>
                <w:highlight w:val="none"/>
              </w:rPr>
            </w:pPr>
            <w:r>
              <w:rPr>
                <w:rFonts w:hint="eastAsia" w:ascii="仿宋_GB2312" w:hAnsi="楷体" w:eastAsia="仿宋_GB2312"/>
                <w:highlight w:val="none"/>
              </w:rPr>
              <w:t>1.申请人无正当理由逾期不补正、行政机关不再处理其政府信息公开申请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highlight w:val="none"/>
              </w:rPr>
            </w:pPr>
          </w:p>
        </w:tc>
        <w:tc>
          <w:tcPr>
            <w:tcW w:w="2976" w:type="dxa"/>
            <w:shd w:val="clear" w:color="auto" w:fill="auto"/>
            <w:vAlign w:val="center"/>
          </w:tcPr>
          <w:p>
            <w:pPr>
              <w:widowControl/>
              <w:spacing w:line="300" w:lineRule="exact"/>
              <w:rPr>
                <w:rFonts w:ascii="仿宋_GB2312" w:hAnsi="黑体" w:eastAsia="仿宋_GB2312"/>
                <w:kern w:val="0"/>
                <w:szCs w:val="21"/>
                <w:highlight w:val="none"/>
              </w:rPr>
            </w:pPr>
            <w:r>
              <w:rPr>
                <w:rFonts w:hint="eastAsia" w:ascii="仿宋_GB2312" w:hAnsi="楷体" w:eastAsia="仿宋_GB2312"/>
                <w:highlight w:val="none"/>
              </w:rPr>
              <w:t>2.申请人逾期未按收费通知要求缴纳费用、行政机关不再处理其政府信息公开申请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highlight w:val="none"/>
              </w:rPr>
            </w:pPr>
          </w:p>
        </w:tc>
        <w:tc>
          <w:tcPr>
            <w:tcW w:w="2976" w:type="dxa"/>
            <w:shd w:val="clear" w:color="auto" w:fill="auto"/>
            <w:vAlign w:val="center"/>
          </w:tcPr>
          <w:p>
            <w:pPr>
              <w:widowControl/>
              <w:spacing w:line="300" w:lineRule="exact"/>
              <w:rPr>
                <w:rFonts w:ascii="仿宋_GB2312" w:hAnsi="黑体" w:eastAsia="仿宋_GB2312"/>
                <w:kern w:val="0"/>
                <w:szCs w:val="21"/>
                <w:highlight w:val="none"/>
              </w:rPr>
            </w:pPr>
            <w:r>
              <w:rPr>
                <w:rFonts w:hint="eastAsia" w:ascii="仿宋_GB2312" w:hAnsi="楷体" w:eastAsia="仿宋_GB2312"/>
                <w:highlight w:val="none"/>
              </w:rPr>
              <w:t>3.其他</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highlight w:val="none"/>
                <w:lang w:val="en-US" w:eastAsia="zh-CN"/>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highlight w:val="none"/>
                <w:lang w:val="en-US" w:eastAsia="zh-CN"/>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lang w:val="en-US"/>
              </w:rPr>
            </w:pPr>
            <w:r>
              <w:rPr>
                <w:rFonts w:hint="eastAsia" w:ascii="仿宋_GB2312" w:hAnsi="Times New Roman" w:eastAsia="仿宋_GB2312"/>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highlight w:val="none"/>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highlight w:val="none"/>
              </w:rPr>
            </w:pPr>
            <w:r>
              <w:rPr>
                <w:rFonts w:hint="eastAsia" w:ascii="黑体" w:hAnsi="黑体" w:eastAsia="黑体"/>
                <w:kern w:val="0"/>
                <w:szCs w:val="21"/>
                <w:highlight w:val="none"/>
              </w:rPr>
              <w:t>（七）总计</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14</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highlight w:val="none"/>
              </w:rPr>
            </w:pPr>
            <w:r>
              <w:rPr>
                <w:rFonts w:hint="eastAsia" w:ascii="仿宋_GB2312" w:hAnsi="Times New Roman" w:eastAsia="仿宋_GB2312"/>
                <w:color w:val="auto"/>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highlight w:val="none"/>
                <w:lang w:val="en-US"/>
              </w:rPr>
            </w:pPr>
            <w:r>
              <w:rPr>
                <w:rFonts w:hint="eastAsia" w:ascii="仿宋_GB2312" w:hAnsi="Times New Roman" w:eastAsia="仿宋_GB2312"/>
                <w:color w:val="auto"/>
                <w:szCs w:val="21"/>
                <w:highlight w:val="none"/>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highlight w:val="none"/>
              </w:rPr>
            </w:pPr>
            <w:r>
              <w:rPr>
                <w:rFonts w:hint="eastAsia" w:ascii="黑体" w:hAnsi="黑体" w:eastAsia="黑体"/>
                <w:kern w:val="0"/>
                <w:szCs w:val="21"/>
                <w:highlight w:val="none"/>
              </w:rPr>
              <w:t>四、结转下年度继续办理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highlight w:val="none"/>
                <w:lang w:val="en-US"/>
              </w:rPr>
            </w:pPr>
            <w:r>
              <w:rPr>
                <w:rFonts w:hint="eastAsia" w:ascii="仿宋_GB2312" w:hAnsi="Times New Roman" w:eastAsia="仿宋_GB2312"/>
                <w:szCs w:val="21"/>
                <w:highlight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四、因政府信息公开工作被申请行政复议、提起行政诉讼情况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highlight w:val="none"/>
              </w:rPr>
            </w:pPr>
            <w:r>
              <w:rPr>
                <w:rFonts w:ascii="黑体" w:hAnsi="黑体" w:eastAsia="黑体"/>
                <w:kern w:val="0"/>
                <w:sz w:val="20"/>
                <w:szCs w:val="20"/>
                <w:highlight w:val="none"/>
              </w:rPr>
              <w:t>结果</w:t>
            </w:r>
          </w:p>
          <w:p>
            <w:pPr>
              <w:widowControl/>
              <w:ind w:left="-149" w:leftChars="-71" w:right="-170" w:rightChars="-81"/>
              <w:jc w:val="center"/>
              <w:rPr>
                <w:rFonts w:ascii="黑体" w:hAnsi="黑体" w:eastAsia="黑体"/>
                <w:highlight w:val="none"/>
              </w:rPr>
            </w:pPr>
            <w:r>
              <w:rPr>
                <w:rFonts w:ascii="黑体" w:hAnsi="黑体" w:eastAsia="黑体"/>
                <w:kern w:val="0"/>
                <w:sz w:val="20"/>
                <w:szCs w:val="20"/>
                <w:highlight w:val="none"/>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highlight w:val="none"/>
              </w:rPr>
            </w:pPr>
            <w:r>
              <w:rPr>
                <w:rFonts w:ascii="黑体" w:hAnsi="黑体" w:eastAsia="黑体"/>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highlight w:val="none"/>
              </w:rPr>
            </w:pPr>
            <w:r>
              <w:rPr>
                <w:rFonts w:ascii="黑体" w:hAnsi="黑体" w:eastAsia="黑体"/>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highlight w:val="none"/>
              </w:rPr>
            </w:pPr>
            <w:r>
              <w:rPr>
                <w:rFonts w:ascii="黑体" w:hAnsi="黑体" w:eastAsia="黑体"/>
                <w:kern w:val="0"/>
                <w:sz w:val="20"/>
                <w:szCs w:val="20"/>
                <w:highlight w:val="none"/>
              </w:rPr>
              <w:t>尚未</w:t>
            </w:r>
          </w:p>
          <w:p>
            <w:pPr>
              <w:widowControl/>
              <w:ind w:left="-118" w:leftChars="-56" w:right="-118" w:rightChars="-56"/>
              <w:jc w:val="center"/>
              <w:rPr>
                <w:rFonts w:ascii="黑体" w:hAnsi="黑体" w:eastAsia="黑体"/>
                <w:highlight w:val="none"/>
              </w:rPr>
            </w:pPr>
            <w:r>
              <w:rPr>
                <w:rFonts w:ascii="黑体" w:hAnsi="黑体" w:eastAsia="黑体"/>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highlight w:val="none"/>
              </w:rPr>
            </w:pPr>
            <w:r>
              <w:rPr>
                <w:rFonts w:ascii="黑体" w:hAnsi="黑体" w:eastAsia="黑体"/>
                <w:kern w:val="0"/>
                <w:sz w:val="20"/>
                <w:szCs w:val="20"/>
                <w:highlight w:val="none"/>
              </w:rPr>
              <w:t>总</w:t>
            </w:r>
          </w:p>
          <w:p>
            <w:pPr>
              <w:widowControl/>
              <w:spacing w:line="320" w:lineRule="exact"/>
              <w:jc w:val="center"/>
              <w:rPr>
                <w:rFonts w:ascii="黑体" w:hAnsi="黑体" w:eastAsia="黑体"/>
                <w:highlight w:val="none"/>
              </w:rPr>
            </w:pPr>
            <w:r>
              <w:rPr>
                <w:rFonts w:ascii="黑体" w:hAnsi="黑体" w:eastAsia="黑体"/>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highlight w:val="none"/>
              </w:rPr>
            </w:pPr>
            <w:bookmarkStart w:id="9" w:name="_Hlk67039688"/>
            <w:r>
              <w:rPr>
                <w:rFonts w:ascii="黑体" w:hAnsi="黑体" w:eastAsia="黑体"/>
                <w:kern w:val="0"/>
                <w:sz w:val="20"/>
                <w:szCs w:val="20"/>
                <w:highlight w:val="none"/>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highlight w:val="none"/>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highlight w:val="none"/>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highlight w:val="none"/>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highlight w:val="none"/>
              </w:rPr>
            </w:pPr>
            <w:r>
              <w:rPr>
                <w:rFonts w:ascii="黑体" w:hAnsi="黑体" w:eastAsia="黑体"/>
                <w:kern w:val="0"/>
                <w:sz w:val="20"/>
                <w:szCs w:val="20"/>
                <w:highlight w:val="none"/>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highlight w:val="none"/>
              </w:rPr>
            </w:pPr>
            <w:r>
              <w:rPr>
                <w:rFonts w:ascii="黑体" w:hAnsi="黑体" w:eastAsia="黑体"/>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highlight w:val="none"/>
              </w:rPr>
            </w:pPr>
            <w:r>
              <w:rPr>
                <w:rFonts w:ascii="黑体" w:hAnsi="黑体" w:eastAsia="黑体"/>
                <w:kern w:val="0"/>
                <w:sz w:val="20"/>
                <w:szCs w:val="20"/>
                <w:highlight w:val="none"/>
              </w:rPr>
              <w:t>其他</w:t>
            </w:r>
          </w:p>
          <w:p>
            <w:pPr>
              <w:widowControl/>
              <w:ind w:left="-126" w:leftChars="-60" w:right="-136" w:rightChars="-65"/>
              <w:jc w:val="center"/>
              <w:rPr>
                <w:rFonts w:ascii="黑体" w:hAnsi="黑体" w:eastAsia="黑体"/>
                <w:highlight w:val="none"/>
              </w:rPr>
            </w:pPr>
            <w:r>
              <w:rPr>
                <w:rFonts w:ascii="黑体" w:hAnsi="黑体" w:eastAsia="黑体"/>
                <w:kern w:val="0"/>
                <w:sz w:val="20"/>
                <w:szCs w:val="20"/>
                <w:highlight w:val="none"/>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highlight w:val="none"/>
              </w:rPr>
            </w:pPr>
            <w:r>
              <w:rPr>
                <w:rFonts w:ascii="黑体" w:hAnsi="黑体" w:eastAsia="黑体"/>
                <w:kern w:val="0"/>
                <w:sz w:val="20"/>
                <w:szCs w:val="20"/>
                <w:highlight w:val="none"/>
              </w:rPr>
              <w:t>尚未</w:t>
            </w:r>
          </w:p>
          <w:p>
            <w:pPr>
              <w:widowControl/>
              <w:ind w:left="-164" w:leftChars="-78" w:right="-153" w:rightChars="-73"/>
              <w:jc w:val="center"/>
              <w:rPr>
                <w:rFonts w:ascii="黑体" w:hAnsi="黑体" w:eastAsia="黑体"/>
                <w:highlight w:val="none"/>
              </w:rPr>
            </w:pPr>
            <w:r>
              <w:rPr>
                <w:rFonts w:ascii="黑体" w:hAnsi="黑体" w:eastAsia="黑体"/>
                <w:kern w:val="0"/>
                <w:sz w:val="20"/>
                <w:szCs w:val="20"/>
                <w:highlight w:val="none"/>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highlight w:val="none"/>
              </w:rPr>
            </w:pPr>
            <w:r>
              <w:rPr>
                <w:rFonts w:ascii="黑体" w:hAnsi="黑体" w:eastAsia="黑体"/>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highlight w:val="none"/>
              </w:rPr>
            </w:pPr>
            <w:r>
              <w:rPr>
                <w:rFonts w:ascii="黑体" w:hAnsi="黑体" w:eastAsia="黑体"/>
                <w:kern w:val="0"/>
                <w:sz w:val="20"/>
                <w:szCs w:val="20"/>
                <w:highlight w:val="none"/>
              </w:rPr>
              <w:t>结果</w:t>
            </w:r>
          </w:p>
          <w:p>
            <w:pPr>
              <w:widowControl/>
              <w:ind w:left="-136" w:leftChars="-65" w:right="-124" w:rightChars="-59"/>
              <w:jc w:val="center"/>
              <w:rPr>
                <w:rFonts w:ascii="黑体" w:hAnsi="黑体" w:eastAsia="黑体"/>
                <w:highlight w:val="none"/>
              </w:rPr>
            </w:pPr>
            <w:r>
              <w:rPr>
                <w:rFonts w:ascii="黑体" w:hAnsi="黑体" w:eastAsia="黑体"/>
                <w:kern w:val="0"/>
                <w:sz w:val="20"/>
                <w:szCs w:val="20"/>
                <w:highlight w:val="none"/>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highlight w:val="none"/>
              </w:rPr>
            </w:pPr>
            <w:r>
              <w:rPr>
                <w:rFonts w:ascii="黑体" w:hAnsi="黑体" w:eastAsia="黑体"/>
                <w:kern w:val="0"/>
                <w:sz w:val="20"/>
                <w:szCs w:val="20"/>
                <w:highlight w:val="none"/>
              </w:rPr>
              <w:t>其他</w:t>
            </w:r>
          </w:p>
          <w:p>
            <w:pPr>
              <w:widowControl/>
              <w:ind w:left="-173" w:leftChars="-83" w:right="-134" w:rightChars="-64" w:hanging="1"/>
              <w:jc w:val="center"/>
              <w:rPr>
                <w:rFonts w:ascii="黑体" w:hAnsi="黑体" w:eastAsia="黑体"/>
                <w:highlight w:val="none"/>
              </w:rPr>
            </w:pPr>
            <w:r>
              <w:rPr>
                <w:rFonts w:ascii="黑体" w:hAnsi="黑体" w:eastAsia="黑体"/>
                <w:kern w:val="0"/>
                <w:sz w:val="20"/>
                <w:szCs w:val="20"/>
                <w:highlight w:val="none"/>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highlight w:val="none"/>
              </w:rPr>
            </w:pPr>
            <w:r>
              <w:rPr>
                <w:rFonts w:ascii="黑体" w:hAnsi="黑体" w:eastAsia="黑体"/>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highlight w:val="none"/>
              </w:rPr>
            </w:pPr>
            <w:r>
              <w:rPr>
                <w:rFonts w:ascii="黑体" w:hAnsi="黑体" w:eastAsia="黑体"/>
                <w:kern w:val="0"/>
                <w:sz w:val="20"/>
                <w:szCs w:val="20"/>
                <w:highlight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0</w:t>
            </w:r>
          </w:p>
        </w:tc>
      </w:tr>
    </w:tbl>
    <w:p>
      <w:pPr>
        <w:widowControl/>
        <w:jc w:val="left"/>
        <w:rPr>
          <w:rFonts w:hint="eastAsia" w:ascii="仿宋_GB2312" w:hAnsi="Calibri" w:eastAsia="仿宋_GB2312" w:cs="Calibri"/>
          <w:color w:val="FF0000"/>
          <w:kern w:val="0"/>
          <w:szCs w:val="21"/>
          <w:highlight w:val="no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五、政府信息公开工作存在的主要问题及改进情况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2024年，市城市管理局扎实推进政务信息公开工作，取得良好成效，但仍面临着一些挑战和不足：信息公开时效性有待加强；部分人员政务公开意识不够。为推动政务公开工作高质量发展，我局将重点做好以下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（1）增</w:t>
      </w:r>
      <w:bookmarkStart w:id="10" w:name="_GoBack"/>
      <w:bookmarkEnd w:id="10"/>
      <w:r>
        <w:rPr>
          <w:rFonts w:hint="eastAsia" w:ascii="方正仿宋简体" w:hAnsi="方正仿宋简体" w:eastAsia="方正仿宋简体" w:cs="方正仿宋简体"/>
          <w:b/>
          <w:bCs/>
          <w:color w:val="auto"/>
          <w:kern w:val="2"/>
          <w:sz w:val="30"/>
          <w:szCs w:val="30"/>
          <w:highlight w:val="none"/>
          <w:lang w:val="en-US" w:eastAsia="zh-CN" w:bidi="ar-SA"/>
        </w:rPr>
        <w:t>强信息公开时效性。采用更加高效的信息发布流程，确保信息能够第一时间传递给公众。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（2）提高政务公开内容质量。优化公开内容，采用更加直观、易懂的方式，如使用图表、视频等多媒体形式，帮助公众更好地理解政策意图和实际效果。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（3）强化政务公开意识。加强对工作人员的培训和宣传，提高对政务公开工作的认识和重视程度。明确各级领导和工作人员的责任，确保政务公开工作得到有效推进。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02" w:firstLineChars="200"/>
        <w:jc w:val="both"/>
        <w:textAlignment w:val="auto"/>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pPr>
      <w:r>
        <w:rPr>
          <w:rFonts w:hint="eastAsia" w:ascii="方正黑体简体" w:hAnsi="方正黑体简体" w:eastAsia="方正黑体简体" w:cs="方正黑体简体"/>
          <w:b/>
          <w:i w:val="0"/>
          <w:caps w:val="0"/>
          <w:color w:val="auto"/>
          <w:spacing w:val="0"/>
          <w:sz w:val="30"/>
          <w:szCs w:val="30"/>
          <w:highlight w:val="none"/>
          <w:shd w:val="clear" w:fill="FFFFFF"/>
          <w:lang w:val="en-US" w:eastAsia="zh-CN"/>
        </w:rPr>
        <w:t>六、其他需要报告的事项</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（1）依据《政府信息公开信息处理费管理办法》收取信息处理费的情况：</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依据《政府信息公开信息处理费管理办法》中的收费标准，济宁市城市管理局2024年度没有产生信息公开处理费。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方正仿宋简体" w:eastAsia="方正仿宋简体"/>
          <w:b/>
          <w:sz w:val="24"/>
          <w:szCs w:val="24"/>
          <w:highlight w:val="none"/>
          <w:lang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w:t>
      </w:r>
      <w:r>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t>市城市管理局落实上级年度政务公开工作要点情况：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方正仿宋简体" w:hAnsi="方正仿宋简体" w:eastAsia="方正仿宋简体" w:cs="方正仿宋简体"/>
          <w:b/>
          <w:bCs/>
          <w:color w:val="auto"/>
          <w:kern w:val="2"/>
          <w:sz w:val="30"/>
          <w:szCs w:val="30"/>
          <w:highlight w:val="none"/>
          <w:lang w:val="en-US" w:eastAsia="zh-CN" w:bidi="ar-SA"/>
        </w:rPr>
      </w:pPr>
      <w:r>
        <w:rPr>
          <w:rFonts w:hint="eastAsia" w:ascii="方正仿宋简体" w:hAnsi="方正仿宋简体" w:eastAsia="方正仿宋简体" w:cs="方正仿宋简体"/>
          <w:b/>
          <w:bCs/>
          <w:color w:val="auto"/>
          <w:kern w:val="2"/>
          <w:sz w:val="30"/>
          <w:szCs w:val="30"/>
          <w:highlight w:val="none"/>
          <w:lang w:val="en-US" w:eastAsia="zh-CN" w:bidi="ar-SA"/>
        </w:rPr>
        <w:t>2024年，我局针对2023年存在不足的部分工作进行改进，制定《济宁市城市管理局2024年政务公开工作实施方案》，进一步完善市城市管理局政务公开运行机制，规范公开流程，优化公开渠道。召开政务公开工作专题培训会议，提升市城市管理局政务公开工作人员业务水平，更加完善、更加规范化地推进政务公开工作。通过我局官方网站及“济宁城市运行管理”微信公众号及时发布城市管理领域相关工作动态1070余篇，方便市民了解、参与城市管理工作，拓宽政务公开的覆盖面和影响力。</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（3）</w:t>
      </w:r>
      <w:r>
        <w:rPr>
          <w:rStyle w:val="8"/>
          <w:rFonts w:hint="eastAsia" w:ascii="方正仿宋简体" w:hAnsi="方正仿宋简体" w:eastAsia="方正仿宋简体" w:cs="方正仿宋简体"/>
          <w:i w:val="0"/>
          <w:caps w:val="0"/>
          <w:color w:val="auto"/>
          <w:spacing w:val="0"/>
          <w:kern w:val="2"/>
          <w:sz w:val="30"/>
          <w:szCs w:val="30"/>
          <w:highlight w:val="none"/>
          <w:u w:val="none"/>
          <w:lang w:val="en-US" w:eastAsia="zh-CN" w:bidi="ar-SA"/>
        </w:rPr>
        <w:t>市城市管理局</w:t>
      </w:r>
      <w:r>
        <w:rPr>
          <w:rFonts w:hint="eastAsia" w:ascii="方正仿宋简体" w:hAnsi="方正仿宋简体" w:eastAsia="方正仿宋简体" w:cs="方正仿宋简体"/>
          <w:b/>
          <w:bCs/>
          <w:color w:val="auto"/>
          <w:kern w:val="2"/>
          <w:sz w:val="30"/>
          <w:szCs w:val="30"/>
          <w:highlight w:val="none"/>
          <w:lang w:val="en-US" w:eastAsia="zh-CN" w:bidi="ar-SA"/>
        </w:rPr>
        <w:t>人大代表建议和政协提案办理结果公开情况：</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2024年，济宁</w:t>
      </w:r>
      <w:r>
        <w:rPr>
          <w:rStyle w:val="8"/>
          <w:rFonts w:hint="eastAsia" w:ascii="方正仿宋简体" w:hAnsi="方正仿宋简体" w:eastAsia="方正仿宋简体" w:cs="方正仿宋简体"/>
          <w:b/>
          <w:i w:val="0"/>
          <w:caps w:val="0"/>
          <w:color w:val="auto"/>
          <w:spacing w:val="0"/>
          <w:sz w:val="30"/>
          <w:szCs w:val="30"/>
          <w:highlight w:val="none"/>
          <w:u w:val="none"/>
        </w:rPr>
        <w:t>市城市管理局共收到人大建议3件（分办2件，协办1件），政协提案23件（承办21件，协办2件），所有建议提案均已办理完毕，办复率达到100%。我局始终将人大建议和政协提案办理作为推动城市管理工作的重要抓手，每件建议提案都明确相关的责任领导、责任科室、承办人员。通过电话、邮件、面商等多种形式与代表委员的沟通联系，严格按照人大建议、政协提案办理规定的时限、程序、标准等要求进行答复。</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（4）本行政机关年度政务公开工作创新情况：</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2023年</w:t>
      </w:r>
      <w:r>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t>创立“济城明政”政务公开品牌</w:t>
      </w: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，2024年积极以品牌建设为引领推进政务公开工作</w:t>
      </w:r>
      <w:r>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t>。</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采取线上线下相结合的方式，对“济城明政”政务公开品牌进行广泛宣传。线上通过官方网站平台发布品牌信息，线下则通过开展政务公开宣传活动等方式，展示我局政务公开工作的成果和亮点，提高品牌的知名度和影响力。注重品牌文化的塑造和传播，通过设计品牌LOGO等方式，展现我局政务公开工作的特色和优势，增强品牌的吸引力和感染力。</w:t>
      </w:r>
    </w:p>
    <w:p>
      <w:pPr>
        <w:keepNext w:val="0"/>
        <w:keepLines w:val="0"/>
        <w:pageBreakBefore w:val="0"/>
        <w:tabs>
          <w:tab w:val="left" w:pos="1597"/>
        </w:tabs>
        <w:kinsoku/>
        <w:wordWrap/>
        <w:overflowPunct/>
        <w:topLinePunct w:val="0"/>
        <w:autoSpaceDE/>
        <w:autoSpaceDN/>
        <w:bidi w:val="0"/>
        <w:adjustRightInd/>
        <w:snapToGrid/>
        <w:spacing w:line="540" w:lineRule="exact"/>
        <w:ind w:firstLine="602" w:firstLineChars="200"/>
        <w:jc w:val="left"/>
        <w:textAlignment w:val="auto"/>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济城明政”品牌的创立，优化了政务公开的内容和形式，推动了我局政务公开工作的全面提升。我们注重政策解读的规范性和深度，采用视频音频、图表图解等多种形式进行生动解读，提高解读效果。同时，加强依申请公开工作，确保流程规范、答复及时准确。以“济城明政”品牌为引领，更加注重公开信息的准确性、及时性和完整性。通过品牌宣传和推广活动，我们鼓励公众积极参与城市管理工作并提出宝贵意见和建议。利用多种渠道加强与公众的互动和沟通，及时回应社会关切和热点问题。通过该品牌收集民众对城市管理工作的意见和建议，并及时做出回应和改进。</w:t>
      </w:r>
    </w:p>
    <w:p>
      <w:pPr>
        <w:keepNext w:val="0"/>
        <w:keepLines w:val="0"/>
        <w:pageBreakBefore w:val="0"/>
        <w:tabs>
          <w:tab w:val="left" w:pos="1597"/>
        </w:tabs>
        <w:kinsoku/>
        <w:wordWrap/>
        <w:overflowPunct/>
        <w:topLinePunct w:val="0"/>
        <w:autoSpaceDE/>
        <w:autoSpaceDN/>
        <w:bidi w:val="0"/>
        <w:adjustRightInd/>
        <w:snapToGrid/>
        <w:spacing w:line="240" w:lineRule="auto"/>
        <w:jc w:val="center"/>
        <w:textAlignment w:val="auto"/>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drawing>
          <wp:inline distT="0" distB="0" distL="114300" distR="114300">
            <wp:extent cx="2547620" cy="3549650"/>
            <wp:effectExtent l="0" t="0" r="12700" b="1270"/>
            <wp:docPr id="2" name="图片 2" descr="品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品牌"/>
                    <pic:cNvPicPr>
                      <a:picLocks noChangeAspect="1"/>
                    </pic:cNvPicPr>
                  </pic:nvPicPr>
                  <pic:blipFill>
                    <a:blip r:embed="rId8"/>
                    <a:stretch>
                      <a:fillRect/>
                    </a:stretch>
                  </pic:blipFill>
                  <pic:spPr>
                    <a:xfrm>
                      <a:off x="0" y="0"/>
                      <a:ext cx="2547620" cy="3549650"/>
                    </a:xfrm>
                    <a:prstGeom prst="rect">
                      <a:avLst/>
                    </a:prstGeom>
                  </pic:spPr>
                </pic:pic>
              </a:graphicData>
            </a:graphic>
          </wp:inline>
        </w:drawing>
      </w:r>
    </w:p>
    <w:p>
      <w:pPr>
        <w:keepNext w:val="0"/>
        <w:keepLines w:val="0"/>
        <w:pageBreakBefore w:val="0"/>
        <w:tabs>
          <w:tab w:val="left" w:pos="1597"/>
        </w:tabs>
        <w:kinsoku/>
        <w:wordWrap/>
        <w:overflowPunct/>
        <w:topLinePunct w:val="0"/>
        <w:autoSpaceDE/>
        <w:autoSpaceDN/>
        <w:bidi w:val="0"/>
        <w:adjustRightInd/>
        <w:snapToGrid/>
        <w:spacing w:line="240" w:lineRule="auto"/>
        <w:jc w:val="center"/>
        <w:textAlignment w:val="auto"/>
        <w:rPr>
          <w:rStyle w:val="8"/>
          <w:rFonts w:hint="default" w:ascii="方正仿宋简体" w:hAnsi="方正仿宋简体" w:eastAsia="方正仿宋简体" w:cs="方正仿宋简体"/>
          <w:b/>
          <w:i w:val="0"/>
          <w:caps w:val="0"/>
          <w:color w:val="auto"/>
          <w:spacing w:val="0"/>
          <w:sz w:val="30"/>
          <w:szCs w:val="30"/>
          <w:highlight w:val="none"/>
          <w:u w:val="none"/>
          <w:lang w:val="en-US" w:eastAsia="zh-CN"/>
        </w:rPr>
      </w:pPr>
      <w:r>
        <w:rPr>
          <w:rStyle w:val="8"/>
          <w:rFonts w:hint="eastAsia" w:ascii="方正仿宋简体" w:hAnsi="方正仿宋简体" w:eastAsia="方正仿宋简体" w:cs="方正仿宋简体"/>
          <w:b/>
          <w:i w:val="0"/>
          <w:caps w:val="0"/>
          <w:color w:val="auto"/>
          <w:spacing w:val="0"/>
          <w:sz w:val="30"/>
          <w:szCs w:val="30"/>
          <w:highlight w:val="none"/>
          <w:u w:val="none"/>
          <w:lang w:val="en-US" w:eastAsia="zh-CN"/>
        </w:rPr>
        <w:t>“济城明政”品牌LOGO</w:t>
      </w:r>
    </w:p>
    <w:p>
      <w:pPr>
        <w:rPr>
          <w:highlight w:val="none"/>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TNjN2QyN2QyZGEyYjA4OWRlMmY0ZjFhMmI3ZDQifQ=="/>
  </w:docVars>
  <w:rsids>
    <w:rsidRoot w:val="00000000"/>
    <w:rsid w:val="00375761"/>
    <w:rsid w:val="005A2D64"/>
    <w:rsid w:val="00CF635A"/>
    <w:rsid w:val="00FF1D0A"/>
    <w:rsid w:val="033753ED"/>
    <w:rsid w:val="037602F0"/>
    <w:rsid w:val="03991DF6"/>
    <w:rsid w:val="0623601E"/>
    <w:rsid w:val="0BDA7B09"/>
    <w:rsid w:val="0C7665A5"/>
    <w:rsid w:val="0F302560"/>
    <w:rsid w:val="1167766E"/>
    <w:rsid w:val="137E4637"/>
    <w:rsid w:val="13FF24CD"/>
    <w:rsid w:val="141C5C5D"/>
    <w:rsid w:val="14281D83"/>
    <w:rsid w:val="16B9335B"/>
    <w:rsid w:val="17AF1416"/>
    <w:rsid w:val="1AC90ACB"/>
    <w:rsid w:val="1ADC4B9E"/>
    <w:rsid w:val="1B0740FD"/>
    <w:rsid w:val="1CB347A4"/>
    <w:rsid w:val="1FBF453A"/>
    <w:rsid w:val="21E32E28"/>
    <w:rsid w:val="230A758A"/>
    <w:rsid w:val="234C3A3A"/>
    <w:rsid w:val="259C09C5"/>
    <w:rsid w:val="279D566D"/>
    <w:rsid w:val="27DC0EF4"/>
    <w:rsid w:val="2AE87872"/>
    <w:rsid w:val="2B5C443E"/>
    <w:rsid w:val="2B5D4BE5"/>
    <w:rsid w:val="2B9F159F"/>
    <w:rsid w:val="2E530C6F"/>
    <w:rsid w:val="3088782E"/>
    <w:rsid w:val="32A468A4"/>
    <w:rsid w:val="34B43864"/>
    <w:rsid w:val="39555104"/>
    <w:rsid w:val="3B7E2BAF"/>
    <w:rsid w:val="3EAC0D70"/>
    <w:rsid w:val="3F8A67CD"/>
    <w:rsid w:val="3FE147F1"/>
    <w:rsid w:val="42C677D6"/>
    <w:rsid w:val="42CD39C2"/>
    <w:rsid w:val="44881A99"/>
    <w:rsid w:val="475578CD"/>
    <w:rsid w:val="48E1458E"/>
    <w:rsid w:val="4EBB5B4A"/>
    <w:rsid w:val="4FE07AD2"/>
    <w:rsid w:val="52C65078"/>
    <w:rsid w:val="54AB3A77"/>
    <w:rsid w:val="597C0DDC"/>
    <w:rsid w:val="5A152718"/>
    <w:rsid w:val="5ADB4CD7"/>
    <w:rsid w:val="5C340AAE"/>
    <w:rsid w:val="608F1AF0"/>
    <w:rsid w:val="60AA0540"/>
    <w:rsid w:val="60C61220"/>
    <w:rsid w:val="61851232"/>
    <w:rsid w:val="61CE3B8D"/>
    <w:rsid w:val="61DF66CD"/>
    <w:rsid w:val="627D7201"/>
    <w:rsid w:val="634B3FF6"/>
    <w:rsid w:val="67BB34C6"/>
    <w:rsid w:val="686722C9"/>
    <w:rsid w:val="68E258A1"/>
    <w:rsid w:val="69864A30"/>
    <w:rsid w:val="6A0840EA"/>
    <w:rsid w:val="6B0777A4"/>
    <w:rsid w:val="6BA24D19"/>
    <w:rsid w:val="6BBFF873"/>
    <w:rsid w:val="6BF670AD"/>
    <w:rsid w:val="6CA22ED0"/>
    <w:rsid w:val="6FFD045F"/>
    <w:rsid w:val="703219A0"/>
    <w:rsid w:val="70447EF8"/>
    <w:rsid w:val="7059091C"/>
    <w:rsid w:val="730244EC"/>
    <w:rsid w:val="7A0F2E64"/>
    <w:rsid w:val="7BB332A1"/>
    <w:rsid w:val="7C705F10"/>
    <w:rsid w:val="7F472610"/>
    <w:rsid w:val="B7DFCE35"/>
    <w:rsid w:val="D2DAA82F"/>
    <w:rsid w:val="DFFF5816"/>
    <w:rsid w:val="EFFD8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left="0" w:firstLine="420"/>
    </w:pPr>
    <w:rPr>
      <w:rFonts w:ascii="仿宋_GB2312" w:eastAsia="仿宋_GB2312" w:cs="仿宋_GB2312"/>
      <w:sz w:val="32"/>
      <w:szCs w:val="32"/>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2023-02-01T12:13:00Z</dcterms:created>
  <dc:creator>cgjjz</dc:creator>
  <cp:lastModifiedBy>Administrator</cp:lastModifiedBy>
  <cp:lastPrinted>2023-02-14T15:06:00Z</cp:lastPrinted>
  <dcterms:modified xsi:type="dcterms:W3CDTF">2025-01-24T01:46:32Z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A739C1D8EBDC4A148F616AF8A4C5375B_13</vt:lpwstr>
  </property>
</Properties>
</file>