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文星标宋" w:hAnsi="文星标宋" w:eastAsia="文星标宋" w:cs="文星标宋"/>
          <w:color w:val="FF0000"/>
          <w:sz w:val="28"/>
          <w:szCs w:val="28"/>
        </w:rPr>
      </w:pPr>
      <w:bookmarkStart w:id="4" w:name="_GoBack"/>
      <w:bookmarkEnd w:id="4"/>
    </w:p>
    <w:tbl>
      <w:tblPr>
        <w:tblStyle w:val="4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rPr>
          <w:jc w:val="center"/>
        </w:trP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0"/>
          </w:p>
        </w:tc>
      </w:tr>
    </w:tbl>
    <w:p>
      <w:pPr>
        <w:spacing w:line="400" w:lineRule="exact"/>
        <w:jc w:val="center"/>
      </w:pPr>
    </w:p>
    <w:p>
      <w:pPr>
        <w:spacing w:line="4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济政发〔2024〕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3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79745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3pt;margin-top:7.95pt;height:0pt;width:439.35pt;z-index:251659264;mso-width-relative:page;mso-height-relative:page;" filled="f" stroked="t" coordsize="21600,21600" o:gfxdata="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omVwEtUAAAAHAQAADwAAAAAAAAABACAAAAAiAAAA&#10;ZHJzL2Rvd25yZXYueG1sUEsBAhQAFAAAAAgAh07iQMWFMfTRAQAAzgMAAA4AAAAAAAAAAQAgAAAA&#10;JAEAAGRycy9lMm9Eb2MueG1sUEsFBgAAAAAGAAYAWQEAAGc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500" w:lineRule="exact"/>
        <w:ind w:right="-6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500" w:lineRule="exact"/>
        <w:jc w:val="center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关于下达济宁市2024年国民经济和</w:t>
      </w:r>
    </w:p>
    <w:p>
      <w:pPr>
        <w:spacing w:line="5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社会发展计划的通知</w:t>
      </w:r>
      <w:bookmarkEnd w:id="2"/>
    </w:p>
    <w:p>
      <w:pPr>
        <w:spacing w:line="500" w:lineRule="exact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spacing w:line="500" w:lineRule="exact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各县（市、区）人民政府，济宁高新区、太白湖新区、济宁经济技术开发区管委会，市政府各部门，各大企业，各高等院校：</w:t>
      </w:r>
    </w:p>
    <w:p>
      <w:pPr>
        <w:spacing w:line="5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《济宁市2024年国民经济和社会发展计划》已经市十八届人大三次会议审议批准，现印发给你们，望认真组织实施。</w:t>
      </w:r>
    </w:p>
    <w:p>
      <w:pPr>
        <w:spacing w:line="520" w:lineRule="exact"/>
        <w:ind w:firstLine="641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520" w:lineRule="exact"/>
        <w:ind w:firstLine="641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520" w:lineRule="exact"/>
        <w:ind w:firstLine="641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wordWrap w:val="0"/>
        <w:spacing w:line="600" w:lineRule="exact"/>
        <w:ind w:right="-142" w:rightChars="-71" w:firstLine="642"/>
        <w:jc w:val="right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 xml:space="preserve">济宁市人民政府            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 xml:space="preserve">                          2024年3月</w:t>
      </w:r>
      <w:r>
        <w:rPr>
          <w:rFonts w:hint="default" w:ascii="方正仿宋简体" w:hAnsi="方正仿宋简体" w:eastAsia="方正仿宋简体" w:cs="方正仿宋简体"/>
          <w:b/>
          <w:sz w:val="32"/>
          <w:szCs w:val="32"/>
          <w:lang w:bidi="ar"/>
        </w:rPr>
        <w:t>31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日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（此件公开发布）</w:t>
      </w: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jc w:val="center"/>
        <w:rPr>
          <w:rFonts w:hint="eastAsia" w:ascii="方正小标宋简体" w:hAnsi="方正仿宋简体" w:eastAsia="方正小标宋简体" w:cs="方正仿宋简体"/>
          <w:b/>
          <w:sz w:val="44"/>
          <w:szCs w:val="44"/>
          <w:lang w:bidi="ar"/>
        </w:rPr>
      </w:pPr>
      <w:r>
        <w:rPr>
          <w:rFonts w:hint="eastAsia" w:ascii="方正小标宋简体" w:hAnsi="方正仿宋简体" w:eastAsia="方正小标宋简体" w:cs="方正仿宋简体"/>
          <w:b/>
          <w:sz w:val="44"/>
          <w:szCs w:val="44"/>
          <w:lang w:bidi="ar"/>
        </w:rPr>
        <w:t>济宁市2024年国民经济和社会发展计划</w:t>
      </w: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2024年是中华人民共和国成立75周年，是实施“十四五”规划的关键一年，做好经济社会发展工作意义重大。全市经济社会发展的主要预期目标为：地区生产总值增长5.5%以上、力争突破6000亿元，一般公共预算收入增长5%以上、突破500亿元，规上工业增加值增长8%以上，固定资产投资增长7%左右，社会消费品零售总额增长6%以上；城乡居民人均可支配收入增长6%以上，城镇新增就业6.1万人</w:t>
      </w:r>
      <w:r>
        <w:rPr>
          <w:rFonts w:hint="default" w:ascii="方正仿宋简体" w:hAnsi="方正仿宋简体" w:eastAsia="方正仿宋简体" w:cs="方正仿宋简体"/>
          <w:b/>
          <w:sz w:val="32"/>
          <w:szCs w:val="32"/>
          <w:lang w:bidi="ar"/>
        </w:rPr>
        <w:t>以上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，全面完成省下达的节能减排降碳约束性指标和环境质量改善目标。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方正仿宋简体" w:eastAsia="方正黑体简体" w:cs="方正仿宋简体"/>
          <w:b/>
          <w:sz w:val="32"/>
          <w:szCs w:val="32"/>
          <w:lang w:bidi="ar"/>
        </w:rPr>
        <w:t>一、坚持畅通内外循环，挖掘市场需求新潜力。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利用国内国际两个市场、两种资源，推动形成消费和投资相互促进的良性循环，为经济总量迈上新台阶提供有力支撑。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一是积极扩大有效投资。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（1）实施重点项目“1122”工程。坚持领导包保、专班推进、集中开工、定期观摩，制定预支土地指标、市级政府投资等要素分配方案，集中要素推进省市县三级重点项目1000个，重点突破10个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过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百亿、20个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过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50亿、20个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过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30亿项目，确保完成投资突破2000亿元。（2）实施重大基础设施攻坚行动。加快推进38个重大交通项目、74项现代水网工程、28个重大能源项目，交通、水利、能源分别完成投资150亿元、70亿元、70亿元以上。（3）实施新一轮技改行动。滚动实施1000个工业新上和技改项目，推动1000家企业转型升级，技改投资突破850亿元、增长10%以上。（4）实施“招商引资突破年”行动。新落地过50亿元项目8个以上、过百亿元项目2个以上。每个县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（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、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区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）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至少落地1个过千万美元制造业外资项目，推动重点项目增资扩股3亿美元，全市实际利用外资达到10亿美元以上、高技术外资占比达到30%。每个开发区落地</w:t>
      </w:r>
      <w:r>
        <w:rPr>
          <w:rFonts w:hint="default" w:ascii="方正仿宋简体" w:hAnsi="方正仿宋简体" w:eastAsia="方正仿宋简体" w:cs="方正仿宋简体"/>
          <w:b/>
          <w:sz w:val="32"/>
          <w:szCs w:val="32"/>
          <w:lang w:bidi="ar"/>
        </w:rPr>
        <w:t>过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10亿元项目2个</w:t>
      </w:r>
      <w:r>
        <w:rPr>
          <w:rFonts w:hint="default" w:ascii="方正仿宋简体" w:hAnsi="方正仿宋简体" w:eastAsia="方正仿宋简体" w:cs="方正仿宋简体"/>
          <w:b/>
          <w:sz w:val="32"/>
          <w:szCs w:val="32"/>
          <w:lang w:bidi="ar"/>
        </w:rPr>
        <w:t>以上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，济宁经开区、金乡开发区、鱼台开发区力争落地50亿元以上项目，济宁高新区、兖州工业园、邹城开发区力争落地百亿元项目。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二是充分释放消费潜能。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（1）提振新能源汽车消费。实施“电化行动</w:t>
      </w:r>
      <w:r>
        <w:rPr>
          <w:rFonts w:hint="eastAsia" w:ascii="宋体" w:hAnsi="宋体" w:cs="宋体"/>
          <w:b/>
          <w:sz w:val="32"/>
          <w:szCs w:val="32"/>
          <w:lang w:bidi="ar"/>
        </w:rPr>
        <w:t>•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低碳济宁”五年行动，研究编制全市公用充电桩布局图，党政机关新采购公务用车全部为新能源汽车，出台新能源汽车充电、停车等优惠政策，全市公共充电桩达到1.6万台、快充桩比例超过40%，新能源汽车保有量增长25%以上、市场渗透率达到40%以上。（2）提振文旅消费。实施“百家景区焕新”行动，线上举行“周游济宁”线路产品创新设计大赛，线下开展“十城百企千里”巡回推介，力争接待国内游客突破8800万人次，旅游总收入突破820亿元。新增规上文化企业30家以上，文化产业增加值达到210亿元。（3）提振电商和接触性消费。推进太白楼路省级智慧商圈建设，开展促消费活动100场。新增省级直播电商基地、供应链基地、电商企业10家以上。（4）提振房地产市场。联动施策满足刚性和改善性需求，出台力度更大的金融、公积金支持和团购政策，解决新市民、青年人、农民工住房问题；出台金融服务、带押过户、以旧换新等支持政策，激活二手房市场；每个县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（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、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区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）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再开工1处高品质住房，激活高端市场需求。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三是扎实推进对外开放。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（1）打造对外开放平台。充分发挥龙拱港、兖州国际陆港等海关监管场所作用，推进济宁高新保税物流中心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（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val="en-US" w:eastAsia="zh-CN" w:bidi="ar"/>
        </w:rPr>
        <w:t>B型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）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获批，打造集海关监管、综合服务、出口加工等于一体的对外开放平台。（2）加力扩大市场份额。巩固欧美日韩市场，扩大东盟、俄罗斯、中亚、中东、非洲市场，在“一带一路”沿线布局5家公共海外仓，放大工程机械、二手车等产品优势，扩大“新三样”产品出口，新增外贸实绩企业100家以上、外贸进出口突破1000亿元。（3）提升跨境电商综试区能级。规划建设济宁高新区核心区、汶上先行区、太白湖融合区、兖州创新集聚区，全市跨境电商企业突破400家、进出口突破120亿元。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pacing w:val="-6"/>
          <w:sz w:val="32"/>
          <w:szCs w:val="32"/>
          <w:lang w:bidi="ar"/>
        </w:rPr>
      </w:pPr>
      <w:r>
        <w:rPr>
          <w:rFonts w:hint="eastAsia" w:ascii="方正黑体简体" w:hAnsi="方正仿宋简体" w:eastAsia="方正黑体简体" w:cs="方正仿宋简体"/>
          <w:b/>
          <w:sz w:val="32"/>
          <w:szCs w:val="32"/>
          <w:lang w:bidi="ar"/>
        </w:rPr>
        <w:t>二、坚持新旧动能转换，锻造产业竞争新优势。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坚持主攻实体经济、突出制造强市建设不动摇，以产带链，以链兴群，建设国家级制造业高质量发展试验区中心城市。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一是培大扶强先进制造。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打造强企方阵。深化助企攀登，年内营收过10亿、50亿和百亿元的企业分别达到59家、15家和7家以上，力争新培育省级以上单项冠军、专精特新、瞪羚企业100家以上，新增“四上”企业2000家。（2）做强产业集群。紧扣19条核心产业链，推动攀登企业“卡位入链”，谋划生成416个产业链项目，每条产业链落地项目5个以上，推动“231”产业集群规模突破4500亿元，力争制造业占GDP比重提高2个百分点以上。（3）加快两业融合。推进100个服务业重点项目，培育100家骨干企业，服务业增加值增长6.5%、规模突破3000亿元，打造全省两业融合发展先行区、国家两业融合服务业项目经验样板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二是激活新兴产业引擎。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突破发展数字经济。制定全市数字经济攻坚突破实施方案，实施数字产业倍增行动，做大机器人、集成电路、汽车电子和智能终端4条核心产业链，数字经济核心产业营收突破720亿元、增长20%以上。超前部署算力基础设施，加快推进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济宁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高新区华付、嘉祥鹏博士、汶上哈希、太白湖鲁南等算力项目，争创省5A级数据中心，打造鲁南算力中心。（2）突破发展新能源汽车产业。出台新能源汽车产业发展五年行动方案，推进宁德时代、长城汽车、厦门金龙等链主项目建设，推动曲阜馨联动力总成、德国大陆轮速传感器、天博高精度传感器、兖州芯诺电子元器件、汶上李尔汽车线束等配套产业发展，壮大新能源挖掘机、矿用车、应急车、房车等整车制造规模，年内规上新能源汽车企业数量突破40家、营收突破150亿元。（3）突破工业母机产业。出台工业母机高质量发展五年行动计划，实施链条跃升、技术攻关、数字转型、应用拓展“四大行动”，做强绿色环保精密机床，做细精密滚珠丝杠、导轨副等精密传动部件，产业集群规模突破30亿元。（4）突破稀土和碳材料产业。发挥梁山、微山稀土产业优势，提升碳材料研究院和稀土研究院创新能级，深化与中国稀土集团、中科院等龙头企业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、院所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合作，落地重大产业化项目10个以上，推动梁山、微山稀土产业向催化、永磁等终端延伸，突出打造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济宁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高新区第三代半导体、嘉祥和金乡碳纤维等产业集群。（5）突破发展未来产业。布局人形机器人、合成生物技术、新型储能等19个前沿性未来产业领域，建设未来产业创新策源新高地。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三是释放港航经济活力。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提升港航基础设施。开展《济宁港总体规划》修编，开工韩庄港、湖西航道上级湖段改造、顺达港铁路线，提速建设粮食物流产业园疏港道路、安澜路（G237）改建和微山三线船闸，完成龙拱港铁路专用线建设，构建多式联运体系。（2）壮大港航物贸规模。畅通连接长江经济带、成渝双城经济圈战略通道，全市货物吞吐量突破8500万吨，集装箱吞吐量突破30万标箱，全力争创港口型国家物流枢纽承载城市。（3）加速港产深度融合。加力推进梁山港煤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钢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物流园、邹城新能源船舶制造基地等“六大临港百亿园区”，竣工新能源船舶制造基地一期项目、实现年造船能力240艘，加快打造国内一流的“内河经济新廊带”。超前规划国</w:t>
      </w:r>
      <w:r>
        <w:rPr>
          <w:rFonts w:hint="eastAsia" w:ascii="方正仿宋简体" w:hAnsi="方正仿宋简体" w:eastAsia="方正仿宋简体" w:cs="方正仿宋简体"/>
          <w:b/>
          <w:spacing w:val="-6"/>
          <w:sz w:val="32"/>
          <w:szCs w:val="32"/>
          <w:lang w:bidi="ar"/>
        </w:rPr>
        <w:t>际空港经济区、高铁综合物流园区，打造现代物流产业发展新高地。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方正仿宋简体" w:eastAsia="方正黑体简体" w:cs="方正仿宋简体"/>
          <w:b/>
          <w:sz w:val="32"/>
          <w:szCs w:val="32"/>
          <w:lang w:bidi="ar"/>
        </w:rPr>
        <w:t>三、坚持改革创新驱动，增强经济发展新动力。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持续深化改革创新，发展新质生产力，切实破解制约高质量发展的矛盾问题，以改革开辟新空间，以创新注入新动能。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一是深化重点领域改革。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（1）深化改革优化环境，出台新一版营商环境创新提升方案，实施政务服务提质、营商环境优化、项目审批增效、重点领域创新系列专项行动，加力提升数字治理服务水平，持续推动信用济宁建设。（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val="en-US" w:eastAsia="zh-CN" w:bidi="ar"/>
        </w:rPr>
        <w:t>2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）深化开发区体制机制改革，“一区一策”制定园区改革实施方案。提高园区土地集约利用效率，济宁高新区和各省级开发区新建工业项目亩均投资分别达到350万元、280万元以上，亩均税收分别突破30万元、20万元以上。（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val="en-US" w:eastAsia="zh-CN" w:bidi="ar"/>
        </w:rPr>
        <w:t>3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）落实“两个毫不动摇”，坚持公有制经济和非公有制经济协调发展、一体推进，实施国有企业改革深化提升行动，做强做优国有资本和国有企业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；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民营企业贷款增速提高7个百分点以上，新增首贷户6000户以上，充分激发民营经济活力动力。完善企业家荣誉激励机制，开展企业家评先树优活动，营造尊重企业家、爱护企业家、服务企业家的良好氛围。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二是强化科技创新赋能。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实施产业协同创新行动。聚焦19条核心产业链，年内赋能企业200家以上，力争高新技术产业产值占规模以上工业总产值比重达到50%以上。（2）实施创新主体培育行动。培育高新技术企业400家以上，入库科技型中小企业1500家以上，培育省科技领军企业20家以上。（3）实施高校院所合作行动。启动产学研合作三年行动计划，引进大院大所共建创新载体20家以上，促成高质量校地合作项目10项以上。发挥曲阜师范大学、济宁学院、省科学院激光研究所等作用，组建驻济高校院所创新联盟。（4）实施企业研发突破行动。全面推行企业研发项目备案制管理，设立研发投入红线制度，全社会研发投入增长15%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以上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、突破百亿大关。（5）实施技术攻关转化行动。组建省内首家技术转移学院，支持“颠覆性”技术、“进口替代”技术攻关项目100项以上。强化知识产权保护，推动专利转化运用，全市万人高价值发明专利拥有量增长20%以上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三是增强要素集聚效应。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（1）提升用地保障效能。实行重点项目分级分类保障，统筹1万亩预支新增用地指标保障省市重点项目，鼓励县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（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、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区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）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挖潜指标，处置批而未供和闲置低效土地2万亩。（2）提升金融服务效能。深化政金企合作、金融助企攀登等活动，新增贷款1000亿元以上，争取使用央行政策资金230亿元以上、政策性开发性贷款100亿元以上，市级重点上市后备企业突破40家、新增上市公司3家。发挥市担保集团作用，累保余额突破500亿元。引领保险机构转型发展，保费收入突破240亿元。放大基金杠杆效应，新投资项目15个以上。聚焦国家政策“工具箱”和省政策清单，做好项目策划包装，争取竞争性资金400亿元以上。（3）提升人才支撑效能。建设全省人才重要节点城市、青年发展友好型城市，新增高端人才创新团队10个以上、省级及以上重点人才工程人选25人以上，引进领军人才220人以上、青年人才4万人以上。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方正仿宋简体" w:eastAsia="方正黑体简体" w:cs="方正仿宋简体"/>
          <w:b/>
          <w:sz w:val="32"/>
          <w:szCs w:val="32"/>
          <w:lang w:bidi="ar"/>
        </w:rPr>
        <w:t>四、坚持城乡融合发展，构筑城市建设新格局。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统筹都市区与县域、城市与乡村融合发展，不断增强城市综合承载力和集聚带动力，打造全国都市区建设示范城市。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一是加速都市区融合。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健全工作推进体制机制。充分发挥都市区规划建设管理委员会作用，建立常态化运行机制，对文化、交通、产业、公共服务等重大项目统筹规划、通盘把握，研究差异化评价激励政策，引导各版块差异发展、功能互补。（2）推进交通互联互通。争取济济高铁纳入国家相关规划，提速推进济枣高铁、济邹高速、济微高速、济商高速建设，开工兖郓高速，加快形成“五纵五横”高速公路网、“三纵一横”高速铁路网，争创全国性综合交通枢纽城市。完成崇德大道辅路及附属工程、海川路北跨新兖铁路桥、共青团路北延至任城界拓宽改造，提速实施站前路东西延、蔡庄互通立交等工程；以内环高架“四个立交”为基点，发散建设八条快速连接线，建成济宁大道东连接线，开工建设宁安大道北、济宁大道西连接线，实现高架到高速无红绿灯快速通行。加力突破航空发展，通航城市达到30个、游客吞吐量突破150万人次。全力推动航空口岸开放纳入国家规划，尽快开通日韩、东南亚等重点区域国际包机航线，实现我市航空口岸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“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零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”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突破。（3）提升城市功能品质。提升高速路口、立交道口环境品质，建设城市社区嵌入式服务设施，持续推进片区更新项目29个，改造老旧小区214个，新改建“口袋公园”101处，提升道路交叉口17处，完成5条道路雨水管网改造。（4）实现城市共建共享。推动市政、民生、服务、文化等重点领域快速融合，做好国家公交都市创建工作，打破行政区划“界限感”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二是强力突破县域经济。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（1）实施县域经济高质量发展行动。分类推进经济强县领跑、特色强县示范、薄弱县赶超，抓好任城、兖州、曲阜、邹城4个省级绿色低碳高质量发展先行区综合区域试点建设，推动每个县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（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、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区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）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集中打造1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—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2个产值过百亿优势产业集群，力争更多的县成为全省工业、民营经济、现代农业、生态文明、科技创新、对外开放、现代流通和文旅强县。（2）实施园区能级跃升行动。出台推动开发区高质量发展的意见，全力推动开发区争先进位，确保5家开发区进入全省“一等”，济宁高新区在全国国家级高新区排名中只进不退、保持第一方阵。全面消除百亿元以下开发区，力争通过两年发展，济宁高新区、邹城开发区、兖州工业园区打造千亿级园区，梁山经开区、金乡经开区打造500亿级园区。（3）强化产业支撑作用。抓好济宁高新区、太白湖新区、济宁经开区等7家省级绿色低碳高质量发展先行区产业园区试点，培育30个产值过50亿元的中小微企业特色专业园区、过百亿元的县域特色专业园区，新培育省级“雁阵形”产业集群2个、先进制造业集群1个、中小企业特色产业集群2个。（4）强化城镇化载体功能。加快邹城、金乡、兖州等省级城乡融合发展试验区、9个省级小城镇创新提升试点建设，推进汶上省级县城城镇化建设试点，实施省级新型城镇化项目105个，以点带面推动全市新型城镇化高质量发展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三是全面推进乡村振兴。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培育农村经营主体。重点帮扶农业龙头企业20家，新评定省级以上合作社示范社（场）100家，做大做强金乡大蒜、兖州粮油、邹城食用菌、微山渔湖产品、梁山肉牛、泗水甘薯等优势特色产业集群，加快建设现代农业强市。（2）开展“百区千村”示范创建。全面落实“千万工程”经验，完成第一批118个示范片区验收，启动第二批96个示范片区创建，争创2个省级示范片区。（3）推动农村人居环境整治。创建人居环境A类村500个、B类村800个、C类村1000个，示范片区内村庄全面提升，全市人居环境“差村”全部清零。新改建农村公路700公里，改造农村危房750户，保持黑臭水体动态清零。（4）优化农业社会化服务。扩大土地托管服务规模，全市农业社会化服务达到800万亩次，土地托管310万亩以上。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方正仿宋简体" w:eastAsia="方正黑体简体" w:cs="方正仿宋简体"/>
          <w:b/>
          <w:sz w:val="32"/>
          <w:szCs w:val="32"/>
          <w:lang w:bidi="ar"/>
        </w:rPr>
        <w:t>五、坚持降碳减污扩绿，绘就美丽生态新画卷。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践行习近平生态文明思想，协同推进降碳、减污、扩绿、增长，用绿色铺就生态济宁最美底色。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一是持续改善环境质量。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（1）打好蓝天保卫战。抓实工业源、移动源、扬尘源、散煤等污染问题治理，确保PM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vertAlign w:val="subscript"/>
          <w:lang w:bidi="ar"/>
        </w:rPr>
        <w:t>2.5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年均浓度和空气质量优良率完成省定目标。（2）打好碧水保卫战。严格落实“四水四定”，实施水资源配置工程14个、启动城市污水处理厂新扩建项目5个，常态化开展城乡黑臭水体治理，确保28个国省控断面、34条入湖河流、南水北调干线水质达标率均达到100%，全市用水总量控制在23.29亿立方米以内，万元GDP用水量较“十三五”末降低17%以上。（3）打好净土保卫战。加快推进“无废城市”、全国地下水污染防治试验区建设，强化固体废物和新污染物治理，确保建设用地安全利用率100%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二是筑牢生态保护屏障。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（1）落实黄河生态战略。谋划实施黄河流域重点事项300项、省市重大项目20个，开展黄河干流总氮治理专项行动，确保总氮浓度持续改善。（2）扎实做好生态河湖建设。全面落实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“河长制”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“湖长制”，完善南四湖流域生态保护联防联控工作机制，开展河湖“四乱”问题常态化整治，创建省级示范河湖3条以上。（3）强化生态源头管控。打好荒山绿化三年行动收官战，完成荒山绿化5300亩、矿山修复1.1万亩、湿地修复5000亩、采煤塌陷地治理2万亩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三是加快绿色低碳发展。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实施碳达峰十大工程。制定重点行业碳达峰工作方案，筛选3.4万亩新造林开展碳汇开发，创建省级以上绿色工厂8家，推进时代绿能1.1GW大型光伏、集中式陆上风电和5个整县屋顶分布式光伏开发试点建设，提升绿电使用比例，新能源和可再生能源装机规模达到580万千瓦、发电量完成70亿千瓦时，煤电机组装机占比下降至60%左右。（2）推广绿色低碳生活方式。加大建筑节能推广力度，推进节约型机关、绿色家庭、绿色学校、绿色社区、绿色出行、绿色商场创建行动。（3）探索开发“碳账户”管理系统。建立绿色低碳行为相关数据收集分析平台，开展碳普惠应用实践。</w:t>
      </w:r>
    </w:p>
    <w:p>
      <w:pPr>
        <w:spacing w:line="600" w:lineRule="exact"/>
        <w:ind w:firstLine="642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黑体简体" w:hAnsi="方正仿宋简体" w:eastAsia="方正黑体简体" w:cs="方正仿宋简体"/>
          <w:b/>
          <w:sz w:val="32"/>
          <w:szCs w:val="32"/>
          <w:lang w:bidi="ar"/>
        </w:rPr>
        <w:t>六、坚持民生共建共享，打造共同富裕新样板。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突出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养老托育、教育医疗、就业增收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等重点工作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，增强公共服务的均衡性和可及性，建设更高水平的平安济宁，让现代化建设成果更多更公平惠及群众。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一是兜牢民生保障网络。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（1）促进高质量充分就业，实现城镇新增就业6.1万人以上，城乡公益岗在岗规模保持在10万人以上。（2）建设全省教育高地，大力发展优质均衡教育，深入实施“六个三年行动计划”，新增公办幼儿园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学位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6000个，公办率、普惠率分别达到70%、94%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以上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；新改扩建中小学28所，新增学位3万个；新创建省级特色高中3所，普通高中录取比例达到62%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以上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。提升职业学校能级，强化高职院校产教联合体建设，加快济宁职业技术学院、山东理工职业学院“双高”计划创建和济宁汽车工程职业学院建设，畅通中职升学通道，推进五年制中高职贯通培养。（3）建设区域医疗高地，实质性运作西苑医院济宁医院、进入全国中医院前100名，市第一人民医院、济医附院分别进入全国综合医院前100名、前80名，戴庄医院进入全国精神专科医院前6名，提升市妇幼保健院综合能力。加快县域优质医疗卫生资源扩容和均衡布局，建成县域医疗服务次中心30个。落实基层医疗机构保障，三年实现乡村医生轮训全覆盖。建强心理健康队伍，举办100场重点群体、重点场所心理科普，争创国家级心理健康服务示范城市。（4）启动普惠托育服务高质量发展“三年行动计划”，开展增量、降费、提质“三大行动”，新增7000个托位，千人托位数达到5.6个，建设国家儿童友好城市。（5）大力发展中高端养老，抓好社区养老、居家养老，建设家庭养老床位2000张、实施困难老年人家庭适老化改造2000户，争创全国居家和社区基本养老服务提升行动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项目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试点城市。完善乡镇综合养老服务中心功能，提升农村养老服务水平。（6）实施社会保险扩面提量行动，9类困难群众救助保障标准提高7.5%以上，按时足额发放困难群众救助保障金。深化医保支付方式改革，推进居民长护险全覆盖。建设全国生育支持政策实验基地，进一步优化生育政策，保持适度生育水平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二是织牢社会治理网络。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提升基层治理能力。完善市县乡三级“和为贵”社会治理服务体系，强化群众诉求受理、转办、回访、督办闭环流程，增强网格化服务效能，推进信访工作法治化，实现群众诉求、矛盾纠纷一站式受理、一揽子解决。（2）丰富群众精神文化生活。推动尼山片区率先突破，推进尼山世界儒学中心联合研究生院、尼山书院二期等重点项目建设，推动鲁源小镇正式开园，高标准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 w:bidi="ar"/>
        </w:rPr>
        <w:t>承办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尼山世界文明论坛、国际孔子文化节等活动，打响“千年鲁源、万世昌平”文化新地标。（3）深化全国文明城市创建，加强文物保护利用和非物质文化遗产传承，提升全民科学文化素养，全面提高社会文明程度和市民文明素质。积极推进移风易俗，大力培育文明乡风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bidi="ar"/>
        </w:rPr>
        <w:t>三是筑牢安全发展网络。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（1）守住安全生产底线，深入开展“安全生产治本攻坚三年行动”，强化煤矿、危化品、建筑施工、道路交通、燃气等重点领域隐患排查整治。（2）守住财政风险底线，落实党政机关“过紧日子”要求，严控一般性支出，兜住“三保”支出，毫不放松抓好债务风险化解。（3）守住金融风险底线，扎实推进“金安工程”，加强风险预警防范和积案处置，全市不良贷款率保持全省较低水平。（4）守住粮食安全底线，落实耕地保护和粮食安全责任制，新建和改造提升高标准农田40万亩，粮食总产突破100亿斤。创建国家食品安全示范城市，推进药品三化融合、两网合一监管模式，强化食品药品全链条闭环监管。（5）守住能源安全底线，完成煤炭产量5000万吨，发电量510亿千瓦时，天然气供应11.5亿立方米。（6）建设平安济宁，提升法治建设水平，常态化扫黑除恶，深化反电诈全民攻坚，打好第三轮禁毒人民战争，开展打击黄赌毒专项行动，争创平安中国建设示范市、全国社会治安防控体系建设示范城市和全国法治政府建设示范市。完善防灾减灾救灾体系，强化应急物资储备，扎实做好防震减灾、防汛抗旱、森林防灭火、极端天气应对等各项工作。</w:t>
      </w: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z w:val="32"/>
          <w:szCs w:val="32"/>
          <w:lang w:bidi="ar"/>
        </w:rPr>
      </w:pPr>
    </w:p>
    <w:p>
      <w:pPr>
        <w:spacing w:line="600" w:lineRule="exact"/>
        <w:ind w:firstLine="642"/>
        <w:rPr>
          <w:rFonts w:ascii="方正仿宋简体" w:hAnsi="方正仿宋简体" w:eastAsia="方正仿宋简体" w:cs="方正仿宋简体"/>
          <w:b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附件：济宁市2024年国民经济和社会发展主要计划指标</w:t>
      </w:r>
    </w:p>
    <w:p>
      <w:pPr>
        <w:spacing w:line="600" w:lineRule="exact"/>
        <w:rPr>
          <w:rFonts w:ascii="方正仿宋简体" w:eastAsia="方正仿宋简体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ind w:firstLine="400" w:firstLineChars="200"/>
        <w:rPr>
          <w:rFonts w:ascii="方正仿宋简体" w:eastAsia="方正仿宋简体"/>
        </w:rPr>
      </w:pPr>
    </w:p>
    <w:p>
      <w:pPr>
        <w:spacing w:line="600" w:lineRule="exact"/>
        <w:ind w:firstLine="400" w:firstLineChars="200"/>
        <w:rPr>
          <w:rFonts w:ascii="方正仿宋简体" w:eastAsia="方正仿宋简体"/>
        </w:rPr>
      </w:pPr>
    </w:p>
    <w:p>
      <w:pPr>
        <w:spacing w:line="600" w:lineRule="exact"/>
        <w:ind w:firstLine="400" w:firstLineChars="200"/>
        <w:rPr>
          <w:rFonts w:ascii="方正仿宋简体" w:eastAsia="方正仿宋简体"/>
        </w:rPr>
      </w:pPr>
    </w:p>
    <w:p>
      <w:pPr>
        <w:spacing w:line="600" w:lineRule="exact"/>
        <w:ind w:firstLine="400" w:firstLineChars="200"/>
        <w:rPr>
          <w:rFonts w:ascii="方正仿宋简体" w:eastAsia="方正仿宋简体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bCs/>
          <w:sz w:val="32"/>
          <w:szCs w:val="32"/>
        </w:rPr>
        <w:t>附件</w:t>
      </w:r>
    </w:p>
    <w:p>
      <w:pPr>
        <w:spacing w:line="600" w:lineRule="exact"/>
        <w:ind w:firstLine="723" w:firstLineChars="200"/>
        <w:rPr>
          <w:rFonts w:hint="eastAsia" w:ascii="方正小标宋简体" w:hAnsi="文星仿宋" w:eastAsia="方正小标宋简体" w:cs="方正仿宋简体"/>
          <w:b/>
          <w:color w:val="000000"/>
          <w:sz w:val="32"/>
          <w:szCs w:val="32"/>
        </w:rPr>
      </w:pPr>
      <w:r>
        <w:rPr>
          <w:rFonts w:hint="eastAsia" w:ascii="方正小标宋简体" w:hAnsi="方正仿宋简体" w:eastAsia="方正小标宋简体"/>
          <w:b/>
          <w:sz w:val="36"/>
          <w:szCs w:val="36"/>
        </w:rPr>
        <w:t>济宁市</w:t>
      </w:r>
      <w:r>
        <w:rPr>
          <w:rFonts w:hint="eastAsia" w:ascii="方正小标宋简体" w:eastAsia="方正小标宋简体"/>
          <w:b/>
          <w:sz w:val="36"/>
          <w:szCs w:val="36"/>
        </w:rPr>
        <w:t>2024</w:t>
      </w:r>
      <w:r>
        <w:rPr>
          <w:rFonts w:hint="eastAsia" w:ascii="方正小标宋简体" w:hAnsi="方正仿宋简体" w:eastAsia="方正小标宋简体"/>
          <w:b/>
          <w:sz w:val="36"/>
          <w:szCs w:val="36"/>
        </w:rPr>
        <w:t>年国民经济和社会发展主要计划指标</w:t>
      </w:r>
    </w:p>
    <w:tbl>
      <w:tblPr>
        <w:tblStyle w:val="4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1"/>
        <w:gridCol w:w="797"/>
        <w:gridCol w:w="1238"/>
        <w:gridCol w:w="1200"/>
        <w:gridCol w:w="1275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  <w:jc w:val="center"/>
        </w:trPr>
        <w:tc>
          <w:tcPr>
            <w:tcW w:w="3691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hAnsi="方正仿宋简体" w:eastAsia="方正黑体简体"/>
                <w:b/>
                <w:sz w:val="24"/>
              </w:rPr>
            </w:pPr>
            <w:r>
              <w:rPr>
                <w:rFonts w:hint="eastAsia" w:ascii="方正黑体简体" w:hAnsi="方正仿宋简体" w:eastAsia="方正黑体简体"/>
                <w:b/>
                <w:sz w:val="24"/>
              </w:rPr>
              <w:t>指   标   名   称</w:t>
            </w:r>
          </w:p>
        </w:tc>
        <w:tc>
          <w:tcPr>
            <w:tcW w:w="797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计算                      单位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2023年完成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2024年计划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369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hAnsi="方正仿宋简体" w:eastAsia="方正黑体简体"/>
                <w:b/>
                <w:sz w:val="24"/>
              </w:rPr>
            </w:pPr>
          </w:p>
        </w:tc>
        <w:tc>
          <w:tcPr>
            <w:tcW w:w="797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绝对量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增长（%）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绝对量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增长（%）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rPr>
                <w:rFonts w:ascii="方正仿宋简体" w:hAnsi="方正仿宋简体" w:eastAsia="方正黑体简体"/>
                <w:b/>
                <w:sz w:val="24"/>
              </w:rPr>
            </w:pPr>
            <w:r>
              <w:rPr>
                <w:rFonts w:ascii="方正仿宋简体" w:hAnsi="方正仿宋简体" w:eastAsia="方正黑体简体"/>
                <w:b/>
                <w:sz w:val="24"/>
              </w:rPr>
              <w:t>一、经济增长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地区生产总值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5516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6.5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6000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5.5以上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规模以上工业增加值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10.6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8以上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固定资产投资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7.1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7左右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社会消费品零售总额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2732.7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11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2896.7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外贸进出口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971.5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1000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促稳提质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实际使用外资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w w:val="90"/>
                <w:sz w:val="24"/>
              </w:rPr>
            </w:pPr>
            <w:r>
              <w:rPr>
                <w:rFonts w:ascii="方正仿宋简体" w:eastAsia="方正仿宋简体"/>
                <w:b/>
                <w:spacing w:val="-17"/>
                <w:w w:val="90"/>
                <w:sz w:val="24"/>
              </w:rPr>
              <w:t>亿美元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10.7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-17.4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10以上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促稳提质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一般公共预算收入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475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6.1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500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居民消费价格指数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上年=100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99.5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103左右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rPr>
                <w:rFonts w:ascii="方正仿宋简体" w:hAnsi="方正仿宋简体" w:eastAsia="方正黑体简体"/>
                <w:b/>
                <w:sz w:val="24"/>
              </w:rPr>
            </w:pPr>
            <w:r>
              <w:rPr>
                <w:rFonts w:ascii="方正仿宋简体" w:hAnsi="方正仿宋简体" w:eastAsia="方正黑体简体"/>
                <w:b/>
                <w:sz w:val="24"/>
              </w:rPr>
              <w:t>二、创新驱动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研发经费投入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92.4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15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6"/>
                <w:sz w:val="22"/>
                <w:szCs w:val="22"/>
              </w:rPr>
              <w:t>（2022年）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105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15以上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6"/>
                <w:sz w:val="22"/>
                <w:szCs w:val="22"/>
              </w:rPr>
              <w:t>（2023年）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研发经费投入强度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1.74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2"/>
                <w:szCs w:val="22"/>
              </w:rPr>
              <w:t>（2022年）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1.9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2"/>
                <w:szCs w:val="22"/>
              </w:rPr>
              <w:t>（2023年）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万人高价值发明专利拥有量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件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3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w w:val="90"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3.6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w w:val="90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“四新”</w:t>
            </w:r>
            <w:r>
              <w:rPr>
                <w:rFonts w:hint="eastAsia" w:ascii="方正仿宋简体" w:hAnsi="方正仿宋简体" w:eastAsia="方正仿宋简体"/>
                <w:b/>
                <w:spacing w:val="-20"/>
                <w:sz w:val="24"/>
              </w:rPr>
              <w:t>经</w:t>
            </w:r>
            <w:r>
              <w:rPr>
                <w:rFonts w:ascii="方正仿宋简体" w:hAnsi="方正仿宋简体" w:eastAsia="方正仿宋简体"/>
                <w:b/>
                <w:spacing w:val="-20"/>
                <w:sz w:val="24"/>
              </w:rPr>
              <w:t>济占生产总值的比重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27.2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w w:val="90"/>
                <w:sz w:val="24"/>
              </w:rPr>
            </w:pPr>
            <w:r>
              <w:rPr>
                <w:rFonts w:hint="eastAsia" w:ascii="方正仿宋简体" w:eastAsia="方正仿宋简体"/>
                <w:b/>
                <w:w w:val="90"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28.7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数字经济核心产业增加值占生产总值比重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5.5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7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w w:val="90"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规模以上高新技术产业产值占规模以上工业总产值的比重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49.4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w w:val="90"/>
                <w:sz w:val="24"/>
              </w:rPr>
            </w:pPr>
            <w:r>
              <w:rPr>
                <w:rFonts w:hint="eastAsia" w:ascii="方正仿宋简体" w:eastAsia="方正仿宋简体"/>
                <w:b/>
                <w:w w:val="90"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50以上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rPr>
                <w:rFonts w:ascii="方正仿宋简体" w:hAnsi="方正仿宋简体" w:eastAsia="方正黑体简体"/>
                <w:b/>
                <w:sz w:val="24"/>
              </w:rPr>
            </w:pPr>
            <w:r>
              <w:rPr>
                <w:rFonts w:ascii="方正仿宋简体" w:hAnsi="方正仿宋简体" w:eastAsia="方正黑体简体"/>
                <w:b/>
                <w:sz w:val="24"/>
              </w:rPr>
              <w:t>三、城乡发展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w w:val="90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常住人口城镇化率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63.05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w w:val="90"/>
                <w:sz w:val="24"/>
              </w:rPr>
            </w:pPr>
            <w:r>
              <w:rPr>
                <w:rFonts w:hint="eastAsia" w:ascii="方正仿宋简体" w:eastAsia="方正仿宋简体"/>
                <w:b/>
                <w:w w:val="90"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64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居民人均可支配收入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/>
                <w:b/>
                <w:bCs/>
                <w:sz w:val="22"/>
                <w:szCs w:val="22"/>
              </w:rPr>
            </w:pPr>
            <w:r>
              <w:rPr>
                <w:rFonts w:hint="eastAsia" w:ascii="方正仿宋简体"/>
                <w:b/>
                <w:bCs/>
                <w:sz w:val="22"/>
                <w:szCs w:val="22"/>
                <w:lang w:bidi="ar"/>
              </w:rPr>
              <w:t>35861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/>
                <w:b/>
                <w:bCs/>
                <w:sz w:val="22"/>
                <w:szCs w:val="22"/>
              </w:rPr>
            </w:pPr>
            <w:r>
              <w:rPr>
                <w:rFonts w:hint="eastAsia" w:ascii="方正仿宋简体"/>
                <w:b/>
                <w:bCs/>
                <w:sz w:val="22"/>
                <w:szCs w:val="22"/>
                <w:lang w:bidi="ar"/>
              </w:rPr>
              <w:t>6.6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38</w:t>
            </w:r>
            <w:r>
              <w:rPr>
                <w:rFonts w:hint="eastAsia" w:ascii="方正仿宋简体" w:hAnsi="方正仿宋简体" w:eastAsia="方正仿宋简体"/>
                <w:b/>
                <w:sz w:val="24"/>
              </w:rPr>
              <w:t>013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6以上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rPr>
                <w:rFonts w:ascii="方正仿宋简体" w:hAnsi="方正仿宋简体" w:eastAsia="方正黑体简体"/>
                <w:b/>
                <w:sz w:val="24"/>
              </w:rPr>
            </w:pPr>
            <w:r>
              <w:rPr>
                <w:rFonts w:ascii="方正仿宋简体" w:hAnsi="方正仿宋简体" w:eastAsia="方正黑体简体"/>
                <w:b/>
                <w:sz w:val="24"/>
              </w:rPr>
              <w:t>四、民生福祉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vAlign w:val="center"/>
          </w:tcPr>
          <w:p>
            <w:pPr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城镇新增就业人数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万人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6.93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6.1以上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高中阶段教育毛入学率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98.51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98.51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58" w:firstLineChars="200"/>
              <w:rPr>
                <w:rFonts w:ascii="方正仿宋简体" w:hAnsi="方正仿宋简体" w:eastAsia="方正仿宋简体"/>
                <w:b/>
                <w:spacing w:val="-6"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pacing w:val="-6"/>
                <w:sz w:val="24"/>
              </w:rPr>
              <w:t>普通高等教育本专科招生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万人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</w:t>
            </w:r>
            <w:r>
              <w:rPr>
                <w:rFonts w:ascii="方正仿宋简体" w:eastAsia="方正仿宋简体"/>
                <w:b/>
                <w:sz w:val="24"/>
              </w:rPr>
              <w:t>.38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</w:t>
            </w:r>
            <w:r>
              <w:rPr>
                <w:rFonts w:ascii="方正仿宋简体" w:eastAsia="方正仿宋简体"/>
                <w:b/>
                <w:sz w:val="24"/>
              </w:rPr>
              <w:t>.3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每</w:t>
            </w:r>
            <w:r>
              <w:rPr>
                <w:rFonts w:ascii="方正仿宋简体" w:hAnsi="方正仿宋简体" w:eastAsia="方正仿宋简体"/>
                <w:b/>
                <w:spacing w:val="-8"/>
                <w:sz w:val="24"/>
              </w:rPr>
              <w:t>千人口医疗卫生机构床位数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张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7.12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2.89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  <w:lang w:val="en"/>
              </w:rPr>
            </w:pPr>
            <w:r>
              <w:rPr>
                <w:rFonts w:ascii="方正仿宋简体" w:eastAsia="方正仿宋简体"/>
                <w:b/>
                <w:sz w:val="24"/>
                <w:lang w:val="en"/>
              </w:rPr>
              <w:t>7.31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  <w:lang w:val="en"/>
              </w:rPr>
            </w:pPr>
            <w:r>
              <w:rPr>
                <w:rFonts w:ascii="方正仿宋简体" w:eastAsia="方正仿宋简体"/>
                <w:b/>
                <w:sz w:val="24"/>
                <w:lang w:val="en"/>
              </w:rPr>
              <w:t>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每</w:t>
            </w:r>
            <w:r>
              <w:rPr>
                <w:rFonts w:ascii="方正仿宋简体" w:hAnsi="方正仿宋简体" w:eastAsia="方正仿宋简体"/>
                <w:b/>
                <w:spacing w:val="-6"/>
                <w:sz w:val="24"/>
              </w:rPr>
              <w:t>千人口执业（助理）医师数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人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3.57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  <w:lang w:val="en"/>
              </w:rPr>
            </w:pPr>
            <w:r>
              <w:rPr>
                <w:rFonts w:ascii="方正仿宋简体" w:eastAsia="方正仿宋简体"/>
                <w:b/>
                <w:sz w:val="24"/>
                <w:lang w:val="en"/>
              </w:rPr>
              <w:t>3.72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  <w:lang w:val="en"/>
              </w:rPr>
            </w:pPr>
            <w:r>
              <w:rPr>
                <w:rFonts w:ascii="方正仿宋简体" w:eastAsia="方正仿宋简体"/>
                <w:b/>
                <w:sz w:val="24"/>
                <w:lang w:val="e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每</w:t>
            </w:r>
            <w:r>
              <w:rPr>
                <w:rFonts w:ascii="方正仿宋简体" w:hAnsi="方正仿宋简体" w:eastAsia="方正仿宋简体"/>
                <w:b/>
                <w:spacing w:val="-16"/>
                <w:sz w:val="24"/>
              </w:rPr>
              <w:t>千人口三岁以下婴幼儿托位数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个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  <w:lang w:val="en"/>
              </w:rPr>
            </w:pPr>
            <w:r>
              <w:rPr>
                <w:rFonts w:ascii="方正仿宋简体" w:eastAsia="方正仿宋简体"/>
                <w:b/>
                <w:sz w:val="24"/>
                <w:lang w:val="en"/>
              </w:rPr>
              <w:t>4.78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  <w:lang w:val="en"/>
              </w:rPr>
            </w:pPr>
            <w:r>
              <w:rPr>
                <w:rFonts w:ascii="方正仿宋简体" w:eastAsia="方正仿宋简体"/>
                <w:b/>
                <w:sz w:val="24"/>
                <w:lang w:val="en"/>
              </w:rPr>
              <w:t>32.77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5.6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rPr>
                <w:rFonts w:ascii="方正仿宋简体" w:hAnsi="方正仿宋简体" w:eastAsia="方正黑体简体"/>
                <w:b/>
                <w:sz w:val="24"/>
              </w:rPr>
            </w:pPr>
            <w:r>
              <w:rPr>
                <w:rFonts w:ascii="方正仿宋简体" w:hAnsi="方正仿宋简体" w:eastAsia="方正黑体简体"/>
                <w:b/>
                <w:sz w:val="24"/>
              </w:rPr>
              <w:t>五、粮食能源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粮食播种面积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万亩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1083.7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1080以上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粮食产量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亿斤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99.56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100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煤炭产量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万吨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5262.18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5000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rPr>
                <w:rFonts w:ascii="方正仿宋简体" w:hAnsi="方正仿宋简体" w:eastAsia="方正黑体简体"/>
                <w:b/>
                <w:sz w:val="24"/>
              </w:rPr>
            </w:pPr>
            <w:r>
              <w:rPr>
                <w:rFonts w:ascii="方正仿宋简体" w:hAnsi="方正仿宋简体" w:eastAsia="方正黑体简体"/>
                <w:b/>
                <w:sz w:val="24"/>
              </w:rPr>
              <w:t>六、安全保障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58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pacing w:val="-6"/>
                <w:sz w:val="24"/>
              </w:rPr>
              <w:t>每亿元生产总值生产安全事故</w:t>
            </w:r>
            <w:r>
              <w:rPr>
                <w:rFonts w:ascii="方正仿宋简体" w:hAnsi="方正仿宋简体" w:eastAsia="方正仿宋简体"/>
                <w:b/>
                <w:sz w:val="24"/>
              </w:rPr>
              <w:t>死亡人数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人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0.008</w:t>
            </w:r>
            <w:r>
              <w:rPr>
                <w:rFonts w:hint="eastAsia" w:ascii="方正仿宋简体" w:eastAsia="方正仿宋简体"/>
                <w:b/>
                <w:sz w:val="24"/>
              </w:rPr>
              <w:t>5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0.0082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新</w:t>
            </w:r>
            <w:r>
              <w:rPr>
                <w:rFonts w:ascii="方正仿宋简体" w:hAnsi="方正仿宋简体" w:eastAsia="方正仿宋简体"/>
                <w:b/>
                <w:spacing w:val="-10"/>
                <w:sz w:val="24"/>
              </w:rPr>
              <w:t>开工消防站</w:t>
            </w:r>
            <w:r>
              <w:rPr>
                <w:rFonts w:hint="eastAsia" w:ascii="方正仿宋简体" w:hAnsi="方正仿宋简体" w:eastAsia="方正仿宋简体"/>
                <w:b/>
                <w:spacing w:val="-10"/>
                <w:sz w:val="24"/>
              </w:rPr>
              <w:t>/</w:t>
            </w:r>
            <w:r>
              <w:rPr>
                <w:rFonts w:ascii="方正仿宋简体" w:hAnsi="方正仿宋简体" w:eastAsia="方正仿宋简体"/>
                <w:b/>
                <w:spacing w:val="-10"/>
                <w:sz w:val="24"/>
              </w:rPr>
              <w:t>新增市政消防栓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个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2/498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2/320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道路交通万车死亡率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pacing w:val="-10"/>
                <w:w w:val="90"/>
                <w:sz w:val="24"/>
              </w:rPr>
            </w:pPr>
            <w:r>
              <w:rPr>
                <w:rFonts w:ascii="方正仿宋简体" w:eastAsia="方正仿宋简体"/>
                <w:b/>
                <w:spacing w:val="-10"/>
                <w:w w:val="90"/>
                <w:sz w:val="24"/>
              </w:rPr>
              <w:t>人/年、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pacing w:val="-10"/>
                <w:sz w:val="24"/>
              </w:rPr>
              <w:t>万车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0.97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0.69</w:t>
            </w:r>
          </w:p>
        </w:tc>
        <w:tc>
          <w:tcPr>
            <w:tcW w:w="123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hAnsi="方正仿宋简体" w:eastAsia="方正仿宋简体"/>
                <w:b/>
                <w:sz w:val="24"/>
              </w:rPr>
              <w:t>新增人防工程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万平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方米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78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60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rPr>
                <w:rFonts w:ascii="方正仿宋简体" w:hAnsi="方正仿宋简体" w:eastAsia="方正黑体简体"/>
                <w:b/>
                <w:sz w:val="24"/>
              </w:rPr>
            </w:pPr>
            <w:r>
              <w:rPr>
                <w:rFonts w:ascii="方正仿宋简体" w:hAnsi="方正仿宋简体" w:eastAsia="方正黑体简体"/>
                <w:b/>
                <w:sz w:val="24"/>
              </w:rPr>
              <w:t>七、绿色生态</w:t>
            </w:r>
          </w:p>
        </w:tc>
        <w:tc>
          <w:tcPr>
            <w:tcW w:w="79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化学需氧量重点工程减排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pacing w:val="-8"/>
                <w:sz w:val="24"/>
              </w:rPr>
              <w:t>吨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pacing w:val="-6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pacing w:val="-6"/>
                <w:sz w:val="18"/>
                <w:szCs w:val="18"/>
              </w:rPr>
              <w:t>预计较2020年削减12746吨</w:t>
            </w:r>
          </w:p>
        </w:tc>
        <w:tc>
          <w:tcPr>
            <w:tcW w:w="1200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完成省定</w:t>
            </w:r>
          </w:p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任务目标</w:t>
            </w:r>
          </w:p>
        </w:tc>
        <w:tc>
          <w:tcPr>
            <w:tcW w:w="1233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氨氮重点工程减排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pacing w:val="-8"/>
                <w:sz w:val="24"/>
              </w:rPr>
              <w:t>吨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pacing w:val="-6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pacing w:val="-6"/>
                <w:sz w:val="18"/>
                <w:szCs w:val="18"/>
              </w:rPr>
              <w:t>预计较2020年削减874吨</w:t>
            </w: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挥发性有机物重点工程减排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pacing w:val="-8"/>
                <w:sz w:val="24"/>
              </w:rPr>
              <w:t>吨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pacing w:val="-6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pacing w:val="-6"/>
                <w:sz w:val="18"/>
                <w:szCs w:val="18"/>
              </w:rPr>
              <w:t>预计较2020年削减5097吨</w:t>
            </w: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氮氧化物重点工程减排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pacing w:val="-8"/>
                <w:sz w:val="24"/>
              </w:rPr>
              <w:t>吨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pacing w:val="-6"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pacing w:val="-6"/>
                <w:sz w:val="18"/>
                <w:szCs w:val="18"/>
              </w:rPr>
              <w:t>预计较2020年削减22063吨</w:t>
            </w: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1233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hint="eastAsia" w:ascii="方正仿宋简体" w:hAns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PM</w:t>
            </w:r>
            <w:r>
              <w:rPr>
                <w:rFonts w:ascii="方正仿宋简体" w:eastAsia="方正仿宋简体"/>
                <w:b/>
                <w:sz w:val="24"/>
                <w:vertAlign w:val="subscript"/>
              </w:rPr>
              <w:t>2.5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pacing w:val="-10"/>
                <w:w w:val="90"/>
                <w:sz w:val="24"/>
              </w:rPr>
            </w:pPr>
            <w:r>
              <w:rPr>
                <w:rFonts w:ascii="方正仿宋简体" w:eastAsia="方正仿宋简体"/>
                <w:b/>
                <w:spacing w:val="-17"/>
                <w:w w:val="90"/>
                <w:sz w:val="24"/>
              </w:rPr>
              <w:t>微克每立方米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43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hint="eastAsia"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优良天数比例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65.5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hint="eastAsia"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优良水体比例</w:t>
            </w: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100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hint="eastAsia"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>劣Ⅴ类水体比例</w:t>
            </w: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0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hint="eastAsia" w:ascii="方正仿宋简体" w:hAnsi="方正仿宋简体" w:eastAsia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/>
                <w:b/>
                <w:sz w:val="24"/>
              </w:rPr>
              <w:t xml:space="preserve">用水总量                         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40"/>
                <w:w w:val="90"/>
                <w:sz w:val="24"/>
                <w:lang w:eastAsia="zh-CN"/>
              </w:rPr>
              <w:t>亿</w:t>
            </w:r>
            <w:r>
              <w:rPr>
                <w:rFonts w:hint="eastAsia" w:ascii="方正仿宋简体" w:eastAsia="方正仿宋简体"/>
                <w:b/>
                <w:spacing w:val="-40"/>
                <w:w w:val="90"/>
                <w:sz w:val="24"/>
              </w:rPr>
              <w:t>立方米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23.29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23.29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-</w:t>
            </w:r>
          </w:p>
        </w:tc>
      </w:tr>
    </w:tbl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6.1pt;height:0pt;width:436.55pt;z-index:251660288;mso-width-relative:page;mso-height-relative:page;" filled="f" stroked="t" coordsize="21600,21600" o:gfxdata="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GH+DV1gAAAAYBAAAPAAAAAAAAAAEAIAAAACIA&#10;AABkcnMvZG93bnJldi54bWxQSwECFAAUAAAACACHTuJAku3Jf9IBAADO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>
      <w:pPr>
        <w:spacing w:line="440" w:lineRule="exact"/>
        <w:ind w:firstLine="275" w:firstLineChars="98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r>
        <w:rPr>
          <w:rFonts w:hint="eastAsia" w:ascii="方正仿宋简体" w:hAnsi="文星仿宋" w:eastAsia="方正仿宋简体" w:cs="方正仿宋简体"/>
          <w:b/>
          <w:spacing w:val="-6"/>
          <w:sz w:val="28"/>
          <w:szCs w:val="28"/>
          <w:lang w:bidi="ar"/>
        </w:rPr>
        <w:t>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-6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pacing w:val="-6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-6"/>
          <w:sz w:val="28"/>
          <w:szCs w:val="28"/>
          <w:lang w:bidi="ar"/>
        </w:rPr>
        <w:t>，</w:t>
      </w:r>
    </w:p>
    <w:p>
      <w:pPr>
        <w:spacing w:line="440" w:lineRule="exact"/>
        <w:ind w:firstLine="1135" w:firstLineChars="398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50" w:firstLineChars="409"/>
        <w:textAlignment w:val="auto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各民主党派市委会（总支部），市工商联。</w:t>
      </w:r>
    </w:p>
    <w:p>
      <w:pPr>
        <w:spacing w:line="740" w:lineRule="exact"/>
        <w:ind w:firstLine="313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185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0.8pt;height:0pt;width:436.55pt;z-index:251662336;mso-width-relative:page;mso-height-relative:page;" filled="f" stroked="t" coordsize="21600,21600" o:gfxdata="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1TJg41gAAAAYBAAAPAAAAAAAAAAEAIAAAACIA&#10;AABkcnMvZG93bnJldi54bWxQSwECFAAUAAAACACHTuJAC/1lp9IBAADO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8.25pt;height:0pt;width:436.55pt;z-index:251661312;mso-width-relative:page;mso-height-relative:page;" filled="f" stroked="t" coordsize="21600,21600" o:gfxdata="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vOZqtUAAAAGAQAADwAAAAAAAAABACAAAAAiAAAA&#10;ZHJzL2Rvd25yZXYueG1sUEsBAhQAFAAAAAgAh07iQDIPtTnRAQAAzgMAAA4AAAAAAAAAAQAgAAAA&#10;JAEAAGRycy9lMm9Eb2MueG1sUEsFBgAAAAAGAAYAWQEAAG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2024年3月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31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418" w:bottom="1191" w:left="1588" w:header="0" w:footer="1418" w:gutter="0"/>
      <w:pgNumType w:fmt="numberInDash"/>
      <w:cols w:space="425" w:num="1"/>
      <w:docGrid w:type="lines" w:linePitch="6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0710568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sxHCBfYt9j0axeiFcSdY34eWHXw=" w:salt="TlYSlGSDNylcWqomDlpYCQ==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E"/>
    <w:rsid w:val="002C2DD0"/>
    <w:rsid w:val="003F5732"/>
    <w:rsid w:val="00407532"/>
    <w:rsid w:val="00477AA5"/>
    <w:rsid w:val="004E5E23"/>
    <w:rsid w:val="005648C1"/>
    <w:rsid w:val="00711F93"/>
    <w:rsid w:val="00774CDD"/>
    <w:rsid w:val="0085342D"/>
    <w:rsid w:val="00A13BCC"/>
    <w:rsid w:val="00A16746"/>
    <w:rsid w:val="00A813F9"/>
    <w:rsid w:val="00B73BF5"/>
    <w:rsid w:val="00B87D81"/>
    <w:rsid w:val="00D15811"/>
    <w:rsid w:val="00D85FDE"/>
    <w:rsid w:val="00DC0481"/>
    <w:rsid w:val="00E06F7C"/>
    <w:rsid w:val="00E64922"/>
    <w:rsid w:val="00E703C6"/>
    <w:rsid w:val="00EB221F"/>
    <w:rsid w:val="067C2554"/>
    <w:rsid w:val="09480EF3"/>
    <w:rsid w:val="09606B57"/>
    <w:rsid w:val="09B41DD9"/>
    <w:rsid w:val="0B29487C"/>
    <w:rsid w:val="0B760C9E"/>
    <w:rsid w:val="0B855CCC"/>
    <w:rsid w:val="0F251453"/>
    <w:rsid w:val="10050A3D"/>
    <w:rsid w:val="157B58D9"/>
    <w:rsid w:val="17415466"/>
    <w:rsid w:val="1EF91C9B"/>
    <w:rsid w:val="20A068FF"/>
    <w:rsid w:val="20D54482"/>
    <w:rsid w:val="22EE0F51"/>
    <w:rsid w:val="23B61F1E"/>
    <w:rsid w:val="28DC27DF"/>
    <w:rsid w:val="2BFF0391"/>
    <w:rsid w:val="2C0477C9"/>
    <w:rsid w:val="2DA92019"/>
    <w:rsid w:val="2FB42B3D"/>
    <w:rsid w:val="31D112E9"/>
    <w:rsid w:val="33077541"/>
    <w:rsid w:val="343F5374"/>
    <w:rsid w:val="38B42FFA"/>
    <w:rsid w:val="38DD3C7C"/>
    <w:rsid w:val="3B225E9C"/>
    <w:rsid w:val="3B6A2EB1"/>
    <w:rsid w:val="3CCC5F5D"/>
    <w:rsid w:val="3DD036E3"/>
    <w:rsid w:val="3E476D4B"/>
    <w:rsid w:val="3F5A2262"/>
    <w:rsid w:val="41425FD5"/>
    <w:rsid w:val="4274794B"/>
    <w:rsid w:val="43713C5E"/>
    <w:rsid w:val="507D72C1"/>
    <w:rsid w:val="51071A20"/>
    <w:rsid w:val="52C26658"/>
    <w:rsid w:val="558C3D56"/>
    <w:rsid w:val="55B20F54"/>
    <w:rsid w:val="56B16C72"/>
    <w:rsid w:val="5BF54861"/>
    <w:rsid w:val="5C162284"/>
    <w:rsid w:val="5CBF2D6D"/>
    <w:rsid w:val="5DC32917"/>
    <w:rsid w:val="5E7643C5"/>
    <w:rsid w:val="5EAB6CA9"/>
    <w:rsid w:val="5EF07A99"/>
    <w:rsid w:val="66A550BC"/>
    <w:rsid w:val="685C499E"/>
    <w:rsid w:val="68777D49"/>
    <w:rsid w:val="6BE6407D"/>
    <w:rsid w:val="6BE87ED3"/>
    <w:rsid w:val="6C622BFF"/>
    <w:rsid w:val="76930EA6"/>
    <w:rsid w:val="79AA1CD2"/>
    <w:rsid w:val="7B6B02B9"/>
    <w:rsid w:val="7DD432CA"/>
    <w:rsid w:val="7FCF3AFF"/>
    <w:rsid w:val="EFBFDC0F"/>
    <w:rsid w:val="FBF6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1"/>
    <w:basedOn w:val="5"/>
    <w:link w:val="3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9">
    <w:name w:val="页脚 Char1"/>
    <w:basedOn w:val="5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0">
    <w:name w:val="页眉 Char"/>
    <w:basedOn w:val="5"/>
    <w:link w:val="2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2">
    <w:name w:val="xl6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 w:val="24"/>
    </w:rPr>
  </w:style>
  <w:style w:type="paragraph" w:customStyle="1" w:styleId="13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14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15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 w:val="24"/>
    </w:rPr>
  </w:style>
  <w:style w:type="paragraph" w:customStyle="1" w:styleId="16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szCs w:val="20"/>
    </w:rPr>
  </w:style>
  <w:style w:type="paragraph" w:customStyle="1" w:styleId="17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18">
    <w:name w:val="xl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32"/>
      <w:szCs w:val="32"/>
    </w:rPr>
  </w:style>
  <w:style w:type="paragraph" w:customStyle="1" w:styleId="19">
    <w:name w:val="xl7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0">
    <w:name w:val="xl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 w:val="24"/>
    </w:rPr>
  </w:style>
  <w:style w:type="paragraph" w:customStyle="1" w:styleId="21">
    <w:name w:val="xl7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2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2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2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 w:val="24"/>
    </w:rPr>
  </w:style>
  <w:style w:type="paragraph" w:customStyle="1" w:styleId="2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2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2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</w:rPr>
  </w:style>
  <w:style w:type="paragraph" w:customStyle="1" w:styleId="3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3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39">
    <w:name w:val="xl9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0">
    <w:name w:val="xl9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szCs w:val="20"/>
    </w:rPr>
  </w:style>
  <w:style w:type="paragraph" w:customStyle="1" w:styleId="41">
    <w:name w:val="xl9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Cs w:val="20"/>
    </w:rPr>
  </w:style>
  <w:style w:type="paragraph" w:customStyle="1" w:styleId="42">
    <w:name w:val="xl9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43">
    <w:name w:val="xl9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4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 w:val="24"/>
    </w:rPr>
  </w:style>
  <w:style w:type="paragraph" w:customStyle="1" w:styleId="45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color w:val="000000"/>
      <w:sz w:val="22"/>
      <w:szCs w:val="22"/>
    </w:rPr>
  </w:style>
  <w:style w:type="paragraph" w:customStyle="1" w:styleId="46">
    <w:name w:val="xl10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47">
    <w:name w:val="xl10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szCs w:val="20"/>
    </w:rPr>
  </w:style>
  <w:style w:type="paragraph" w:customStyle="1" w:styleId="48">
    <w:name w:val="xl10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49">
    <w:name w:val="xl10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0">
    <w:name w:val="xl10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1">
    <w:name w:val="xl10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szCs w:val="20"/>
    </w:rPr>
  </w:style>
  <w:style w:type="paragraph" w:customStyle="1" w:styleId="52">
    <w:name w:val="xl10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53">
    <w:name w:val="xl10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sz w:val="24"/>
    </w:rPr>
  </w:style>
  <w:style w:type="paragraph" w:customStyle="1" w:styleId="54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Cs w:val="20"/>
    </w:rPr>
  </w:style>
  <w:style w:type="paragraph" w:customStyle="1" w:styleId="55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sz w:val="24"/>
    </w:rPr>
  </w:style>
  <w:style w:type="paragraph" w:customStyle="1" w:styleId="56">
    <w:name w:val="xl11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szCs w:val="20"/>
    </w:rPr>
  </w:style>
  <w:style w:type="paragraph" w:customStyle="1" w:styleId="57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4"/>
    </w:rPr>
  </w:style>
  <w:style w:type="paragraph" w:customStyle="1" w:styleId="58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sz w:val="22"/>
      <w:szCs w:val="22"/>
    </w:rPr>
  </w:style>
  <w:style w:type="paragraph" w:customStyle="1" w:styleId="59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sz w:val="24"/>
    </w:rPr>
  </w:style>
  <w:style w:type="paragraph" w:customStyle="1" w:styleId="60">
    <w:name w:val="xl11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24"/>
    </w:rPr>
  </w:style>
  <w:style w:type="paragraph" w:customStyle="1" w:styleId="61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szCs w:val="20"/>
    </w:rPr>
  </w:style>
  <w:style w:type="paragraph" w:customStyle="1" w:styleId="62">
    <w:name w:val="xl117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sz w:val="36"/>
      <w:szCs w:val="36"/>
    </w:rPr>
  </w:style>
  <w:style w:type="paragraph" w:customStyle="1" w:styleId="63">
    <w:name w:val="xl118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32"/>
      <w:szCs w:val="32"/>
    </w:rPr>
  </w:style>
  <w:style w:type="paragraph" w:customStyle="1" w:styleId="64">
    <w:name w:val="xl11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5">
    <w:name w:val="xl12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44"/>
      <w:szCs w:val="44"/>
    </w:rPr>
  </w:style>
  <w:style w:type="paragraph" w:customStyle="1" w:styleId="66">
    <w:name w:val="xl12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b/>
      <w:bCs/>
      <w:sz w:val="24"/>
    </w:rPr>
  </w:style>
  <w:style w:type="paragraph" w:customStyle="1" w:styleId="67">
    <w:name w:val="xl12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简体" w:hAnsi="宋体" w:eastAsia="方正小标宋简体" w:cs="宋体"/>
      <w:b/>
      <w:bCs/>
      <w:sz w:val="36"/>
      <w:szCs w:val="36"/>
    </w:rPr>
  </w:style>
  <w:style w:type="paragraph" w:customStyle="1" w:styleId="68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sz w:val="24"/>
    </w:rPr>
  </w:style>
  <w:style w:type="paragraph" w:customStyle="1" w:styleId="69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0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1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2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2"/>
      <w:szCs w:val="22"/>
    </w:rPr>
  </w:style>
  <w:style w:type="paragraph" w:customStyle="1" w:styleId="73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4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sz w:val="24"/>
    </w:rPr>
  </w:style>
  <w:style w:type="paragraph" w:customStyle="1" w:styleId="75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6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7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78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79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0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1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color w:val="000000"/>
      <w:sz w:val="24"/>
    </w:rPr>
  </w:style>
  <w:style w:type="paragraph" w:customStyle="1" w:styleId="82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sz w:val="24"/>
    </w:rPr>
  </w:style>
  <w:style w:type="paragraph" w:customStyle="1" w:styleId="83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  <w:style w:type="paragraph" w:customStyle="1" w:styleId="84">
    <w:name w:val=" Char"/>
    <w:basedOn w:val="1"/>
    <w:uiPriority w:val="0"/>
    <w:rPr>
      <w:kern w:val="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8872</Words>
  <Characters>1127</Characters>
  <Lines>9</Lines>
  <Paragraphs>19</Paragraphs>
  <TotalTime>107</TotalTime>
  <ScaleCrop>false</ScaleCrop>
  <LinksUpToDate>false</LinksUpToDate>
  <CharactersWithSpaces>9980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2019-12-20T10:46:00Z</dcterms:created>
  <dc:creator>nizy</dc:creator>
  <cp:lastModifiedBy>张盟</cp:lastModifiedBy>
  <cp:lastPrinted>2024-03-26T14:55:00Z</cp:lastPrinted>
  <dcterms:modified xsi:type="dcterms:W3CDTF">2024-04-30T09:40:24Z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