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shd w:val="clear" w:color="auto" w:fill="auto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shd w:val="clear" w:color="auto" w:fill="auto"/>
          <w:lang w:eastAsia="zh-CN" w:bidi="ar-SA"/>
        </w:rPr>
        <w:t>《关于提振消费的实施方案》政策解读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2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auto"/>
          <w:lang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2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auto"/>
          <w:lang w:bidi="ar-SA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auto"/>
          <w:lang w:bidi="ar-SA"/>
        </w:rPr>
        <w:t>一、起草背景和过程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2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中央经济工作会议要求大力提振消费，省委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、市委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经济工作会议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提出要大力实施提振消费行动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，彰显了扩内需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促消费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的鲜明导向。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根据《山东省人民政府印发&lt;关于提振消费的实施方案&gt;的通知》（鲁政字〔2025〕23号），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按照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市委市政府部署要求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，</w:t>
      </w:r>
      <w:r>
        <w:rPr>
          <w:rFonts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市商务局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会同相关部门在充分调研论证、深入分析形势的基础上，研究起草了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济宁市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《关于提振消费的实施方案》（以下简称《实施方案》）。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2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auto"/>
          <w:lang w:bidi="ar-SA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auto"/>
          <w:lang w:bidi="ar-SA"/>
        </w:rPr>
        <w:t>二、起草原则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2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《实施方案》主要把握了4方面原则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：一是坚持系统施策。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以全方位扩大内需为导向，以促消费惠民生为重点，围绕商品消费、服务消费、新型消费、消费场景、消费环境、消费信心6个主要板块提出20条政策措施。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二是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eastAsia="zh-CN" w:bidi="ar-SA"/>
        </w:rPr>
        <w:t>注重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形式多样。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推动“消费季”“消费节”有机结合，在商务、文旅、教育、民政、体育等领域推出一批标志性主题活动，在首发经济、数智消费、绿色消费、健康消费、赛事经济等领域打造一批精准性专题活动，提升促消费活动的多样性、广泛性、参与度。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三是突出政策普惠。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市级财政列支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val="en-US" w:eastAsia="zh-CN" w:bidi="ar-SA"/>
        </w:rPr>
        <w:t>3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000万元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，在零售餐饮和汽车购新方面发放消费券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。健全完善就业服务体系，构筑消费支撑体系，激发住房市场活力，进一步提振消费信心。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四是供需两端发力。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更好发挥我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资源优势和产业优势，提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健全现代商贸流通体系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、深化内外贸产品“同线同标同质”等措施，旨在推动供需两端协同发力，有效畅通经济循环。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2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auto"/>
          <w:lang w:bidi="ar-SA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auto"/>
          <w:lang w:bidi="ar-SA"/>
        </w:rPr>
        <w:t>三、主要内容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2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《实施方案》共分3部分、20项重点任务。第一部分，总体要求。《实施方案》提出，以促消费惠民生为重点，全方位扩大商品消费、服务消费、新型消费，培育壮大消费新业态、新场景、新模式，推出一批标志性促消费主题活动，打造一批多元化消费新场景，创新一批营销优惠措施，多渠道增加居民收入，多维度优化消费环境，不断满足居民消费日益增长的多样化、多层次、高品质需求。第二部分，重点任务。一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持续激发消费潜力，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val="en-US" w:eastAsia="zh-CN" w:bidi="ar-SA"/>
        </w:rPr>
        <w:t>强化大宗消费支撑，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推动商品消费升级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。二是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val="en-US" w:eastAsia="zh-CN" w:bidi="ar-SA"/>
        </w:rPr>
        <w:t>大力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提升文旅消费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，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释放餐饮住宿潜能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，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val="en-US" w:eastAsia="zh-CN" w:bidi="ar-SA"/>
        </w:rPr>
        <w:t>丰富养老托幼产品供给，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促进服务消费提质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，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更好满足群众个性化、定制化、品质化需求。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三是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培育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首发经济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培育数智消费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引导发展绿色消费，不断提升健康消费，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创新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bidi="ar-SA"/>
        </w:rPr>
        <w:t>拓展冰雪经济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-SA"/>
        </w:rPr>
        <w:t>努力放大赛事经济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，促进新型消费蓬勃发展。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四是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从推动城市商业转型提质、加快县域商业改造提升、推动业态模式融合发展3个方面，推动跨领域、跨区域消费融合，丰富消费场景体验。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五是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从健全现代商贸流通体系、全面优化产品品质、深入实施放心消费行动3个方面发力，</w:t>
      </w:r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auto"/>
          <w:lang w:bidi="ar-SA"/>
        </w:rPr>
        <w:t>推进消费环境优化提升。六是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从健全完善就业服务体系、全力构筑消费支撑体系、持续激发住房市场活力3个方面建立健全长效保障机制，努力让更多人能消费、敢消费、愿消费。第三部分，保障措施。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一是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强化组织保障，压紧压实责任，密切部门协作，广泛凝聚工作合力，推动各项任务落地见效。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二是坚持供需两侧协同发力，围绕服务消费、文旅消费、农村消费、住房消费、体育消费、养老消费等方面出台配套措施，创造性抓好贯彻落实。三是坚持目标导向、问题导向、结果导向，健全提振消费工作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机制，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强化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重点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任务的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落实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eastAsia="zh-CN" w:bidi="ar-SA"/>
        </w:rPr>
        <w:t>。四是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auto"/>
          <w:lang w:bidi="ar-SA"/>
        </w:rPr>
        <w:t>加强政策宣传推广，确保措施落地见效，推动形成供需良性互动、消费潜力持续释放的生动局面。</w:t>
      </w:r>
    </w:p>
    <w:sectPr>
      <w:pgSz w:w="11907" w:h="16839"/>
      <w:pgMar w:top="1417" w:right="1531" w:bottom="1417" w:left="1531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6AFFFD4E"/>
    <w:rsid w:val="7CD378E8"/>
    <w:rsid w:val="8C7E0557"/>
    <w:rsid w:val="BFFAE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1029</Characters>
  <Lines>0</Lines>
  <Paragraphs>6</Paragraphs>
  <TotalTime>2</TotalTime>
  <ScaleCrop>false</ScaleCrop>
  <LinksUpToDate>false</LinksUpToDate>
  <CharactersWithSpaces>1373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2025-02-21T09:28:00Z</dcterms:created>
  <dc:creator>user</dc:creator>
  <cp:lastModifiedBy>user</cp:lastModifiedBy>
  <dcterms:modified xsi:type="dcterms:W3CDTF">2025-02-21T16:43:11Z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