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18"/>
          <w:szCs w:val="1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baseline"/>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济医保字〔2024〕6号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eastAsia" w:ascii="方正小标宋简体" w:hAnsi="方正小标宋简体" w:eastAsia="方正小标宋简体"/>
          <w:b/>
          <w:sz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关于印发部分医疗服务项目价格及医保支付</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政策的通知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Pr>
          <w:rFonts w:hint="eastAsia" w:ascii="方正仿宋简体" w:hAnsi="方正仿宋简体" w:eastAsia="方正仿宋简体" w:cs="方正仿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baseline"/>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各县（市、区）医疗保障局，济宁高新区人力资源部、太白湖新区社会保障事业服务中心、济宁经济开发区人力资源部，兖矿能源集团股份有限公司人力资源服务中心，市医疗保障综合执法支队、市医疗保险事业中心，市直各协议管理公立医疗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baseline"/>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为贯彻落实《中共中央国务院关于优化生育政策促进人口长期均衡发展的决定》精神，落实积极生育支持措施，根据《山东省医疗保障局关于印发部分医疗服务项目价格及医保支付政策的通知》（鲁医保发〔2024〕3号）文件要求，现将我市辅助生殖类医疗服务项目价格和医保支付政策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baseline"/>
        <w:rPr>
          <w:rFonts w:hint="eastAsia" w:ascii="黑体" w:hAnsi="黑体" w:eastAsia="黑体" w:cs="黑体"/>
          <w:b/>
          <w:bCs/>
          <w:color w:val="auto"/>
          <w:kern w:val="2"/>
          <w:sz w:val="32"/>
          <w:szCs w:val="32"/>
          <w:shd w:val="clear" w:color="auto" w:fill="FFFFFF"/>
          <w:lang w:val="en-US" w:eastAsia="zh-CN" w:bidi="ar-SA"/>
        </w:rPr>
      </w:pPr>
      <w:r>
        <w:rPr>
          <w:rFonts w:hint="eastAsia" w:ascii="黑体" w:hAnsi="黑体" w:eastAsia="黑体" w:cs="黑体"/>
          <w:b/>
          <w:bCs/>
          <w:color w:val="auto"/>
          <w:kern w:val="2"/>
          <w:sz w:val="32"/>
          <w:szCs w:val="32"/>
          <w:shd w:val="clear" w:color="auto" w:fill="FFFFFF"/>
          <w:lang w:val="en-US" w:eastAsia="zh-CN" w:bidi="ar-SA"/>
        </w:rPr>
        <w:t>一、医疗服务项目价格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baseline"/>
        <w:rPr>
          <w:rFonts w:hint="eastAsia" w:ascii="Times New Roman" w:hAnsi="Times New Roman" w:eastAsia="仿宋_GB2312"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公立医疗机构提供辅助生殖医疗服务，主要采取“服务项目+专用耗材”分开计价的收费方式，按照“产出导向”的基本原则，规范整合我市现行辅助生殖类医疗服务价格项目，设立、修订、停用部分医疗服务价格项目，定价形式由市场调节价调整为政府指导价。其他相关政策按现行规定执行。</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黑体" w:hAnsi="黑体" w:eastAsia="黑体" w:cs="黑体"/>
          <w:b/>
          <w:bCs/>
          <w:color w:val="auto"/>
          <w:kern w:val="2"/>
          <w:sz w:val="32"/>
          <w:szCs w:val="32"/>
          <w:shd w:val="clear" w:color="auto" w:fill="FFFFFF"/>
          <w:lang w:val="en-US" w:eastAsia="zh-CN" w:bidi="ar-SA"/>
        </w:rPr>
      </w:pPr>
      <w:r>
        <w:rPr>
          <w:rFonts w:hint="eastAsia" w:ascii="黑体" w:hAnsi="黑体" w:eastAsia="黑体" w:cs="黑体"/>
          <w:b/>
          <w:bCs/>
          <w:color w:val="auto"/>
          <w:kern w:val="2"/>
          <w:sz w:val="32"/>
          <w:szCs w:val="32"/>
          <w:shd w:val="clear" w:color="auto" w:fill="FFFFFF"/>
          <w:lang w:val="en-US" w:eastAsia="zh-CN" w:bidi="ar-SA"/>
        </w:rPr>
        <w:t>二、医保支付政策</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楷体" w:hAnsi="楷体" w:eastAsia="楷体" w:cs="楷体"/>
          <w:b/>
          <w:bCs/>
          <w:color w:val="auto"/>
          <w:kern w:val="2"/>
          <w:sz w:val="32"/>
          <w:szCs w:val="32"/>
          <w:shd w:val="clear" w:color="auto" w:fill="FFFFFF"/>
          <w:lang w:val="en-US" w:eastAsia="zh-CN" w:bidi="ar-SA"/>
        </w:rPr>
      </w:pPr>
      <w:r>
        <w:rPr>
          <w:rFonts w:hint="eastAsia" w:ascii="楷体" w:hAnsi="楷体" w:eastAsia="楷体" w:cs="楷体"/>
          <w:b/>
          <w:bCs/>
          <w:color w:val="auto"/>
          <w:kern w:val="2"/>
          <w:sz w:val="32"/>
          <w:szCs w:val="32"/>
          <w:shd w:val="clear" w:color="auto" w:fill="FFFFFF"/>
          <w:lang w:val="en-US" w:eastAsia="zh-CN" w:bidi="ar-SA"/>
        </w:rPr>
        <w:t>（一）定点医疗机构范围</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经卫生健康部门批准开展人类辅助生殖技术的定点医疗机构（以下简称“辅助生殖定点医疗机构”），要严格按照卫生健康部门人类辅助生殖技术规范，为符合条件的参保人员提供治疗性辅助生殖服务。非定点医疗机构发生的费用医保基金不予支付。</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楷体" w:hAnsi="楷体" w:eastAsia="楷体" w:cs="楷体"/>
          <w:b/>
          <w:bCs/>
          <w:color w:val="auto"/>
          <w:kern w:val="2"/>
          <w:sz w:val="32"/>
          <w:szCs w:val="32"/>
          <w:shd w:val="clear" w:color="auto" w:fill="FFFFFF"/>
          <w:lang w:val="en-US" w:eastAsia="zh-CN" w:bidi="ar-SA"/>
        </w:rPr>
      </w:pPr>
      <w:r>
        <w:rPr>
          <w:rFonts w:hint="eastAsia" w:ascii="楷体" w:hAnsi="楷体" w:eastAsia="楷体" w:cs="楷体"/>
          <w:b/>
          <w:bCs/>
          <w:color w:val="auto"/>
          <w:kern w:val="2"/>
          <w:sz w:val="32"/>
          <w:szCs w:val="32"/>
          <w:shd w:val="clear" w:color="auto" w:fill="FFFFFF"/>
          <w:lang w:val="en-US" w:eastAsia="zh-CN" w:bidi="ar-SA"/>
        </w:rPr>
        <w:t>（二）个人先行自付比例</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Times New Roman" w:hAnsi="Times New Roman" w:eastAsia="仿宋_GB2312"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纳入基本医保基金支付范围的医疗服务项目详见附件1（11个），医保个人先行自付比例20%，其他与治疗性辅助生殖相关的医疗服务项目及药品等个人先行自付比例按我市基本医保政策执行。</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楷体" w:hAnsi="楷体" w:eastAsia="楷体" w:cs="楷体"/>
          <w:b/>
          <w:bCs/>
          <w:color w:val="auto"/>
          <w:kern w:val="2"/>
          <w:sz w:val="32"/>
          <w:szCs w:val="32"/>
          <w:shd w:val="clear" w:color="auto" w:fill="FFFFFF"/>
          <w:lang w:val="en-US" w:eastAsia="zh-CN" w:bidi="ar-SA"/>
        </w:rPr>
      </w:pPr>
      <w:r>
        <w:rPr>
          <w:rFonts w:hint="eastAsia" w:ascii="楷体" w:hAnsi="楷体" w:eastAsia="楷体" w:cs="楷体"/>
          <w:b/>
          <w:bCs/>
          <w:color w:val="auto"/>
          <w:kern w:val="2"/>
          <w:sz w:val="32"/>
          <w:szCs w:val="32"/>
          <w:shd w:val="clear" w:color="auto" w:fill="FFFFFF"/>
          <w:lang w:val="en-US" w:eastAsia="zh-CN" w:bidi="ar-SA"/>
        </w:rPr>
        <w:t>（三）支付范围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将“不孕不育门诊辅助生殖技术治疗”纳入我市职工和居民医保基金支付范围，认定标准按附件4执行。参保人员在辅助生殖定点医疗机构发生的“取卵术”等11个附件1中规定的门诊医疗费用，可享受辅助生殖门诊医保待遇。</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楷体" w:hAnsi="楷体" w:eastAsia="楷体" w:cs="楷体"/>
          <w:b/>
          <w:bCs/>
          <w:color w:val="auto"/>
          <w:kern w:val="2"/>
          <w:sz w:val="32"/>
          <w:szCs w:val="32"/>
          <w:shd w:val="clear" w:color="auto" w:fill="FFFFFF"/>
          <w:lang w:val="en-US" w:eastAsia="zh-CN" w:bidi="ar-SA"/>
        </w:rPr>
      </w:pPr>
      <w:r>
        <w:rPr>
          <w:rFonts w:hint="eastAsia" w:ascii="楷体" w:hAnsi="楷体" w:eastAsia="楷体" w:cs="楷体"/>
          <w:b/>
          <w:bCs/>
          <w:color w:val="auto"/>
          <w:kern w:val="2"/>
          <w:sz w:val="32"/>
          <w:szCs w:val="32"/>
          <w:shd w:val="clear" w:color="auto" w:fill="FFFFFF"/>
          <w:lang w:val="en-US" w:eastAsia="zh-CN" w:bidi="ar-SA"/>
        </w:rPr>
        <w:t>（四）待遇标准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辅助生殖门诊医保待遇按照职工和居民门诊慢特病乙类病种起付标准执行，基本医疗保险基金支付比例分别为80%、60%。经基本医疗保险报销后，个人负担的合规医疗费用按照职工大额医疗费补助支付比例或居民大病保险起付标准、支付比例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参保居民在辅助生殖定点医疗机构接受“不孕不育门诊辅助生殖技术治疗”医保基金每人支付限额为20000元，一个自然年度内医保基金最高支付限额为10000元（其中居民基本医保基金最高支付限额9000元，居民大病保险基金最高支付限额1000元）；参保职工在辅助生殖定点医疗机构接受“不孕不育门诊辅助生殖技术治疗”医保基金每人限额为40000元，一个自然年度内医保基金最高支付限额为20000元（其中职工基本医保基金年度最高支付限额19000元，职工大额医疗费用补助年度最高支付限额1000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异地就医患者在辅助生殖定点医疗机构发生的“不孕不育门诊辅助生殖技术治疗”医疗费，职工医保个人先行自付比例增加10%，居民医保基金（含基本医疗保险、大病保险）支付比例降低10个百分点。</w:t>
      </w:r>
    </w:p>
    <w:p>
      <w:pPr>
        <w:keepNext w:val="0"/>
        <w:keepLines w:val="0"/>
        <w:pageBreakBefore w:val="0"/>
        <w:widowControl w:val="0"/>
        <w:kinsoku/>
        <w:wordWrap/>
        <w:overflowPunct/>
        <w:topLinePunct w:val="0"/>
        <w:autoSpaceDE/>
        <w:autoSpaceDN/>
        <w:bidi w:val="0"/>
        <w:adjustRightInd/>
        <w:spacing w:line="600" w:lineRule="exact"/>
        <w:ind w:firstLine="643" w:firstLineChars="200"/>
        <w:rPr>
          <w:rFonts w:hint="eastAsia" w:ascii="黑体" w:hAnsi="黑体" w:eastAsia="黑体" w:cs="黑体"/>
          <w:b/>
          <w:bCs/>
          <w:color w:val="auto"/>
          <w:kern w:val="2"/>
          <w:sz w:val="32"/>
          <w:szCs w:val="32"/>
          <w:shd w:val="clear" w:color="auto" w:fill="FFFFFF"/>
          <w:lang w:val="en-US" w:eastAsia="zh-CN" w:bidi="ar-SA"/>
        </w:rPr>
      </w:pPr>
      <w:r>
        <w:rPr>
          <w:rFonts w:hint="eastAsia" w:ascii="黑体" w:hAnsi="黑体" w:eastAsia="黑体" w:cs="黑体"/>
          <w:b/>
          <w:bCs/>
          <w:color w:val="auto"/>
          <w:kern w:val="2"/>
          <w:sz w:val="32"/>
          <w:szCs w:val="32"/>
          <w:shd w:val="clear" w:color="auto" w:fill="FFFFFF"/>
          <w:lang w:val="en-US" w:eastAsia="zh-CN" w:bidi="ar-SA"/>
        </w:rPr>
        <w:t>三、工作要求</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（一）各县（市、区）医保局要高度重视辅助生殖类医疗服务项目价格整合调整工作，加强对政策实施的跟踪监测，密切关注本辖区医疗机构辅助生殖医疗服务价格执行情况，重大问题及时报告市医保局。</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二）医保经办机构要及时在系统内做好定点医疗机构和医疗服务项目信息维护，指导定点医疗机构做好项目对应、费用结算及医保支付工作，同时加强相关费用日常审核，做好业务指导和基金监管工作，确保医保基金安全有效使用。</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（三）定点医疗机构应在收费场所显著位置做好价格公示，</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0" w:firstLineChars="0"/>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接受社会监督。国家和省有新规定时，按新规定执行。</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本通知自2024年4月1日起施行。</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Times New Roman" w:hAnsi="Times New Roman" w:eastAsia="仿宋_GB2312" w:cs="仿宋"/>
          <w:b/>
          <w:bCs/>
          <w:color w:val="auto"/>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pacing w:line="600" w:lineRule="exact"/>
        <w:ind w:firstLine="643" w:firstLineChars="200"/>
        <w:rPr>
          <w:rFonts w:hint="eastAsia" w:ascii="仿宋" w:hAnsi="仿宋" w:eastAsia="仿宋" w:cs="仿宋"/>
          <w:b/>
          <w:bCs/>
          <w:color w:val="auto"/>
          <w:kern w:val="2"/>
          <w:sz w:val="32"/>
          <w:szCs w:val="32"/>
          <w:shd w:val="clear" w:color="auto" w:fill="FFFFFF"/>
          <w:lang w:val="en-US" w:eastAsia="zh-CN" w:bidi="ar-SA"/>
        </w:rPr>
      </w:pPr>
      <w:bookmarkStart w:id="0" w:name="_GoBack"/>
      <w:r>
        <w:rPr>
          <w:rFonts w:hint="eastAsia" w:ascii="仿宋" w:hAnsi="仿宋" w:eastAsia="仿宋" w:cs="仿宋"/>
          <w:b/>
          <w:bCs/>
          <w:color w:val="auto"/>
          <w:kern w:val="2"/>
          <w:sz w:val="32"/>
          <w:szCs w:val="32"/>
          <w:shd w:val="clear" w:color="auto" w:fill="FFFFFF"/>
          <w:lang w:val="en-US" w:eastAsia="zh-CN" w:bidi="ar-SA"/>
        </w:rPr>
        <w:t>附件：1.济宁市公立医疗机构部分医疗服务项目价格</w:t>
      </w:r>
    </w:p>
    <w:p>
      <w:pPr>
        <w:keepNext w:val="0"/>
        <w:keepLines w:val="0"/>
        <w:pageBreakBefore w:val="0"/>
        <w:widowControl w:val="0"/>
        <w:kinsoku/>
        <w:wordWrap/>
        <w:overflowPunct/>
        <w:topLinePunct w:val="0"/>
        <w:autoSpaceDE/>
        <w:autoSpaceDN/>
        <w:bidi w:val="0"/>
        <w:adjustRightInd/>
        <w:spacing w:line="600" w:lineRule="exact"/>
        <w:ind w:firstLine="1606" w:firstLineChars="500"/>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2.济宁市公立医疗机构部分医疗服务项目价格修订表</w:t>
      </w:r>
    </w:p>
    <w:p>
      <w:pPr>
        <w:keepNext w:val="0"/>
        <w:keepLines w:val="0"/>
        <w:pageBreakBefore w:val="0"/>
        <w:widowControl w:val="0"/>
        <w:kinsoku/>
        <w:wordWrap/>
        <w:overflowPunct/>
        <w:topLinePunct w:val="0"/>
        <w:autoSpaceDE/>
        <w:autoSpaceDN/>
        <w:bidi w:val="0"/>
        <w:adjustRightInd/>
        <w:spacing w:line="600" w:lineRule="exact"/>
        <w:ind w:firstLine="1606" w:firstLineChars="500"/>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3.济宁市停用部分医疗服务价格项目</w:t>
      </w:r>
    </w:p>
    <w:p>
      <w:pPr>
        <w:keepNext w:val="0"/>
        <w:keepLines w:val="0"/>
        <w:pageBreakBefore w:val="0"/>
        <w:widowControl w:val="0"/>
        <w:kinsoku/>
        <w:wordWrap/>
        <w:overflowPunct/>
        <w:topLinePunct w:val="0"/>
        <w:autoSpaceDE/>
        <w:autoSpaceDN/>
        <w:bidi w:val="0"/>
        <w:adjustRightInd/>
        <w:spacing w:line="600" w:lineRule="exact"/>
        <w:ind w:firstLine="1606" w:firstLineChars="500"/>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4.不孕不育门诊部分技术治疗认定标准</w:t>
      </w:r>
    </w:p>
    <w:p>
      <w:pPr>
        <w:pStyle w:val="2"/>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b/>
          <w:bCs/>
          <w:color w:val="auto"/>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600" w:lineRule="exact"/>
        <w:rPr>
          <w:rFonts w:hint="eastAsia" w:ascii="仿宋" w:hAnsi="仿宋" w:eastAsia="仿宋" w:cs="仿宋"/>
          <w:b/>
          <w:bCs/>
          <w:color w:val="auto"/>
          <w:kern w:val="2"/>
          <w:sz w:val="32"/>
          <w:szCs w:val="32"/>
          <w:shd w:val="clear" w:color="auto" w:fill="FFFFFF"/>
          <w:lang w:val="en-US" w:eastAsia="zh-CN" w:bidi="ar-SA"/>
        </w:rPr>
      </w:pPr>
    </w:p>
    <w:p>
      <w:pPr>
        <w:pStyle w:val="2"/>
        <w:keepNext w:val="0"/>
        <w:keepLines w:val="0"/>
        <w:pageBreakBefore w:val="0"/>
        <w:widowControl w:val="0"/>
        <w:kinsoku/>
        <w:wordWrap w:val="0"/>
        <w:overflowPunct/>
        <w:topLinePunct w:val="0"/>
        <w:autoSpaceDE/>
        <w:autoSpaceDN/>
        <w:bidi w:val="0"/>
        <w:spacing w:line="600" w:lineRule="exact"/>
        <w:jc w:val="righ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 xml:space="preserve">济宁市医疗保障局    </w:t>
      </w:r>
    </w:p>
    <w:p>
      <w:pPr>
        <w:keepNext w:val="0"/>
        <w:keepLines w:val="0"/>
        <w:pageBreakBefore w:val="0"/>
        <w:widowControl w:val="0"/>
        <w:kinsoku/>
        <w:wordWrap w:val="0"/>
        <w:overflowPunct/>
        <w:topLinePunct w:val="0"/>
        <w:autoSpaceDE/>
        <w:autoSpaceDN/>
        <w:bidi w:val="0"/>
        <w:spacing w:line="600" w:lineRule="exact"/>
        <w:jc w:val="righ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 xml:space="preserve">2024年3月29日    </w:t>
      </w:r>
    </w:p>
    <w:p>
      <w:pPr>
        <w:pStyle w:val="2"/>
        <w:keepNext w:val="0"/>
        <w:keepLines w:val="0"/>
        <w:pageBreakBefore w:val="0"/>
        <w:widowControl w:val="0"/>
        <w:kinsoku/>
        <w:wordWrap/>
        <w:overflowPunct/>
        <w:topLinePunct w:val="0"/>
        <w:autoSpaceDE/>
        <w:autoSpaceDN/>
        <w:bidi w:val="0"/>
        <w:spacing w:line="600" w:lineRule="exact"/>
        <w:rPr>
          <w:rFonts w:hint="eastAsia" w:ascii="仿宋" w:hAnsi="仿宋" w:eastAsia="仿宋" w:cs="仿宋"/>
          <w:b/>
          <w:bCs/>
          <w:color w:val="auto"/>
          <w:kern w:val="2"/>
          <w:sz w:val="32"/>
          <w:szCs w:val="32"/>
          <w:shd w:val="clear" w:color="auto" w:fill="FFFFFF"/>
          <w:lang w:val="en-US" w:eastAsia="zh-CN" w:bidi="ar-SA"/>
        </w:rPr>
      </w:pPr>
      <w:r>
        <w:rPr>
          <w:rFonts w:hint="eastAsia" w:ascii="仿宋" w:hAnsi="仿宋" w:eastAsia="仿宋" w:cs="仿宋"/>
          <w:b/>
          <w:bCs/>
          <w:color w:val="auto"/>
          <w:kern w:val="2"/>
          <w:sz w:val="32"/>
          <w:szCs w:val="32"/>
          <w:shd w:val="clear" w:color="auto" w:fill="FFFFFF"/>
          <w:lang w:val="en-US" w:eastAsia="zh-CN" w:bidi="ar-SA"/>
        </w:rPr>
        <w:t>（此件主动公开）</w:t>
      </w:r>
    </w:p>
    <w:p>
      <w:pPr>
        <w:keepNext w:val="0"/>
        <w:keepLines w:val="0"/>
        <w:pageBreakBefore w:val="0"/>
        <w:widowControl w:val="0"/>
        <w:kinsoku/>
        <w:overflowPunct/>
        <w:topLinePunct w:val="0"/>
        <w:autoSpaceDE/>
        <w:autoSpaceDN/>
        <w:bidi w:val="0"/>
        <w:spacing w:line="600" w:lineRule="exact"/>
        <w:rPr>
          <w:rFonts w:hint="eastAsia" w:ascii="仿宋" w:hAnsi="仿宋" w:eastAsia="仿宋" w:cs="仿宋"/>
          <w:b/>
          <w:bCs/>
          <w:color w:val="auto"/>
          <w:kern w:val="2"/>
          <w:sz w:val="32"/>
          <w:szCs w:val="32"/>
          <w:shd w:val="clear" w:color="auto" w:fill="FFFFFF"/>
          <w:lang w:val="en-US" w:eastAsia="zh-CN" w:bidi="ar-SA"/>
        </w:rPr>
      </w:pPr>
    </w:p>
    <w:bookmarkEnd w:id="0"/>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pStyle w:val="2"/>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ascii="Times New Roman" w:hAnsi="Times New Roman" w:eastAsia="仿宋_GB2312" w:cs="仿宋"/>
          <w:b/>
          <w:bCs/>
          <w:color w:val="auto"/>
          <w:kern w:val="2"/>
          <w:sz w:val="32"/>
          <w:szCs w:val="32"/>
          <w:shd w:val="clear" w:color="auto" w:fill="FFFFFF"/>
          <w:lang w:val="en-US" w:eastAsia="zh-CN" w:bidi="ar-SA"/>
        </w:rPr>
      </w:pPr>
    </w:p>
    <w:p>
      <w:pPr>
        <w:rPr>
          <w:rFonts w:hint="default"/>
          <w:lang w:val="en-US" w:eastAsia="zh-CN"/>
        </w:rPr>
        <w:sectPr>
          <w:footerReference r:id="rId3" w:type="default"/>
          <w:pgSz w:w="12410" w:h="17180"/>
          <w:pgMar w:top="1460" w:right="1608" w:bottom="1697" w:left="1746" w:header="0" w:footer="1390" w:gutter="0"/>
          <w:pgNumType w:fmt="decimal" w:chapStyle="1"/>
          <w:cols w:space="720" w:num="1"/>
        </w:sectPr>
      </w:pPr>
    </w:p>
    <w:p>
      <w:pPr>
        <w:rPr>
          <w:rFonts w:ascii="黑体" w:hAnsi="黑体" w:eastAsia="黑体" w:cs="黑体"/>
          <w:sz w:val="32"/>
          <w:szCs w:val="32"/>
        </w:rPr>
      </w:pPr>
      <w:r>
        <w:rPr>
          <w:rFonts w:hint="eastAsia" w:ascii="黑体" w:hAnsi="黑体" w:eastAsia="黑体" w:cs="黑体"/>
          <w:sz w:val="32"/>
          <w:szCs w:val="32"/>
        </w:rPr>
        <w:t>附件1</w:t>
      </w:r>
    </w:p>
    <w:p>
      <w:pPr>
        <w:spacing w:before="158" w:beforeLines="50" w:after="158" w:afterLines="50" w:line="640" w:lineRule="exact"/>
        <w:jc w:val="center"/>
        <w:rPr>
          <w:rFonts w:hint="eastAsia" w:ascii="仿宋_GB2312" w:hAnsi="仿宋_GB2312" w:eastAsia="仿宋_GB2312" w:cs="仿宋_GB2312"/>
          <w:sz w:val="24"/>
          <w:szCs w:val="24"/>
        </w:rPr>
      </w:pPr>
      <w:r>
        <w:rPr>
          <w:rFonts w:hint="eastAsia" w:eastAsia="方正小标宋简体"/>
          <w:bCs/>
          <w:sz w:val="44"/>
          <w:szCs w:val="44"/>
          <w:lang w:eastAsia="zh-CN"/>
        </w:rPr>
        <w:t>济宁市</w:t>
      </w:r>
      <w:r>
        <w:rPr>
          <w:rFonts w:eastAsia="方正小标宋简体"/>
          <w:bCs/>
          <w:sz w:val="44"/>
          <w:szCs w:val="44"/>
        </w:rPr>
        <w:t>公立医疗机构部分医疗服务项目价格</w:t>
      </w:r>
    </w:p>
    <w:tbl>
      <w:tblPr>
        <w:tblStyle w:val="6"/>
        <w:tblW w:w="4997" w:type="pct"/>
        <w:tblInd w:w="0" w:type="dxa"/>
        <w:tblLayout w:type="autofit"/>
        <w:tblCellMar>
          <w:top w:w="17" w:type="dxa"/>
          <w:left w:w="57" w:type="dxa"/>
          <w:bottom w:w="17" w:type="dxa"/>
          <w:right w:w="57" w:type="dxa"/>
        </w:tblCellMar>
      </w:tblPr>
      <w:tblGrid>
        <w:gridCol w:w="631"/>
        <w:gridCol w:w="1301"/>
        <w:gridCol w:w="1319"/>
        <w:gridCol w:w="2966"/>
        <w:gridCol w:w="1598"/>
        <w:gridCol w:w="835"/>
        <w:gridCol w:w="906"/>
        <w:gridCol w:w="2343"/>
        <w:gridCol w:w="1394"/>
        <w:gridCol w:w="913"/>
      </w:tblGrid>
      <w:tr>
        <w:tblPrEx>
          <w:tblCellMar>
            <w:top w:w="17" w:type="dxa"/>
            <w:left w:w="57" w:type="dxa"/>
            <w:bottom w:w="17" w:type="dxa"/>
            <w:right w:w="57" w:type="dxa"/>
          </w:tblCellMar>
        </w:tblPrEx>
        <w:trPr>
          <w:trHeight w:val="608" w:hRule="atLeast"/>
          <w:tblHeader/>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r>
              <w:rPr>
                <w:rFonts w:eastAsia="仿宋_GB2312"/>
                <w:b/>
                <w:bCs/>
                <w:color w:val="000000" w:themeColor="text1"/>
                <w:sz w:val="28"/>
                <w:szCs w:val="28"/>
                <w14:textFill>
                  <w14:solidFill>
                    <w14:schemeClr w14:val="tx1"/>
                  </w14:solidFill>
                </w14:textFill>
              </w:rPr>
              <w:t>序号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项目编码</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项目名称</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项目内涵</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kern w:val="0"/>
                <w:sz w:val="28"/>
                <w:szCs w:val="28"/>
                <w:lang w:bidi="ar"/>
                <w14:textFill>
                  <w14:solidFill>
                    <w14:schemeClr w14:val="tx1"/>
                  </w14:solidFill>
                </w14:textFill>
              </w:rPr>
              <w:t>除外内容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kern w:val="0"/>
                <w:sz w:val="28"/>
                <w:szCs w:val="28"/>
                <w:lang w:bidi="ar"/>
                <w14:textFill>
                  <w14:solidFill>
                    <w14:schemeClr w14:val="tx1"/>
                  </w14:solidFill>
                </w14:textFill>
              </w:rPr>
              <w:t>计价单位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价格</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说明</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是否医保</w:t>
            </w:r>
          </w:p>
          <w:p>
            <w:pPr>
              <w:jc w:val="center"/>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支付</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仿宋_GB2312"/>
                <w:b/>
                <w:bCs/>
                <w:color w:val="000000" w:themeColor="text1"/>
                <w:sz w:val="28"/>
                <w:szCs w:val="28"/>
                <w:lang w:val="en-US" w:eastAsia="zh-CN"/>
                <w14:textFill>
                  <w14:solidFill>
                    <w14:schemeClr w14:val="tx1"/>
                  </w14:solidFill>
                </w14:textFill>
              </w:rPr>
            </w:pPr>
            <w:r>
              <w:rPr>
                <w:rFonts w:hint="eastAsia" w:eastAsia="仿宋_GB2312"/>
                <w:b/>
                <w:bCs/>
                <w:color w:val="000000" w:themeColor="text1"/>
                <w:sz w:val="28"/>
                <w:szCs w:val="28"/>
                <w:lang w:val="en-US" w:eastAsia="zh-CN"/>
                <w14:textFill>
                  <w14:solidFill>
                    <w14:schemeClr w14:val="tx1"/>
                  </w14:solidFill>
                </w14:textFill>
              </w:rPr>
              <w:t>自付</w:t>
            </w:r>
          </w:p>
          <w:p>
            <w:pPr>
              <w:jc w:val="center"/>
              <w:rPr>
                <w:rFonts w:hint="default" w:eastAsia="仿宋_GB2312"/>
                <w:b/>
                <w:bCs/>
                <w:color w:val="000000" w:themeColor="text1"/>
                <w:sz w:val="28"/>
                <w:szCs w:val="28"/>
                <w:lang w:val="en-US" w:eastAsia="zh-CN"/>
                <w14:textFill>
                  <w14:solidFill>
                    <w14:schemeClr w14:val="tx1"/>
                  </w14:solidFill>
                </w14:textFill>
              </w:rPr>
            </w:pPr>
            <w:r>
              <w:rPr>
                <w:rFonts w:hint="eastAsia" w:eastAsia="仿宋_GB2312"/>
                <w:b/>
                <w:bCs/>
                <w:color w:val="000000" w:themeColor="text1"/>
                <w:sz w:val="28"/>
                <w:szCs w:val="28"/>
                <w:lang w:val="en-US" w:eastAsia="zh-CN"/>
                <w14:textFill>
                  <w14:solidFill>
                    <w14:schemeClr w14:val="tx1"/>
                  </w14:solidFill>
                </w14:textFill>
              </w:rPr>
              <w:t>比例</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331306001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取卵术</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通过临床技术操作获得卵母细胞。所定价格涵盖穿刺、取卵、卵泡冲洗、计数、评估过程中的人力资源和基本物质消耗（不包含超声引导）。</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取卵针</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1570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获卵数量超过15个加收20%。（不得与脉冲自动注射促排卵检查、B超下卵巢囊肿穿刺术同时计费）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胚胎培养</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在培养箱中将精卵采取体外结合形式进行培养。所定价格涵盖受精、培养、观察、评估等获得胚胎过程中的人力资源和基本物质消耗。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精子来源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3600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囊胚培养按50%收费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组织/体液/细胞冷冻（辅助生殖）</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将辅助生殖相关组织、体液、细胞进行冷冻。所定价格涵盖将辅助生殖相关组织、体液、细胞转移至冷冻载体，冷冻及解冻复苏过程中的人力资源和基本物质消耗。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管·次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1850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价格含冷冻当天起保存2个月的费用，不足2月按2月计费。冻存结束前只收取一次。</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311201062a</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组织/体液/细胞冷冻续存（辅助生殖）</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将冷冻后的辅助生殖相关组织、体液、细胞持续冻存。所定价格涵盖将冷冻后的辅助生殖相关组织、体液、细胞持续冻存至解冻复苏前或约定截止保存时间，期间的人力资源和基本物质消耗。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管·月</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spacing w:val="-7"/>
                <w:sz w:val="24"/>
                <w:szCs w:val="24"/>
              </w:rPr>
              <w:t>12</w:t>
            </w:r>
            <w:r>
              <w:rPr>
                <w:rFonts w:hint="eastAsia"/>
                <w:spacing w:val="-7"/>
                <w:sz w:val="24"/>
                <w:szCs w:val="24"/>
                <w:lang w:val="en-US" w:eastAsia="zh-CN"/>
              </w:rPr>
              <w:t>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冷冻后保存超过2月的，按每管每月（管·月）收取续存费用，不足1月按1月计费；不得重复收取</w:t>
            </w:r>
            <w:r>
              <w:rPr>
                <w:rFonts w:hint="eastAsia" w:eastAsia="仿宋_GB2312"/>
                <w:color w:val="000000" w:themeColor="text1"/>
                <w:kern w:val="0"/>
                <w:sz w:val="24"/>
                <w:szCs w:val="24"/>
                <w:lang w:bidi="ar"/>
                <w14:textFill>
                  <w14:solidFill>
                    <w14:schemeClr w14:val="tx1"/>
                  </w14:solidFill>
                </w14:textFill>
              </w:rPr>
              <w:t>“</w:t>
            </w:r>
            <w:r>
              <w:rPr>
                <w:rFonts w:eastAsia="仿宋_GB2312"/>
                <w:color w:val="000000" w:themeColor="text1"/>
                <w:kern w:val="0"/>
                <w:sz w:val="24"/>
                <w:szCs w:val="24"/>
                <w:lang w:bidi="ar"/>
                <w14:textFill>
                  <w14:solidFill>
                    <w14:schemeClr w14:val="tx1"/>
                  </w14:solidFill>
                </w14:textFill>
              </w:rPr>
              <w:t>组织/体液/细胞冷冻（辅助生殖）</w:t>
            </w:r>
            <w:r>
              <w:rPr>
                <w:rFonts w:hint="eastAsia" w:eastAsia="仿宋_GB2312"/>
                <w:color w:val="000000" w:themeColor="text1"/>
                <w:kern w:val="0"/>
                <w:sz w:val="24"/>
                <w:szCs w:val="24"/>
                <w:lang w:bidi="ar"/>
                <w14:textFill>
                  <w14:solidFill>
                    <w14:schemeClr w14:val="tx1"/>
                  </w14:solidFill>
                </w14:textFill>
              </w:rPr>
              <w:t>”</w:t>
            </w:r>
            <w:r>
              <w:rPr>
                <w:rFonts w:eastAsia="仿宋_GB2312"/>
                <w:color w:val="000000" w:themeColor="text1"/>
                <w:kern w:val="0"/>
                <w:sz w:val="24"/>
                <w:szCs w:val="24"/>
                <w:lang w:bidi="ar"/>
                <w14:textFill>
                  <w14:solidFill>
                    <w14:schemeClr w14:val="tx1"/>
                  </w14:solidFill>
                </w14:textFill>
              </w:rPr>
              <w:t>费用。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否</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100%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胚胎移植</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将胚胎或囊胚移送至患者宫腔内。所定价格涵盖胚胎评估、移送至患者宫腔内过程中所需的人力资源和基本物质消耗。包含胚子移植。</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胚胎移植管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1470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冻融胚胎（或囊胚）移植加收</w:t>
            </w:r>
            <w:r>
              <w:rPr>
                <w:rFonts w:hint="eastAsia" w:eastAsia="仿宋_GB2312"/>
                <w:color w:val="000000" w:themeColor="text1"/>
                <w:kern w:val="0"/>
                <w:sz w:val="24"/>
                <w:szCs w:val="24"/>
                <w:lang w:val="en-US" w:eastAsia="zh-CN" w:bidi="ar"/>
                <w14:textFill>
                  <w14:solidFill>
                    <w14:schemeClr w14:val="tx1"/>
                  </w14:solidFill>
                </w14:textFill>
              </w:rPr>
              <w:t>850</w:t>
            </w:r>
            <w:r>
              <w:rPr>
                <w:rFonts w:eastAsia="仿宋_GB2312"/>
                <w:color w:val="000000" w:themeColor="text1"/>
                <w:kern w:val="0"/>
                <w:sz w:val="24"/>
                <w:szCs w:val="24"/>
                <w:lang w:bidi="ar"/>
                <w14:textFill>
                  <w14:solidFill>
                    <w14:schemeClr w14:val="tx1"/>
                  </w14:solidFill>
                </w14:textFill>
              </w:rPr>
              <w:t>元。</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cantSplit/>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未成熟卵体外成熟培养</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将通过临床操作获取的未成熟卵进行体外培养。所定价格涵盖未成熟卵处理、培养、观察、评估、激活过程中所需的人力资源和基本物质消耗。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1700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胚胎辅助孵化</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将胚胎通过物理或化学的方法，将透明带制造一处缺损或裂隙，提高着床成功率。所定价格涵盖筛选、调试、透明带处理、记录过程中所需的人力资源和基本物质消耗。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950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组织、细胞活检（辅助生殖）</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在囊胚/卵裂期胚胎/卵母细胞等辅助生殖相关的组织、细胞上分离出检测标本。所定价格涵盖通过筛选、评估、透明带处理，吸取分离标本过程中所需的人力资源和基本物质消耗。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每个胚胎（卵）</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spacing w:val="-6"/>
                <w:sz w:val="24"/>
                <w:szCs w:val="24"/>
              </w:rPr>
              <w:t>1</w:t>
            </w:r>
            <w:r>
              <w:rPr>
                <w:rFonts w:hint="eastAsia"/>
                <w:spacing w:val="-6"/>
                <w:sz w:val="24"/>
                <w:szCs w:val="24"/>
                <w:lang w:val="en-US" w:eastAsia="zh-CN"/>
              </w:rPr>
              <w:t>180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从第3个胚胎(卵)起，每个按50%收费；最高不超过6600元。</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9</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人工授精</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通过临床操作将精液注入患者宫腔内。所定价格涵盖精液注入、观察等过程中所需的人力资源和基本物质消耗。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精子来源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670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311201045a</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阴道内人工授精</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严格核对夫妻双方相关信息，通过将液化后的新鲜精液（夫源）或复苏后的精液（供精）转移至女性阴道穹窿处。所定价格涵盖精液转移、观察等过程所需的人力资源。不含精液冷冻复苏。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精子来源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150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311100019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精子优选处理</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通过实验室手段从精液中筛选优质精子。所定价格涵盖精液采集、分析、处理、筛选、评估过程中所需的人力资源和基本物质消耗。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710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仿宋_GB2312"/>
                <w:color w:val="000000" w:themeColor="text1"/>
                <w:kern w:val="0"/>
                <w:sz w:val="24"/>
                <w:szCs w:val="24"/>
                <w:lang w:bidi="ar"/>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311100007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取精术</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通过手术方式获取精子。所定价格涵盖穿刺或切开、分离、获取精子评估过程中的人力资源和基本物质消耗。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730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显微镜下操作加收</w:t>
            </w:r>
            <w:r>
              <w:rPr>
                <w:sz w:val="24"/>
                <w:szCs w:val="24"/>
              </w:rPr>
              <w:t>2000</w:t>
            </w:r>
            <w:r>
              <w:rPr>
                <w:rFonts w:eastAsia="仿宋_GB2312"/>
                <w:color w:val="000000" w:themeColor="text1"/>
                <w:kern w:val="0"/>
                <w:sz w:val="24"/>
                <w:szCs w:val="24"/>
                <w:lang w:bidi="ar"/>
                <w14:textFill>
                  <w14:solidFill>
                    <w14:schemeClr w14:val="tx1"/>
                  </w14:solidFill>
                </w14:textFill>
              </w:rPr>
              <w:t>元。不得与睾丸阴茎海绵体活检术同时计费。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r>
        <w:tblPrEx>
          <w:tblCellMar>
            <w:top w:w="17" w:type="dxa"/>
            <w:left w:w="57" w:type="dxa"/>
            <w:bottom w:w="17" w:type="dxa"/>
            <w:right w:w="57" w:type="dxa"/>
          </w:tblCellMar>
        </w:tblPrEx>
        <w:trPr>
          <w:trHeight w:val="2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311201042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单精子注射</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将优选处理后精子注射进卵母细胞，促进形成胚胎。所定价格涵盖将精子制动、吸入，注入卵母细胞胞浆等过程中的人力资源和基本物质资源消耗。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spacing w:val="-3"/>
                <w:sz w:val="25"/>
                <w:szCs w:val="25"/>
              </w:rPr>
              <w:t>2</w:t>
            </w:r>
            <w:r>
              <w:rPr>
                <w:rFonts w:hint="eastAsia"/>
                <w:spacing w:val="-3"/>
                <w:sz w:val="25"/>
                <w:szCs w:val="25"/>
                <w:lang w:val="en-US" w:eastAsia="zh-CN"/>
              </w:rPr>
              <w:t>650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宋体"/>
                <w:sz w:val="24"/>
                <w:szCs w:val="24"/>
              </w:rPr>
            </w:pPr>
            <w:r>
              <w:rPr>
                <w:rFonts w:hint="eastAsia" w:ascii="仿宋_GB2312" w:hAnsi="仿宋_GB2312" w:eastAsia="仿宋_GB2312" w:cs="仿宋_GB2312"/>
                <w:sz w:val="24"/>
                <w:szCs w:val="24"/>
              </w:rPr>
              <w:t>卵子激活加收</w:t>
            </w:r>
            <w:r>
              <w:rPr>
                <w:rFonts w:hint="eastAsia" w:ascii="仿宋_GB2312" w:hAnsi="仿宋_GB2312" w:eastAsia="仿宋_GB2312" w:cs="仿宋_GB2312"/>
                <w:sz w:val="24"/>
                <w:szCs w:val="24"/>
                <w:lang w:val="en-US" w:eastAsia="zh-CN"/>
              </w:rPr>
              <w:t>750</w:t>
            </w:r>
            <w:r>
              <w:rPr>
                <w:rFonts w:hint="eastAsia" w:ascii="仿宋_GB2312" w:hAnsi="仿宋_GB2312" w:eastAsia="仿宋_GB2312" w:cs="仿宋_GB2312"/>
                <w:sz w:val="24"/>
                <w:szCs w:val="24"/>
              </w:rPr>
              <w:t>元。注射卵子数量大于20枚的，加收20%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themeColor="text1"/>
                <w:kern w:val="0"/>
                <w:sz w:val="24"/>
                <w:szCs w:val="24"/>
                <w:lang w:bidi="ar"/>
                <w14:textFill>
                  <w14:solidFill>
                    <w14:schemeClr w14:val="tx1"/>
                  </w14:solidFill>
                </w14:textFill>
              </w:rPr>
            </w:pPr>
            <w:r>
              <w:rPr>
                <w:rFonts w:eastAsia="仿宋_GB2312"/>
                <w:color w:val="000000" w:themeColor="text1"/>
                <w:kern w:val="0"/>
                <w:sz w:val="24"/>
                <w:szCs w:val="24"/>
                <w:lang w:bidi="ar"/>
                <w14:textFill>
                  <w14:solidFill>
                    <w14:schemeClr w14:val="tx1"/>
                  </w14:solidFill>
                </w14:textFill>
              </w:rPr>
              <w:t>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仿宋_GB2312"/>
                <w:color w:val="000000" w:themeColor="text1"/>
                <w:kern w:val="0"/>
                <w:sz w:val="24"/>
                <w:szCs w:val="24"/>
                <w:lang w:val="en-US" w:eastAsia="zh-CN" w:bidi="ar"/>
                <w14:textFill>
                  <w14:solidFill>
                    <w14:schemeClr w14:val="tx1"/>
                  </w14:solidFill>
                </w14:textFill>
              </w:rPr>
            </w:pPr>
            <w:r>
              <w:rPr>
                <w:rFonts w:hint="eastAsia" w:eastAsia="仿宋_GB2312"/>
                <w:color w:val="000000" w:themeColor="text1"/>
                <w:kern w:val="0"/>
                <w:sz w:val="24"/>
                <w:szCs w:val="24"/>
                <w:lang w:val="en-US" w:eastAsia="zh-CN" w:bidi="ar"/>
                <w14:textFill>
                  <w14:solidFill>
                    <w14:schemeClr w14:val="tx1"/>
                  </w14:solidFill>
                </w14:textFill>
              </w:rPr>
              <w:t>20%</w:t>
            </w:r>
          </w:p>
        </w:tc>
      </w:tr>
    </w:tbl>
    <w:p>
      <w:pPr>
        <w:spacing w:line="293" w:lineRule="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说明：</w:t>
      </w:r>
      <w:r>
        <w:rPr>
          <w:rFonts w:eastAsia="仿宋_GB2312"/>
          <w:sz w:val="24"/>
          <w:szCs w:val="32"/>
        </w:rPr>
        <w:cr/>
      </w:r>
      <w:r>
        <w:rPr>
          <w:rFonts w:eastAsia="仿宋_GB2312"/>
          <w:sz w:val="24"/>
          <w:szCs w:val="32"/>
        </w:rPr>
        <w:t>1.本表所指组织/体液/细胞，主要指卵母细胞（极体）、胚胎、囊胚、精液、精子等与辅助生殖相关。</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2.本表所称</w:t>
      </w:r>
      <w:r>
        <w:rPr>
          <w:rFonts w:hint="eastAsia" w:eastAsia="仿宋_GB2312"/>
          <w:sz w:val="24"/>
          <w:szCs w:val="32"/>
        </w:rPr>
        <w:t>“</w:t>
      </w:r>
      <w:r>
        <w:rPr>
          <w:rFonts w:eastAsia="仿宋_GB2312"/>
          <w:sz w:val="24"/>
          <w:szCs w:val="32"/>
        </w:rPr>
        <w:t>项目内涵</w:t>
      </w:r>
      <w:r>
        <w:rPr>
          <w:rFonts w:hint="eastAsia" w:eastAsia="仿宋_GB2312"/>
          <w:sz w:val="24"/>
          <w:szCs w:val="32"/>
        </w:rPr>
        <w:t>”</w:t>
      </w:r>
      <w:r>
        <w:rPr>
          <w:rFonts w:eastAsia="仿宋_GB2312"/>
          <w:sz w:val="24"/>
          <w:szCs w:val="32"/>
        </w:rPr>
        <w:t>，指医疗机构提供医疗服务时，用于确定计价单元的边界，不应作为临床技术标准理解，不是手术实际操作方式、路径、步骤、程序的强制性要求。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3.本表项目内涵中所称</w:t>
      </w:r>
      <w:r>
        <w:rPr>
          <w:rFonts w:hint="eastAsia" w:eastAsia="仿宋_GB2312"/>
          <w:sz w:val="24"/>
          <w:szCs w:val="32"/>
        </w:rPr>
        <w:t>“</w:t>
      </w:r>
      <w:r>
        <w:rPr>
          <w:rFonts w:eastAsia="仿宋_GB2312"/>
          <w:sz w:val="24"/>
          <w:szCs w:val="32"/>
        </w:rPr>
        <w:t>基本物耗</w:t>
      </w:r>
      <w:r>
        <w:rPr>
          <w:rFonts w:hint="eastAsia" w:eastAsia="仿宋_GB2312"/>
          <w:sz w:val="24"/>
          <w:szCs w:val="32"/>
        </w:rPr>
        <w:t>”</w:t>
      </w:r>
      <w:r>
        <w:rPr>
          <w:rFonts w:eastAsia="仿宋_GB2312"/>
          <w:sz w:val="24"/>
          <w:szCs w:val="32"/>
        </w:rPr>
        <w:t>指原则上限于不应或不必要与医疗服务项目分割的易耗品，包括但不限于各类消杀用品、储存用品、清洁用品、个人防护用品、垃圾处理用品、培养液、冷冻保护液、冷冻液、解冻液、辅助生殖用液、试管、载杆载体辅助生殖器皿及装置、冲洗液、润滑剂、灌洗液、棉球、棉签、纱布（垫）、护垫、衬垫、手术巾（单）、治疗巾（单）、治疗护理盘(包）、注射器、滑石粉、防渗漏垫、标签、可复用的操作器具、冲洗工具。基本物耗成本计入项目价格，不另行收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4.本表内</w:t>
      </w:r>
      <w:r>
        <w:rPr>
          <w:rFonts w:hint="eastAsia" w:eastAsia="仿宋_GB2312"/>
          <w:sz w:val="24"/>
          <w:szCs w:val="32"/>
        </w:rPr>
        <w:t>“</w:t>
      </w:r>
      <w:r>
        <w:rPr>
          <w:rFonts w:eastAsia="仿宋_GB2312"/>
          <w:sz w:val="24"/>
          <w:szCs w:val="32"/>
        </w:rPr>
        <w:t>组织/体液/细胞冷冻（或冷冻续存）</w:t>
      </w:r>
      <w:r>
        <w:rPr>
          <w:rFonts w:hint="eastAsia" w:eastAsia="仿宋_GB2312"/>
          <w:sz w:val="24"/>
          <w:szCs w:val="32"/>
        </w:rPr>
        <w:t>”</w:t>
      </w:r>
      <w:r>
        <w:rPr>
          <w:rFonts w:eastAsia="仿宋_GB2312"/>
          <w:sz w:val="24"/>
          <w:szCs w:val="32"/>
        </w:rPr>
        <w:t>项目中，</w:t>
      </w:r>
      <w:r>
        <w:rPr>
          <w:rFonts w:hint="eastAsia" w:eastAsia="仿宋_GB2312"/>
          <w:sz w:val="24"/>
          <w:szCs w:val="32"/>
        </w:rPr>
        <w:t>“</w:t>
      </w:r>
      <w:r>
        <w:rPr>
          <w:rFonts w:eastAsia="仿宋_GB2312"/>
          <w:sz w:val="24"/>
          <w:szCs w:val="32"/>
        </w:rPr>
        <w:t>解冻复苏</w:t>
      </w:r>
      <w:r>
        <w:rPr>
          <w:rFonts w:hint="eastAsia" w:eastAsia="仿宋_GB2312"/>
          <w:sz w:val="24"/>
          <w:szCs w:val="32"/>
        </w:rPr>
        <w:t>”</w:t>
      </w:r>
      <w:r>
        <w:rPr>
          <w:rFonts w:eastAsia="仿宋_GB2312"/>
          <w:sz w:val="24"/>
          <w:szCs w:val="32"/>
        </w:rPr>
        <w:t>指卵母细胞（极体）、精液、精子等与辅助生殖相关的解冻复苏，不包含胚胎、囊胚的解冻操作；</w:t>
      </w:r>
      <w:r>
        <w:rPr>
          <w:rFonts w:hint="eastAsia" w:eastAsia="仿宋_GB2312"/>
          <w:sz w:val="24"/>
          <w:szCs w:val="32"/>
        </w:rPr>
        <w:t>“</w:t>
      </w:r>
      <w:r>
        <w:rPr>
          <w:rFonts w:eastAsia="仿宋_GB2312"/>
          <w:sz w:val="24"/>
          <w:szCs w:val="32"/>
        </w:rPr>
        <w:t>管</w:t>
      </w:r>
      <w:r>
        <w:rPr>
          <w:rFonts w:hint="eastAsia" w:eastAsia="仿宋_GB2312"/>
          <w:sz w:val="24"/>
          <w:szCs w:val="32"/>
        </w:rPr>
        <w:t>”</w:t>
      </w:r>
      <w:r>
        <w:rPr>
          <w:rFonts w:eastAsia="仿宋_GB2312"/>
          <w:sz w:val="24"/>
          <w:szCs w:val="32"/>
        </w:rPr>
        <w:t>指包括但不限于用于装载辅助生殖组织、体液或细胞所需的试管、载杆等载体。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5.本表所列</w:t>
      </w:r>
      <w:r>
        <w:rPr>
          <w:rFonts w:hint="eastAsia" w:eastAsia="仿宋_GB2312"/>
          <w:sz w:val="24"/>
          <w:szCs w:val="32"/>
        </w:rPr>
        <w:t>“</w:t>
      </w:r>
      <w:r>
        <w:rPr>
          <w:rFonts w:eastAsia="仿宋_GB2312"/>
          <w:sz w:val="24"/>
          <w:szCs w:val="32"/>
        </w:rPr>
        <w:t>取精术</w:t>
      </w:r>
      <w:r>
        <w:rPr>
          <w:rFonts w:hint="eastAsia" w:eastAsia="仿宋_GB2312"/>
          <w:sz w:val="24"/>
          <w:szCs w:val="32"/>
        </w:rPr>
        <w:t>”</w:t>
      </w:r>
      <w:r>
        <w:rPr>
          <w:rFonts w:eastAsia="仿宋_GB2312"/>
          <w:sz w:val="24"/>
          <w:szCs w:val="32"/>
        </w:rPr>
        <w:t>加收项</w:t>
      </w:r>
      <w:r>
        <w:rPr>
          <w:rFonts w:hint="eastAsia" w:eastAsia="仿宋_GB2312"/>
          <w:sz w:val="24"/>
          <w:szCs w:val="32"/>
        </w:rPr>
        <w:t>“</w:t>
      </w:r>
      <w:r>
        <w:rPr>
          <w:rFonts w:eastAsia="仿宋_GB2312"/>
          <w:sz w:val="24"/>
          <w:szCs w:val="32"/>
        </w:rPr>
        <w:t>显微镜下操作</w:t>
      </w:r>
      <w:r>
        <w:rPr>
          <w:rFonts w:hint="eastAsia" w:eastAsia="仿宋_GB2312"/>
          <w:sz w:val="24"/>
          <w:szCs w:val="32"/>
        </w:rPr>
        <w:t>”</w:t>
      </w:r>
      <w:r>
        <w:rPr>
          <w:rFonts w:eastAsia="仿宋_GB2312"/>
          <w:sz w:val="24"/>
          <w:szCs w:val="32"/>
        </w:rPr>
        <w:t>指在显微镜下完成切开睾丸/附睾获取精子的操作过程。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32"/>
        </w:rPr>
      </w:pPr>
      <w:r>
        <w:rPr>
          <w:rFonts w:eastAsia="仿宋_GB2312"/>
          <w:sz w:val="24"/>
          <w:szCs w:val="32"/>
        </w:rPr>
        <w:t>6.项目内涵中所列</w:t>
      </w:r>
      <w:r>
        <w:rPr>
          <w:rFonts w:hint="eastAsia" w:eastAsia="仿宋_GB2312"/>
          <w:sz w:val="24"/>
          <w:szCs w:val="32"/>
        </w:rPr>
        <w:t>“</w:t>
      </w:r>
      <w:r>
        <w:rPr>
          <w:rFonts w:eastAsia="仿宋_GB2312"/>
          <w:sz w:val="24"/>
          <w:szCs w:val="32"/>
        </w:rPr>
        <w:t>穿刺</w:t>
      </w:r>
      <w:r>
        <w:rPr>
          <w:rFonts w:hint="eastAsia" w:eastAsia="仿宋_GB2312"/>
          <w:sz w:val="24"/>
          <w:szCs w:val="32"/>
        </w:rPr>
        <w:t>”</w:t>
      </w:r>
      <w:r>
        <w:rPr>
          <w:rFonts w:eastAsia="仿宋_GB2312"/>
          <w:sz w:val="24"/>
          <w:szCs w:val="32"/>
        </w:rPr>
        <w:t>为主项操作涉及的必要穿刺技术。</w:t>
      </w:r>
    </w:p>
    <w:p>
      <w:r>
        <w:rPr>
          <w:rFonts w:eastAsia="仿宋_GB2312"/>
          <w:sz w:val="24"/>
          <w:szCs w:val="32"/>
        </w:rPr>
        <w:t>7.项目编码已经存在的现有项目，按本表内容执行。</w:t>
      </w:r>
    </w:p>
    <w:p>
      <w:pPr>
        <w:spacing w:before="65"/>
        <w:rPr>
          <w:rFonts w:hint="eastAsia" w:ascii="仿宋_GB2312" w:hAnsi="仿宋_GB2312" w:eastAsia="仿宋_GB2312" w:cs="仿宋_GB2312"/>
          <w:sz w:val="24"/>
          <w:szCs w:val="24"/>
        </w:rPr>
      </w:pPr>
    </w:p>
    <w:p>
      <w:pPr>
        <w:spacing w:before="65"/>
        <w:rPr>
          <w:rFonts w:hint="eastAsia" w:ascii="仿宋_GB2312" w:hAnsi="仿宋_GB2312" w:eastAsia="仿宋_GB2312" w:cs="仿宋_GB2312"/>
          <w:sz w:val="24"/>
          <w:szCs w:val="24"/>
        </w:rPr>
      </w:pPr>
    </w:p>
    <w:p>
      <w:pPr>
        <w:rPr>
          <w:rFonts w:ascii="Arial" w:hAnsi="Arial" w:eastAsia="Arial" w:cs="Arial"/>
          <w:sz w:val="21"/>
          <w:szCs w:val="21"/>
        </w:rPr>
        <w:sectPr>
          <w:footerReference r:id="rId4" w:type="default"/>
          <w:pgSz w:w="16990" w:h="12130"/>
          <w:pgMar w:top="1031" w:right="1314" w:bottom="1322" w:left="1575" w:header="0" w:footer="1007" w:gutter="0"/>
          <w:pgNumType w:fmt="decimal" w:chapStyle="1"/>
          <w:cols w:space="720" w:num="1"/>
        </w:sectPr>
      </w:pPr>
    </w:p>
    <w:p>
      <w:pPr>
        <w:rPr>
          <w:rFonts w:hint="eastAsia" w:ascii="黑体" w:hAnsi="黑体" w:eastAsia="黑体" w:cs="黑体"/>
          <w:sz w:val="32"/>
          <w:szCs w:val="32"/>
        </w:rPr>
      </w:pPr>
      <w:r>
        <w:rPr>
          <w:rFonts w:hint="eastAsia" w:ascii="黑体" w:hAnsi="黑体" w:eastAsia="黑体" w:cs="黑体"/>
          <w:sz w:val="32"/>
          <w:szCs w:val="32"/>
        </w:rPr>
        <w:t>附件2</w:t>
      </w:r>
    </w:p>
    <w:p>
      <w:pPr>
        <w:spacing w:line="336" w:lineRule="auto"/>
        <w:rPr>
          <w:rFonts w:ascii="Arial"/>
          <w:sz w:val="21"/>
        </w:rPr>
      </w:pPr>
    </w:p>
    <w:p>
      <w:pPr>
        <w:spacing w:before="158" w:beforeLines="50" w:after="158" w:afterLines="50" w:line="640" w:lineRule="exact"/>
        <w:jc w:val="center"/>
        <w:rPr>
          <w:rFonts w:eastAsia="方正小标宋简体"/>
          <w:bCs/>
          <w:sz w:val="44"/>
          <w:szCs w:val="44"/>
        </w:rPr>
      </w:pPr>
      <w:r>
        <w:rPr>
          <w:rFonts w:hint="eastAsia" w:eastAsia="方正小标宋简体"/>
          <w:bCs/>
          <w:sz w:val="44"/>
          <w:szCs w:val="44"/>
          <w:lang w:eastAsia="zh-CN"/>
        </w:rPr>
        <w:t>济宁市</w:t>
      </w:r>
      <w:r>
        <w:rPr>
          <w:rFonts w:eastAsia="方正小标宋简体"/>
          <w:bCs/>
          <w:sz w:val="44"/>
          <w:szCs w:val="44"/>
        </w:rPr>
        <w:t>公立医疗机构部分医疗服务项目价格修订表</w:t>
      </w:r>
    </w:p>
    <w:p>
      <w:pPr>
        <w:spacing w:before="32"/>
      </w:pPr>
    </w:p>
    <w:p>
      <w:pPr>
        <w:spacing w:before="32"/>
      </w:pPr>
    </w:p>
    <w:tbl>
      <w:tblPr>
        <w:tblStyle w:val="10"/>
        <w:tblW w:w="14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579"/>
        <w:gridCol w:w="2748"/>
        <w:gridCol w:w="1719"/>
        <w:gridCol w:w="1399"/>
        <w:gridCol w:w="1369"/>
        <w:gridCol w:w="1958"/>
        <w:gridCol w:w="2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04" w:type="dxa"/>
            <w:vAlign w:val="top"/>
          </w:tcPr>
          <w:p>
            <w:pPr>
              <w:pStyle w:val="9"/>
              <w:spacing w:before="203" w:line="221" w:lineRule="auto"/>
              <w:ind w:left="128"/>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序号</w:t>
            </w:r>
          </w:p>
        </w:tc>
        <w:tc>
          <w:tcPr>
            <w:tcW w:w="1579" w:type="dxa"/>
            <w:vAlign w:val="top"/>
          </w:tcPr>
          <w:p>
            <w:pPr>
              <w:pStyle w:val="9"/>
              <w:spacing w:before="202" w:line="219" w:lineRule="auto"/>
              <w:ind w:left="244"/>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项目编码</w:t>
            </w:r>
          </w:p>
        </w:tc>
        <w:tc>
          <w:tcPr>
            <w:tcW w:w="2748" w:type="dxa"/>
            <w:vAlign w:val="top"/>
          </w:tcPr>
          <w:p>
            <w:pPr>
              <w:pStyle w:val="9"/>
              <w:spacing w:before="203" w:line="220" w:lineRule="auto"/>
              <w:ind w:left="785"/>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项目名称</w:t>
            </w:r>
          </w:p>
        </w:tc>
        <w:tc>
          <w:tcPr>
            <w:tcW w:w="1719" w:type="dxa"/>
            <w:vAlign w:val="top"/>
          </w:tcPr>
          <w:p>
            <w:pPr>
              <w:pStyle w:val="9"/>
              <w:spacing w:before="202" w:line="219" w:lineRule="auto"/>
              <w:ind w:left="357"/>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项目内涵</w:t>
            </w:r>
          </w:p>
        </w:tc>
        <w:tc>
          <w:tcPr>
            <w:tcW w:w="1399" w:type="dxa"/>
            <w:vAlign w:val="top"/>
          </w:tcPr>
          <w:p>
            <w:pPr>
              <w:pStyle w:val="9"/>
              <w:spacing w:before="202" w:line="219" w:lineRule="auto"/>
              <w:ind w:left="148"/>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除外内容</w:t>
            </w:r>
          </w:p>
        </w:tc>
        <w:tc>
          <w:tcPr>
            <w:tcW w:w="1369" w:type="dxa"/>
            <w:vAlign w:val="top"/>
          </w:tcPr>
          <w:p>
            <w:pPr>
              <w:pStyle w:val="9"/>
              <w:spacing w:before="199" w:line="218" w:lineRule="auto"/>
              <w:ind w:left="139"/>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计价单位</w:t>
            </w:r>
          </w:p>
        </w:tc>
        <w:tc>
          <w:tcPr>
            <w:tcW w:w="1958" w:type="dxa"/>
            <w:vAlign w:val="top"/>
          </w:tcPr>
          <w:p>
            <w:pPr>
              <w:pStyle w:val="9"/>
              <w:spacing w:before="199" w:line="218" w:lineRule="auto"/>
              <w:ind w:left="710"/>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价格</w:t>
            </w:r>
          </w:p>
        </w:tc>
        <w:tc>
          <w:tcPr>
            <w:tcW w:w="2463" w:type="dxa"/>
            <w:vAlign w:val="top"/>
          </w:tcPr>
          <w:p>
            <w:pPr>
              <w:pStyle w:val="9"/>
              <w:spacing w:before="202" w:line="219" w:lineRule="auto"/>
              <w:ind w:left="952"/>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04" w:type="dxa"/>
            <w:vAlign w:val="top"/>
          </w:tcPr>
          <w:p>
            <w:pPr>
              <w:pStyle w:val="9"/>
              <w:spacing w:before="274" w:line="184" w:lineRule="auto"/>
              <w:ind w:left="328"/>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1</w:t>
            </w:r>
          </w:p>
        </w:tc>
        <w:tc>
          <w:tcPr>
            <w:tcW w:w="1579" w:type="dxa"/>
            <w:vAlign w:val="top"/>
          </w:tcPr>
          <w:p>
            <w:pPr>
              <w:pStyle w:val="9"/>
              <w:spacing w:before="272" w:line="184" w:lineRule="auto"/>
              <w:ind w:left="174"/>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5"/>
                <w:sz w:val="24"/>
                <w:szCs w:val="24"/>
              </w:rPr>
              <w:t>311100006</w:t>
            </w:r>
          </w:p>
        </w:tc>
        <w:tc>
          <w:tcPr>
            <w:tcW w:w="2748" w:type="dxa"/>
            <w:vAlign w:val="top"/>
          </w:tcPr>
          <w:p>
            <w:pPr>
              <w:pStyle w:val="9"/>
              <w:spacing w:before="202" w:line="219"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rPr>
              <w:t>睾丸阴茎海绵体活检术</w:t>
            </w:r>
          </w:p>
        </w:tc>
        <w:tc>
          <w:tcPr>
            <w:tcW w:w="1719" w:type="dxa"/>
            <w:vAlign w:val="top"/>
          </w:tcPr>
          <w:p>
            <w:pPr>
              <w:pStyle w:val="9"/>
              <w:spacing w:before="202" w:line="219" w:lineRule="auto"/>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2"/>
                <w:sz w:val="24"/>
                <w:szCs w:val="24"/>
              </w:rPr>
              <w:t>包括</w:t>
            </w:r>
            <w:r>
              <w:rPr>
                <w:rFonts w:hint="eastAsia" w:ascii="仿宋_GB2312" w:hAnsi="仿宋_GB2312" w:eastAsia="仿宋_GB2312" w:cs="仿宋_GB2312"/>
                <w:b w:val="0"/>
                <w:bCs w:val="0"/>
                <w:spacing w:val="-21"/>
                <w:sz w:val="24"/>
                <w:szCs w:val="24"/>
              </w:rPr>
              <w:t>穿刺、切</w:t>
            </w:r>
            <w:r>
              <w:rPr>
                <w:rFonts w:hint="eastAsia" w:ascii="仿宋_GB2312" w:hAnsi="仿宋_GB2312" w:eastAsia="仿宋_GB2312" w:cs="仿宋_GB2312"/>
                <w:b w:val="0"/>
                <w:bCs w:val="0"/>
                <w:spacing w:val="-12"/>
                <w:sz w:val="24"/>
                <w:szCs w:val="24"/>
              </w:rPr>
              <w:t>开</w:t>
            </w:r>
          </w:p>
        </w:tc>
        <w:tc>
          <w:tcPr>
            <w:tcW w:w="1399" w:type="dxa"/>
            <w:vAlign w:val="top"/>
          </w:tcPr>
          <w:p>
            <w:pPr>
              <w:rPr>
                <w:rFonts w:hint="eastAsia" w:ascii="仿宋_GB2312" w:hAnsi="仿宋_GB2312" w:eastAsia="仿宋_GB2312" w:cs="仿宋_GB2312"/>
                <w:b w:val="0"/>
                <w:bCs w:val="0"/>
                <w:sz w:val="24"/>
                <w:szCs w:val="24"/>
              </w:rPr>
            </w:pPr>
          </w:p>
        </w:tc>
        <w:tc>
          <w:tcPr>
            <w:tcW w:w="1369" w:type="dxa"/>
            <w:vAlign w:val="top"/>
          </w:tcPr>
          <w:p>
            <w:pPr>
              <w:pStyle w:val="9"/>
              <w:spacing w:before="202" w:line="219" w:lineRule="auto"/>
              <w:ind w:left="54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3"/>
                <w:sz w:val="24"/>
                <w:szCs w:val="24"/>
              </w:rPr>
              <w:t>次</w:t>
            </w:r>
          </w:p>
        </w:tc>
        <w:tc>
          <w:tcPr>
            <w:tcW w:w="1958" w:type="dxa"/>
            <w:vAlign w:val="top"/>
          </w:tcPr>
          <w:p>
            <w:pPr>
              <w:pStyle w:val="9"/>
              <w:spacing w:before="272" w:line="184" w:lineRule="auto"/>
              <w:ind w:left="77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pacing w:val="-10"/>
                <w:sz w:val="24"/>
                <w:szCs w:val="24"/>
              </w:rPr>
              <w:t>1</w:t>
            </w:r>
            <w:r>
              <w:rPr>
                <w:rFonts w:hint="eastAsia" w:ascii="仿宋_GB2312" w:hAnsi="仿宋_GB2312" w:eastAsia="仿宋_GB2312" w:cs="仿宋_GB2312"/>
                <w:b w:val="0"/>
                <w:bCs w:val="0"/>
                <w:spacing w:val="-10"/>
                <w:sz w:val="24"/>
                <w:szCs w:val="24"/>
                <w:lang w:val="en-US" w:eastAsia="zh-CN"/>
              </w:rPr>
              <w:t>40</w:t>
            </w:r>
          </w:p>
        </w:tc>
        <w:tc>
          <w:tcPr>
            <w:tcW w:w="2463" w:type="dxa"/>
            <w:vAlign w:val="top"/>
          </w:tcPr>
          <w:p>
            <w:pPr>
              <w:rPr>
                <w:rFonts w:hint="eastAsia" w:ascii="仿宋_GB2312" w:hAnsi="仿宋_GB2312" w:eastAsia="仿宋_GB2312" w:cs="仿宋_GB2312"/>
                <w:b w:val="0"/>
                <w:bCs w:val="0"/>
                <w:sz w:val="28"/>
                <w:szCs w:val="28"/>
              </w:rPr>
            </w:pPr>
          </w:p>
        </w:tc>
      </w:tr>
    </w:tbl>
    <w:p>
      <w:pPr>
        <w:rPr>
          <w:rFonts w:hint="eastAsia" w:ascii="仿宋_GB2312" w:hAnsi="仿宋_GB2312" w:eastAsia="仿宋_GB2312" w:cs="仿宋_GB2312"/>
          <w:sz w:val="28"/>
          <w:szCs w:val="28"/>
        </w:rPr>
      </w:pPr>
    </w:p>
    <w:p>
      <w:pPr>
        <w:rPr>
          <w:rFonts w:ascii="Arial" w:hAnsi="Arial" w:eastAsia="Arial" w:cs="Arial"/>
          <w:sz w:val="21"/>
          <w:szCs w:val="21"/>
        </w:rPr>
        <w:sectPr>
          <w:footerReference r:id="rId5" w:type="default"/>
          <w:pgSz w:w="16830" w:h="11900"/>
          <w:pgMar w:top="1011" w:right="1305" w:bottom="1217" w:left="1475" w:header="0" w:footer="909" w:gutter="0"/>
          <w:pgNumType w:fmt="decimal" w:chapStyle="1"/>
          <w:cols w:space="720" w:num="1"/>
        </w:sectPr>
      </w:pPr>
    </w:p>
    <w:p>
      <w:pPr>
        <w:rPr>
          <w:rFonts w:hint="eastAsia" w:ascii="黑体" w:hAnsi="黑体" w:eastAsia="黑体" w:cs="黑体"/>
          <w:sz w:val="32"/>
          <w:szCs w:val="32"/>
        </w:rPr>
      </w:pPr>
      <w:r>
        <w:rPr>
          <w:rFonts w:hint="eastAsia" w:ascii="黑体" w:hAnsi="黑体" w:eastAsia="黑体" w:cs="黑体"/>
          <w:sz w:val="32"/>
          <w:szCs w:val="32"/>
        </w:rPr>
        <w:t>附件3</w:t>
      </w:r>
    </w:p>
    <w:p>
      <w:pPr>
        <w:spacing w:line="323" w:lineRule="auto"/>
        <w:rPr>
          <w:rFonts w:ascii="Arial"/>
          <w:sz w:val="21"/>
        </w:rPr>
      </w:pPr>
    </w:p>
    <w:p>
      <w:pPr>
        <w:spacing w:before="158" w:beforeLines="50" w:after="158" w:afterLines="50" w:line="640" w:lineRule="exact"/>
        <w:jc w:val="center"/>
        <w:rPr>
          <w:rFonts w:eastAsia="方正小标宋简体"/>
          <w:bCs/>
          <w:sz w:val="44"/>
          <w:szCs w:val="44"/>
        </w:rPr>
      </w:pPr>
      <w:r>
        <w:rPr>
          <w:rFonts w:hint="eastAsia" w:eastAsia="方正小标宋简体"/>
          <w:bCs/>
          <w:sz w:val="44"/>
          <w:szCs w:val="44"/>
          <w:lang w:eastAsia="zh-CN"/>
        </w:rPr>
        <w:t>济宁市</w:t>
      </w:r>
      <w:r>
        <w:rPr>
          <w:rFonts w:eastAsia="方正小标宋简体"/>
          <w:bCs/>
          <w:sz w:val="44"/>
          <w:szCs w:val="44"/>
        </w:rPr>
        <w:t>停用部分医疗服务价格项目</w:t>
      </w:r>
    </w:p>
    <w:p>
      <w:pPr>
        <w:spacing w:before="38"/>
      </w:pPr>
    </w:p>
    <w:p>
      <w:pPr>
        <w:spacing w:before="38"/>
      </w:pPr>
    </w:p>
    <w:tbl>
      <w:tblPr>
        <w:tblStyle w:val="10"/>
        <w:tblW w:w="8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508"/>
        <w:gridCol w:w="3616"/>
        <w:gridCol w:w="1398"/>
        <w:gridCol w:w="1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794" w:type="dxa"/>
            <w:vAlign w:val="top"/>
          </w:tcPr>
          <w:p>
            <w:pPr>
              <w:pStyle w:val="9"/>
              <w:spacing w:before="239" w:line="221" w:lineRule="auto"/>
              <w:ind w:left="74"/>
              <w:rPr>
                <w:rFonts w:hint="eastAsia" w:ascii="仿宋" w:hAnsi="仿宋" w:eastAsia="仿宋" w:cs="仿宋"/>
                <w:b/>
                <w:bCs/>
                <w:sz w:val="30"/>
                <w:szCs w:val="30"/>
              </w:rPr>
            </w:pPr>
            <w:r>
              <w:rPr>
                <w:rFonts w:hint="eastAsia" w:ascii="仿宋" w:hAnsi="仿宋" w:eastAsia="仿宋" w:cs="仿宋"/>
                <w:b/>
                <w:bCs/>
                <w:spacing w:val="9"/>
                <w:sz w:val="30"/>
                <w:szCs w:val="30"/>
              </w:rPr>
              <w:t>序号</w:t>
            </w:r>
          </w:p>
        </w:tc>
        <w:tc>
          <w:tcPr>
            <w:tcW w:w="1508" w:type="dxa"/>
            <w:vAlign w:val="top"/>
          </w:tcPr>
          <w:p>
            <w:pPr>
              <w:pStyle w:val="9"/>
              <w:spacing w:before="243" w:line="219" w:lineRule="auto"/>
              <w:ind w:left="145"/>
              <w:rPr>
                <w:rFonts w:hint="eastAsia" w:ascii="仿宋" w:hAnsi="仿宋" w:eastAsia="仿宋" w:cs="仿宋"/>
                <w:b/>
                <w:bCs/>
                <w:sz w:val="30"/>
                <w:szCs w:val="30"/>
              </w:rPr>
            </w:pPr>
            <w:r>
              <w:rPr>
                <w:rFonts w:hint="eastAsia" w:ascii="仿宋" w:hAnsi="仿宋" w:eastAsia="仿宋" w:cs="仿宋"/>
                <w:b/>
                <w:bCs/>
                <w:spacing w:val="-2"/>
                <w:sz w:val="30"/>
                <w:szCs w:val="30"/>
              </w:rPr>
              <w:t>项目编码</w:t>
            </w:r>
          </w:p>
        </w:tc>
        <w:tc>
          <w:tcPr>
            <w:tcW w:w="3616" w:type="dxa"/>
            <w:vAlign w:val="top"/>
          </w:tcPr>
          <w:p>
            <w:pPr>
              <w:pStyle w:val="9"/>
              <w:spacing w:before="248" w:line="220" w:lineRule="auto"/>
              <w:ind w:left="1262"/>
              <w:rPr>
                <w:rFonts w:hint="eastAsia" w:ascii="仿宋" w:hAnsi="仿宋" w:eastAsia="仿宋" w:cs="仿宋"/>
                <w:b/>
                <w:bCs/>
                <w:sz w:val="30"/>
                <w:szCs w:val="30"/>
              </w:rPr>
            </w:pPr>
            <w:r>
              <w:rPr>
                <w:rFonts w:hint="eastAsia" w:ascii="仿宋" w:hAnsi="仿宋" w:eastAsia="仿宋" w:cs="仿宋"/>
                <w:b/>
                <w:bCs/>
                <w:spacing w:val="3"/>
                <w:sz w:val="30"/>
                <w:szCs w:val="30"/>
              </w:rPr>
              <w:t>项目名称</w:t>
            </w:r>
          </w:p>
        </w:tc>
        <w:tc>
          <w:tcPr>
            <w:tcW w:w="1398" w:type="dxa"/>
            <w:vAlign w:val="top"/>
          </w:tcPr>
          <w:p>
            <w:pPr>
              <w:pStyle w:val="9"/>
              <w:spacing w:before="272" w:line="218" w:lineRule="auto"/>
              <w:jc w:val="center"/>
              <w:rPr>
                <w:rFonts w:hint="eastAsia" w:ascii="仿宋" w:hAnsi="仿宋" w:eastAsia="仿宋" w:cs="仿宋"/>
                <w:b/>
                <w:bCs/>
                <w:sz w:val="30"/>
                <w:szCs w:val="30"/>
              </w:rPr>
            </w:pPr>
            <w:r>
              <w:rPr>
                <w:rFonts w:hint="eastAsia" w:ascii="仿宋" w:hAnsi="仿宋" w:eastAsia="仿宋" w:cs="仿宋"/>
                <w:b/>
                <w:bCs/>
                <w:spacing w:val="-2"/>
                <w:sz w:val="30"/>
                <w:szCs w:val="30"/>
              </w:rPr>
              <w:t>计价单位</w:t>
            </w:r>
          </w:p>
        </w:tc>
        <w:tc>
          <w:tcPr>
            <w:tcW w:w="1583" w:type="dxa"/>
            <w:vAlign w:val="top"/>
          </w:tcPr>
          <w:p>
            <w:pPr>
              <w:pStyle w:val="9"/>
              <w:spacing w:before="243" w:line="219" w:lineRule="auto"/>
              <w:ind w:left="533"/>
              <w:rPr>
                <w:rFonts w:hint="eastAsia" w:ascii="仿宋" w:hAnsi="仿宋" w:eastAsia="仿宋" w:cs="仿宋"/>
                <w:b/>
                <w:bCs/>
                <w:sz w:val="30"/>
                <w:szCs w:val="30"/>
              </w:rPr>
            </w:pPr>
            <w:r>
              <w:rPr>
                <w:rFonts w:hint="eastAsia" w:ascii="仿宋" w:hAnsi="仿宋" w:eastAsia="仿宋" w:cs="仿宋"/>
                <w:b/>
                <w:bCs/>
                <w:spacing w:val="8"/>
                <w:sz w:val="30"/>
                <w:szCs w:val="30"/>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82" w:line="184"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08" w:type="dxa"/>
            <w:vAlign w:val="top"/>
          </w:tcPr>
          <w:p>
            <w:pPr>
              <w:pStyle w:val="9"/>
              <w:spacing w:before="282"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311201037</w:t>
            </w:r>
          </w:p>
        </w:tc>
        <w:tc>
          <w:tcPr>
            <w:tcW w:w="3616" w:type="dxa"/>
            <w:vAlign w:val="top"/>
          </w:tcPr>
          <w:p>
            <w:pPr>
              <w:pStyle w:val="9"/>
              <w:spacing w:before="220"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B超下采卵术</w:t>
            </w:r>
          </w:p>
        </w:tc>
        <w:tc>
          <w:tcPr>
            <w:tcW w:w="1398" w:type="dxa"/>
            <w:vAlign w:val="top"/>
          </w:tcPr>
          <w:p>
            <w:pPr>
              <w:pStyle w:val="9"/>
              <w:spacing w:before="221"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84" w:line="183"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08" w:type="dxa"/>
            <w:vAlign w:val="top"/>
          </w:tcPr>
          <w:p>
            <w:pPr>
              <w:pStyle w:val="9"/>
              <w:spacing w:before="283"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311201043</w:t>
            </w:r>
          </w:p>
        </w:tc>
        <w:tc>
          <w:tcPr>
            <w:tcW w:w="3616" w:type="dxa"/>
            <w:vAlign w:val="top"/>
          </w:tcPr>
          <w:p>
            <w:pPr>
              <w:pStyle w:val="9"/>
              <w:spacing w:before="221"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单精子显微镜下卵细胞内授精术</w:t>
            </w:r>
          </w:p>
        </w:tc>
        <w:tc>
          <w:tcPr>
            <w:tcW w:w="1398" w:type="dxa"/>
            <w:vAlign w:val="top"/>
          </w:tcPr>
          <w:p>
            <w:pPr>
              <w:pStyle w:val="9"/>
              <w:spacing w:before="223"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85" w:line="183"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08" w:type="dxa"/>
            <w:vAlign w:val="top"/>
          </w:tcPr>
          <w:p>
            <w:pPr>
              <w:pStyle w:val="9"/>
              <w:spacing w:before="284"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311201044</w:t>
            </w:r>
          </w:p>
        </w:tc>
        <w:tc>
          <w:tcPr>
            <w:tcW w:w="3616" w:type="dxa"/>
            <w:vAlign w:val="top"/>
          </w:tcPr>
          <w:p>
            <w:pPr>
              <w:pStyle w:val="9"/>
              <w:spacing w:before="224"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输卵管内胚子移植术</w:t>
            </w:r>
          </w:p>
        </w:tc>
        <w:tc>
          <w:tcPr>
            <w:tcW w:w="1398" w:type="dxa"/>
            <w:vAlign w:val="top"/>
          </w:tcPr>
          <w:p>
            <w:pPr>
              <w:pStyle w:val="9"/>
              <w:spacing w:before="224"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86" w:line="183"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08" w:type="dxa"/>
            <w:vAlign w:val="top"/>
          </w:tcPr>
          <w:p>
            <w:pPr>
              <w:pStyle w:val="9"/>
              <w:spacing w:before="285" w:line="184" w:lineRule="auto"/>
              <w:ind w:left="14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311201045a</w:t>
            </w:r>
          </w:p>
        </w:tc>
        <w:tc>
          <w:tcPr>
            <w:tcW w:w="3616" w:type="dxa"/>
            <w:vAlign w:val="top"/>
          </w:tcPr>
          <w:p>
            <w:pPr>
              <w:pStyle w:val="9"/>
              <w:spacing w:before="223"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宫腔内人工授精术(上游法)</w:t>
            </w:r>
          </w:p>
        </w:tc>
        <w:tc>
          <w:tcPr>
            <w:tcW w:w="1398" w:type="dxa"/>
            <w:vAlign w:val="top"/>
          </w:tcPr>
          <w:p>
            <w:pPr>
              <w:pStyle w:val="9"/>
              <w:spacing w:before="224"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4" w:type="dxa"/>
            <w:vAlign w:val="top"/>
          </w:tcPr>
          <w:p>
            <w:pPr>
              <w:pStyle w:val="9"/>
              <w:spacing w:before="289" w:line="182"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08" w:type="dxa"/>
            <w:vAlign w:val="top"/>
          </w:tcPr>
          <w:p>
            <w:pPr>
              <w:pStyle w:val="9"/>
              <w:spacing w:before="249"/>
              <w:ind w:left="14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311201045b</w:t>
            </w:r>
          </w:p>
        </w:tc>
        <w:tc>
          <w:tcPr>
            <w:tcW w:w="3616" w:type="dxa"/>
            <w:vAlign w:val="top"/>
          </w:tcPr>
          <w:p>
            <w:pPr>
              <w:pStyle w:val="9"/>
              <w:spacing w:before="224"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宫腔内人工授精术(梯度分离法)</w:t>
            </w:r>
          </w:p>
        </w:tc>
        <w:tc>
          <w:tcPr>
            <w:tcW w:w="1398" w:type="dxa"/>
            <w:vAlign w:val="top"/>
          </w:tcPr>
          <w:p>
            <w:pPr>
              <w:pStyle w:val="9"/>
              <w:spacing w:before="226"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88" w:line="183"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08" w:type="dxa"/>
            <w:vAlign w:val="top"/>
          </w:tcPr>
          <w:p>
            <w:pPr>
              <w:pStyle w:val="9"/>
              <w:spacing w:before="287"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311201061</w:t>
            </w:r>
          </w:p>
        </w:tc>
        <w:tc>
          <w:tcPr>
            <w:tcW w:w="3616" w:type="dxa"/>
            <w:vAlign w:val="top"/>
          </w:tcPr>
          <w:p>
            <w:pPr>
              <w:pStyle w:val="9"/>
              <w:spacing w:before="226"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囊胚培养</w:t>
            </w:r>
          </w:p>
        </w:tc>
        <w:tc>
          <w:tcPr>
            <w:tcW w:w="1398" w:type="dxa"/>
            <w:vAlign w:val="top"/>
          </w:tcPr>
          <w:p>
            <w:pPr>
              <w:pStyle w:val="9"/>
              <w:spacing w:before="226"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94" w:type="dxa"/>
            <w:vAlign w:val="top"/>
          </w:tcPr>
          <w:p>
            <w:pPr>
              <w:pStyle w:val="9"/>
              <w:spacing w:before="291" w:line="182"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08" w:type="dxa"/>
            <w:vAlign w:val="top"/>
          </w:tcPr>
          <w:p>
            <w:pPr>
              <w:pStyle w:val="9"/>
              <w:spacing w:before="288"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311201046</w:t>
            </w:r>
          </w:p>
        </w:tc>
        <w:tc>
          <w:tcPr>
            <w:tcW w:w="3616" w:type="dxa"/>
            <w:vAlign w:val="top"/>
          </w:tcPr>
          <w:p>
            <w:pPr>
              <w:pStyle w:val="9"/>
              <w:spacing w:before="226"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阴道内人工授精术</w:t>
            </w:r>
          </w:p>
        </w:tc>
        <w:tc>
          <w:tcPr>
            <w:tcW w:w="1398" w:type="dxa"/>
            <w:vAlign w:val="top"/>
          </w:tcPr>
          <w:p>
            <w:pPr>
              <w:pStyle w:val="9"/>
              <w:spacing w:before="228"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94" w:type="dxa"/>
            <w:vAlign w:val="top"/>
          </w:tcPr>
          <w:p>
            <w:pPr>
              <w:pStyle w:val="9"/>
              <w:spacing w:before="290" w:line="183"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08" w:type="dxa"/>
            <w:vAlign w:val="top"/>
          </w:tcPr>
          <w:p>
            <w:pPr>
              <w:pStyle w:val="9"/>
              <w:spacing w:before="289" w:line="184" w:lineRule="auto"/>
              <w:ind w:left="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311201063</w:t>
            </w:r>
          </w:p>
        </w:tc>
        <w:tc>
          <w:tcPr>
            <w:tcW w:w="3616" w:type="dxa"/>
            <w:vAlign w:val="top"/>
          </w:tcPr>
          <w:p>
            <w:pPr>
              <w:pStyle w:val="9"/>
              <w:spacing w:before="229" w:line="219" w:lineRule="auto"/>
              <w:ind w:left="5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冷冻胚胎复苏</w:t>
            </w:r>
          </w:p>
        </w:tc>
        <w:tc>
          <w:tcPr>
            <w:tcW w:w="1398" w:type="dxa"/>
            <w:vAlign w:val="top"/>
          </w:tcPr>
          <w:p>
            <w:pPr>
              <w:pStyle w:val="9"/>
              <w:spacing w:before="229" w:line="219" w:lineRule="auto"/>
              <w:ind w:left="57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w:t>
            </w:r>
          </w:p>
        </w:tc>
        <w:tc>
          <w:tcPr>
            <w:tcW w:w="15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2340" w:h="17140"/>
          <w:pgMar w:top="1456" w:right="1644" w:bottom="1648" w:left="1785" w:header="0" w:footer="1339" w:gutter="0"/>
          <w:pgNumType w:fmt="decimal" w:chapStyle="1"/>
          <w:cols w:space="720" w:num="1"/>
        </w:sectPr>
      </w:pPr>
    </w:p>
    <w:p>
      <w:pPr>
        <w:rPr>
          <w:rFonts w:hint="eastAsia" w:ascii="黑体" w:hAnsi="黑体" w:eastAsia="黑体" w:cs="黑体"/>
          <w:sz w:val="32"/>
          <w:szCs w:val="32"/>
        </w:rPr>
      </w:pPr>
      <w:r>
        <w:rPr>
          <w:rFonts w:hint="eastAsia" w:ascii="黑体" w:hAnsi="黑体" w:eastAsia="黑体" w:cs="黑体"/>
          <w:sz w:val="32"/>
          <w:szCs w:val="32"/>
        </w:rPr>
        <w:t>附件4</w:t>
      </w:r>
    </w:p>
    <w:p>
      <w:pPr>
        <w:spacing w:line="260" w:lineRule="auto"/>
        <w:rPr>
          <w:rFonts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p>
    <w:p>
      <w:pPr>
        <w:spacing w:before="158" w:beforeLines="50" w:after="158" w:afterLines="50" w:line="640" w:lineRule="exact"/>
        <w:jc w:val="center"/>
        <w:rPr>
          <w:rFonts w:hint="eastAsia" w:eastAsia="方正小标宋简体"/>
          <w:bCs/>
          <w:sz w:val="44"/>
          <w:szCs w:val="44"/>
          <w:lang w:eastAsia="zh-CN"/>
        </w:rPr>
      </w:pPr>
      <w:r>
        <w:rPr>
          <w:rFonts w:hint="eastAsia" w:eastAsia="方正小标宋简体"/>
          <w:bCs/>
          <w:sz w:val="44"/>
          <w:szCs w:val="44"/>
          <w:lang w:eastAsia="zh-CN"/>
        </w:rPr>
        <w:t>不孕不育门诊部分技术治疗认定标准</w:t>
      </w:r>
    </w:p>
    <w:p>
      <w:pPr>
        <w:spacing w:before="74"/>
      </w:pPr>
    </w:p>
    <w:p>
      <w:pPr>
        <w:spacing w:before="73"/>
      </w:pPr>
    </w:p>
    <w:p>
      <w:pPr>
        <w:rPr>
          <w:rFonts w:ascii="Arial"/>
          <w:sz w:val="21"/>
        </w:rPr>
      </w:pPr>
    </w:p>
    <w:tbl>
      <w:tblPr>
        <w:tblStyle w:val="7"/>
        <w:tblW w:w="13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tcPr>
          <w:p>
            <w:pPr>
              <w:jc w:val="center"/>
              <w:rPr>
                <w:rFonts w:ascii="黑体" w:hAnsi="黑体" w:eastAsia="黑体" w:cs="黑体"/>
                <w:sz w:val="30"/>
                <w:szCs w:val="30"/>
              </w:rPr>
            </w:pPr>
            <w:r>
              <w:rPr>
                <w:rFonts w:hint="eastAsia" w:ascii="黑体" w:hAnsi="黑体" w:eastAsia="黑体" w:cs="黑体"/>
                <w:sz w:val="30"/>
                <w:szCs w:val="30"/>
              </w:rPr>
              <w:t>病种名称</w:t>
            </w:r>
          </w:p>
        </w:tc>
        <w:tc>
          <w:tcPr>
            <w:tcW w:w="8760" w:type="dxa"/>
          </w:tcPr>
          <w:p>
            <w:pPr>
              <w:jc w:val="center"/>
              <w:rPr>
                <w:rFonts w:ascii="黑体" w:hAnsi="黑体" w:eastAsia="黑体" w:cs="黑体"/>
                <w:sz w:val="30"/>
                <w:szCs w:val="30"/>
              </w:rPr>
            </w:pPr>
            <w:r>
              <w:rPr>
                <w:rFonts w:hint="eastAsia" w:ascii="黑体" w:hAnsi="黑体" w:eastAsia="黑体" w:cs="黑体"/>
                <w:sz w:val="30"/>
                <w:szCs w:val="30"/>
              </w:rPr>
              <w:t>认定标准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4725" w:type="dxa"/>
          </w:tcPr>
          <w:p>
            <w:pPr>
              <w:jc w:val="cente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不孕不育门诊辅助生殖技术治疗</w:t>
            </w:r>
          </w:p>
        </w:tc>
        <w:tc>
          <w:tcPr>
            <w:tcW w:w="876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需同时符合以下条件：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1.经二级及以上定点医疗机构诊断为不孕不育症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2.在经卫生健康部门批准开展人类辅助生殖技术的定点医疗机构开展辅助生殖治疗</w:t>
            </w:r>
          </w:p>
        </w:tc>
      </w:tr>
    </w:tbl>
    <w:p>
      <w:pPr>
        <w:rPr>
          <w:rFonts w:ascii="Arial" w:hAnsi="Arial" w:eastAsia="Arial" w:cs="Arial"/>
          <w:sz w:val="21"/>
          <w:szCs w:val="21"/>
        </w:rPr>
        <w:sectPr>
          <w:footerReference r:id="rId7" w:type="default"/>
          <w:pgSz w:w="16830" w:h="11900"/>
          <w:pgMar w:top="1011" w:right="1864" w:bottom="1211" w:left="1495" w:header="0" w:footer="912" w:gutter="0"/>
          <w:pgNumType w:fmt="decimal" w:chapStyle="1"/>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p>
    <w:p>
      <w:pPr>
        <w:rPr>
          <w:rFonts w:hint="eastAsia" w:ascii="仿宋" w:hAnsi="仿宋" w:eastAsia="仿宋" w:cs="仿宋"/>
          <w:b w:val="0"/>
          <w:bCs w:val="0"/>
          <w:color w:val="auto"/>
          <w:sz w:val="28"/>
          <w:szCs w:val="28"/>
          <w:lang w:val="en-US" w:eastAsia="zh-CN"/>
        </w:rPr>
      </w:pPr>
    </w:p>
    <w:p>
      <w:pPr>
        <w:pStyle w:val="2"/>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w:t>
      </w:r>
    </w:p>
    <w:tbl>
      <w:tblPr>
        <w:tblStyle w:val="10"/>
        <w:tblpPr w:leftFromText="180" w:rightFromText="180" w:vertAnchor="text" w:horzAnchor="page" w:tblpX="1679" w:tblpY="1964"/>
        <w:tblOverlap w:val="never"/>
        <w:tblW w:w="882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8820" w:type="dxa"/>
            <w:tcBorders>
              <w:top w:val="single" w:color="000000" w:sz="4" w:space="0"/>
              <w:bottom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81" w:firstLineChars="100"/>
              <w:textAlignment w:val="auto"/>
              <w:rPr>
                <w:rFonts w:hint="eastAsia" w:ascii="Times New Roman" w:hAnsi="Times New Roman" w:eastAsia="仿宋_GB2312" w:cs="仿宋"/>
                <w:b/>
                <w:bCs/>
                <w:color w:val="auto"/>
                <w:kern w:val="2"/>
                <w:sz w:val="28"/>
                <w:szCs w:val="28"/>
                <w:shd w:val="clear" w:color="auto" w:fill="FFFFFF"/>
                <w:lang w:val="en-US" w:eastAsia="zh-CN" w:bidi="ar-SA"/>
              </w:rPr>
            </w:pPr>
            <w:r>
              <w:rPr>
                <w:rFonts w:hint="eastAsia" w:ascii="Times New Roman" w:hAnsi="Times New Roman" w:eastAsia="仿宋_GB2312" w:cs="仿宋"/>
                <w:b/>
                <w:bCs/>
                <w:color w:val="auto"/>
                <w:kern w:val="2"/>
                <w:sz w:val="28"/>
                <w:szCs w:val="28"/>
                <w:shd w:val="clear" w:color="auto" w:fill="FFFFFF"/>
                <w:lang w:val="en-US" w:eastAsia="zh-CN" w:bidi="ar-SA"/>
              </w:rPr>
              <w:t>抄送：省医疗保障局，市卫生健康委、市市场监管局。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8" w:hRule="atLeast"/>
        </w:trPr>
        <w:tc>
          <w:tcPr>
            <w:tcW w:w="8820" w:type="dxa"/>
            <w:tcBorders>
              <w:top w:val="single" w:color="000000" w:sz="4" w:space="0"/>
              <w:bottom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281" w:firstLineChars="100"/>
              <w:textAlignment w:val="auto"/>
              <w:rPr>
                <w:rFonts w:hint="eastAsia" w:ascii="Times New Roman" w:hAnsi="Times New Roman" w:eastAsia="仿宋_GB2312" w:cs="仿宋"/>
                <w:b/>
                <w:bCs/>
                <w:color w:val="auto"/>
                <w:kern w:val="2"/>
                <w:sz w:val="28"/>
                <w:szCs w:val="28"/>
                <w:shd w:val="clear" w:color="auto" w:fill="FFFFFF"/>
                <w:lang w:val="en-US" w:eastAsia="zh-CN" w:bidi="ar-SA"/>
              </w:rPr>
            </w:pPr>
            <w:r>
              <w:rPr>
                <w:rFonts w:hint="eastAsia" w:ascii="Times New Roman" w:hAnsi="Times New Roman" w:eastAsia="仿宋_GB2312" w:cs="仿宋"/>
                <w:b/>
                <w:bCs/>
                <w:color w:val="auto"/>
                <w:kern w:val="2"/>
                <w:sz w:val="28"/>
                <w:szCs w:val="28"/>
                <w:shd w:val="clear" w:color="auto" w:fill="FFFFFF"/>
                <w:lang w:val="en-US" w:eastAsia="zh-CN" w:bidi="ar-SA"/>
              </w:rPr>
              <w:t xml:space="preserve">济宁市医疗保障局办公室      </w:t>
            </w:r>
            <w:r>
              <w:rPr>
                <w:rFonts w:hint="eastAsia" w:eastAsia="仿宋_GB2312" w:cs="仿宋"/>
                <w:b/>
                <w:bCs/>
                <w:color w:val="auto"/>
                <w:kern w:val="2"/>
                <w:sz w:val="28"/>
                <w:szCs w:val="28"/>
                <w:shd w:val="clear" w:color="auto" w:fill="FFFFFF"/>
                <w:lang w:val="en-US" w:eastAsia="zh-CN" w:bidi="ar-SA"/>
              </w:rPr>
              <w:t xml:space="preserve">          </w:t>
            </w:r>
            <w:r>
              <w:rPr>
                <w:rFonts w:hint="eastAsia" w:ascii="Times New Roman" w:hAnsi="Times New Roman" w:eastAsia="仿宋_GB2312" w:cs="仿宋"/>
                <w:b/>
                <w:bCs/>
                <w:color w:val="auto"/>
                <w:kern w:val="2"/>
                <w:sz w:val="28"/>
                <w:szCs w:val="28"/>
                <w:shd w:val="clear" w:color="auto" w:fill="FFFFFF"/>
                <w:lang w:val="en-US" w:eastAsia="zh-CN" w:bidi="ar-SA"/>
              </w:rPr>
              <w:t xml:space="preserve">  2024年3月</w:t>
            </w:r>
            <w:r>
              <w:rPr>
                <w:rFonts w:hint="eastAsia" w:eastAsia="仿宋_GB2312" w:cs="仿宋"/>
                <w:b/>
                <w:bCs/>
                <w:color w:val="auto"/>
                <w:kern w:val="2"/>
                <w:sz w:val="28"/>
                <w:szCs w:val="28"/>
                <w:shd w:val="clear" w:color="auto" w:fill="FFFFFF"/>
                <w:lang w:val="en-US" w:eastAsia="zh-CN" w:bidi="ar-SA"/>
              </w:rPr>
              <w:t>29</w:t>
            </w:r>
            <w:r>
              <w:rPr>
                <w:rFonts w:hint="eastAsia" w:ascii="Times New Roman" w:hAnsi="Times New Roman" w:eastAsia="仿宋_GB2312" w:cs="仿宋"/>
                <w:b/>
                <w:bCs/>
                <w:color w:val="auto"/>
                <w:kern w:val="2"/>
                <w:sz w:val="28"/>
                <w:szCs w:val="28"/>
                <w:shd w:val="clear" w:color="auto" w:fill="FFFFFF"/>
                <w:lang w:val="en-US" w:eastAsia="zh-CN" w:bidi="ar-SA"/>
              </w:rPr>
              <w:t>日印发</w:t>
            </w:r>
          </w:p>
        </w:tc>
      </w:tr>
    </w:tbl>
    <w:p>
      <w:pPr>
        <w:rPr>
          <w:rFonts w:hint="eastAsia"/>
          <w:lang w:val="en-US" w:eastAsia="zh-CN"/>
        </w:rPr>
        <w:sectPr>
          <w:footerReference r:id="rId8" w:type="default"/>
          <w:pgSz w:w="11906" w:h="16838"/>
          <w:pgMar w:top="1440" w:right="1800" w:bottom="1440" w:left="1800" w:header="851" w:footer="992" w:gutter="0"/>
          <w:pgNumType w:fmt="decimal" w:chapStyle="1"/>
          <w:cols w:space="425" w:num="1"/>
          <w:docGrid w:type="lines" w:linePitch="312" w:charSpace="0"/>
        </w:sectPr>
      </w:pPr>
    </w:p>
    <w:p>
      <w:pPr>
        <w:pStyle w:val="2"/>
        <w:ind w:left="0" w:leftChars="0" w:firstLine="0" w:firstLineChars="0"/>
      </w:pPr>
    </w:p>
    <w:sectPr>
      <w:footerReference r:id="rId9" w:type="default"/>
      <w:pgSz w:w="16838" w:h="11906" w:orient="landscape"/>
      <w:pgMar w:top="1800" w:right="1440" w:bottom="1800" w:left="1440"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427"/>
      </w:tabs>
      <w:spacing w:line="177" w:lineRule="auto"/>
      <w:ind w:left="12864"/>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0288;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p>
                </w:txbxContent>
              </v:textbox>
            </v:shape>
          </w:pict>
        </mc:Fallback>
      </mc:AlternateContent>
    </w:r>
    <w:r>
      <w:rPr>
        <w:rFonts w:hint="eastAsia" w:ascii="宋体" w:hAnsi="宋体" w:cs="宋体"/>
        <w:sz w:val="31"/>
        <w:szCs w:val="3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12824"/>
      <w:rPr>
        <w:rFonts w:ascii="宋体" w:hAnsi="宋体" w:eastAsia="宋体" w:cs="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864"/>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2336;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94"/>
      <w:rPr>
        <w:rFonts w:ascii="宋体" w:hAnsi="宋体" w:eastAsia="宋体" w:cs="宋体"/>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3360;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s/vGR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bP7xkTECAABj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104"/>
      <w:rPr>
        <w:rFonts w:ascii="宋体" w:hAnsi="宋体" w:eastAsia="宋体" w:cs="宋体"/>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4384;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AuVmZ+Mg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44pWdQAAAAHAQAADwAAAAAAAAABACAAAAAiAAAAZHJzL2Rvd25yZXYueG1sUEsB&#10;AhQAFAAAAAgAh07iQC5WZn4yAgAAYwQAAA4AAAAAAAAAAQAgAAAAIwEAAGRycy9lMm9Eb2MueG1s&#10;UEsFBgAAAAAGAAYAWQEAAMc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104"/>
      <w:rPr>
        <w:rFonts w:ascii="宋体" w:hAnsi="宋体" w:eastAsia="宋体" w:cs="宋体"/>
        <w:sz w:val="30"/>
        <w:szCs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2104"/>
      <w:rPr>
        <w:rFonts w:ascii="宋体" w:hAnsi="宋体" w:eastAsia="宋体" w:cs="宋体"/>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5408;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OKVnUAAAABwEAAA8AAAAAAAAAAQAgAAAAIgAAAGRycy9kb3ducmV2LnhtbFBL&#10;AQIUABQAAAAIAIdO4kBhrYRyMwIAAGMEAAAOAAAAAAAAAAEAIAAAACMBAABkcnMvZTJvRG9jLnht&#10;bFBLBQYAAAAABgAGAFkBAADI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 w:name="KSO_WPS_MARK_KEY" w:val="a37541c6-d971-4ab1-b702-6898306c15e5"/>
  </w:docVars>
  <w:rsids>
    <w:rsidRoot w:val="210D6CF7"/>
    <w:rsid w:val="00771B68"/>
    <w:rsid w:val="03E477C9"/>
    <w:rsid w:val="04213FAB"/>
    <w:rsid w:val="0B640F3B"/>
    <w:rsid w:val="10C94194"/>
    <w:rsid w:val="14CA39EC"/>
    <w:rsid w:val="18385227"/>
    <w:rsid w:val="18811394"/>
    <w:rsid w:val="18DC2C0D"/>
    <w:rsid w:val="1980590A"/>
    <w:rsid w:val="19A219BE"/>
    <w:rsid w:val="1B206AFF"/>
    <w:rsid w:val="1BCA303C"/>
    <w:rsid w:val="1C1B0031"/>
    <w:rsid w:val="1D840FC9"/>
    <w:rsid w:val="210D6CF7"/>
    <w:rsid w:val="215676F1"/>
    <w:rsid w:val="23763D00"/>
    <w:rsid w:val="240E5F29"/>
    <w:rsid w:val="280D678A"/>
    <w:rsid w:val="294B5B30"/>
    <w:rsid w:val="29DF0136"/>
    <w:rsid w:val="2B543CDE"/>
    <w:rsid w:val="2FA75F07"/>
    <w:rsid w:val="305A62E5"/>
    <w:rsid w:val="30A54F0D"/>
    <w:rsid w:val="317B4712"/>
    <w:rsid w:val="3245770C"/>
    <w:rsid w:val="36B67FED"/>
    <w:rsid w:val="375F1C25"/>
    <w:rsid w:val="3A3519D1"/>
    <w:rsid w:val="3B6A9F78"/>
    <w:rsid w:val="405D3B07"/>
    <w:rsid w:val="42304C9D"/>
    <w:rsid w:val="46123DE7"/>
    <w:rsid w:val="47C65743"/>
    <w:rsid w:val="47E20BBF"/>
    <w:rsid w:val="4E68049E"/>
    <w:rsid w:val="4E7E2355"/>
    <w:rsid w:val="520A007D"/>
    <w:rsid w:val="53552A46"/>
    <w:rsid w:val="540D34EB"/>
    <w:rsid w:val="572529A2"/>
    <w:rsid w:val="58A663F9"/>
    <w:rsid w:val="59352B9C"/>
    <w:rsid w:val="5C967DF5"/>
    <w:rsid w:val="5CE14F93"/>
    <w:rsid w:val="5EB9271D"/>
    <w:rsid w:val="605E571B"/>
    <w:rsid w:val="64587746"/>
    <w:rsid w:val="66A02823"/>
    <w:rsid w:val="673372DA"/>
    <w:rsid w:val="67356E3D"/>
    <w:rsid w:val="6744501E"/>
    <w:rsid w:val="6DAA44F4"/>
    <w:rsid w:val="70CB04E6"/>
    <w:rsid w:val="753D0260"/>
    <w:rsid w:val="77854F30"/>
    <w:rsid w:val="7B520D13"/>
    <w:rsid w:val="7B8E679A"/>
    <w:rsid w:val="7C0A65D2"/>
    <w:rsid w:val="B5B54023"/>
    <w:rsid w:val="CEEFA3B4"/>
    <w:rsid w:val="EEB6D831"/>
    <w:rsid w:val="F7FF8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3"/>
      <w:szCs w:val="23"/>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3812</Words>
  <Characters>4147</Characters>
  <Lines>0</Lines>
  <Paragraphs>0</Paragraphs>
  <TotalTime>5</TotalTime>
  <ScaleCrop>false</ScaleCrop>
  <LinksUpToDate>false</LinksUpToDate>
  <CharactersWithSpaces>4174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2024-03-23T00:20:00Z</dcterms:created>
  <dc:creator>吴静</dc:creator>
  <cp:lastModifiedBy>Administrator</cp:lastModifiedBy>
  <cp:lastPrinted>2024-03-29T15:44:00Z</cp:lastPrinted>
  <dcterms:modified xsi:type="dcterms:W3CDTF">2024-04-03T02:37:59Z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3C583F27B5BF49959C616212D4E4014F</vt:lpwstr>
  </property>
</Properties>
</file>