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20F99">
      <w:pPr>
        <w:spacing w:line="1240" w:lineRule="exact"/>
        <w:jc w:val="center"/>
        <w:rPr>
          <w:rFonts w:hint="default" w:ascii="Times New Roman" w:hAnsi="Times New Roman" w:eastAsia="文星标宋" w:cs="Times New Roman"/>
          <w:color w:val="FF0000"/>
          <w:w w:val="48"/>
          <w:sz w:val="28"/>
          <w:szCs w:val="28"/>
        </w:rPr>
      </w:pPr>
    </w:p>
    <w:tbl>
      <w:tblPr>
        <w:tblStyle w:val="10"/>
        <w:tblW w:w="0" w:type="auto"/>
        <w:jc w:val="center"/>
        <w:tblLayout w:type="autofit"/>
        <w:tblCellMar>
          <w:top w:w="0" w:type="dxa"/>
          <w:left w:w="108" w:type="dxa"/>
          <w:bottom w:w="0" w:type="dxa"/>
          <w:right w:w="108" w:type="dxa"/>
        </w:tblCellMar>
      </w:tblPr>
      <w:tblGrid>
        <w:gridCol w:w="8527"/>
      </w:tblGrid>
      <w:tr w14:paraId="51FC5969">
        <w:tblPrEx>
          <w:tblCellMar>
            <w:top w:w="0" w:type="dxa"/>
            <w:left w:w="108" w:type="dxa"/>
            <w:bottom w:w="0" w:type="dxa"/>
            <w:right w:w="108" w:type="dxa"/>
          </w:tblCellMar>
        </w:tblPrEx>
        <w:trPr>
          <w:jc w:val="center"/>
        </w:trPr>
        <w:tc>
          <w:tcPr>
            <w:tcW w:w="8527" w:type="dxa"/>
            <w:noWrap w:val="0"/>
            <w:vAlign w:val="top"/>
          </w:tcPr>
          <w:p w14:paraId="5E428A51">
            <w:pPr>
              <w:spacing w:line="300" w:lineRule="auto"/>
              <w:jc w:val="center"/>
              <w:rPr>
                <w:rFonts w:hint="default" w:ascii="Times New Roman" w:hAnsi="Times New Roman" w:eastAsia="方正小标宋简体" w:cs="Times New Roman"/>
                <w:b/>
                <w:color w:val="FF0000"/>
                <w:spacing w:val="40"/>
                <w:w w:val="75"/>
                <w:sz w:val="120"/>
                <w:szCs w:val="120"/>
              </w:rPr>
            </w:pPr>
            <w:r>
              <w:rPr>
                <w:rFonts w:hint="default" w:ascii="Times New Roman" w:hAnsi="Times New Roman" w:eastAsia="方正小标宋简体" w:cs="Times New Roman"/>
                <w:b/>
                <w:color w:val="FF0000"/>
                <w:spacing w:val="40"/>
                <w:w w:val="75"/>
                <w:sz w:val="120"/>
                <w:szCs w:val="120"/>
              </w:rPr>
              <w:t>济宁市统计局文件</w:t>
            </w:r>
          </w:p>
        </w:tc>
      </w:tr>
    </w:tbl>
    <w:p w14:paraId="498F1755">
      <w:pPr>
        <w:spacing w:line="360" w:lineRule="exact"/>
        <w:jc w:val="center"/>
        <w:rPr>
          <w:rFonts w:hint="default" w:ascii="Times New Roman" w:hAnsi="Times New Roman" w:cs="Times New Roman"/>
        </w:rPr>
      </w:pPr>
      <w:r>
        <w:rPr>
          <w:rFonts w:hint="default" w:ascii="Times New Roman" w:hAnsi="Times New Roman" w:cs="Times New Roman"/>
        </w:rPr>
        <w:tab/>
      </w:r>
    </w:p>
    <w:p w14:paraId="1BDCCC02">
      <w:pPr>
        <w:spacing w:line="360" w:lineRule="exact"/>
        <w:jc w:val="center"/>
        <w:rPr>
          <w:rFonts w:hint="default" w:ascii="Times New Roman" w:hAnsi="Times New Roman" w:cs="Times New Roman"/>
        </w:rPr>
      </w:pPr>
    </w:p>
    <w:p w14:paraId="6BFDB66C">
      <w:pPr>
        <w:jc w:val="center"/>
        <w:rPr>
          <w:rFonts w:hint="default" w:ascii="Times New Roman" w:hAnsi="Times New Roman" w:cs="Times New Roman"/>
          <w:b/>
          <w:color w:val="auto"/>
        </w:rPr>
      </w:pPr>
      <w:r>
        <w:rPr>
          <w:rFonts w:hint="default" w:ascii="Times New Roman" w:hAnsi="Times New Roman" w:cs="Times New Roman"/>
          <w:b/>
          <w:color w:val="auto"/>
        </w:rPr>
        <w:t>济统字〔</w:t>
      </w:r>
      <w:bookmarkStart w:id="0" w:name="年份"/>
      <w:r>
        <w:rPr>
          <w:rFonts w:hint="default" w:ascii="Times New Roman" w:hAnsi="Times New Roman" w:cs="Times New Roman"/>
          <w:b/>
          <w:color w:val="auto"/>
        </w:rPr>
        <w:t>20</w:t>
      </w:r>
      <w:bookmarkEnd w:id="0"/>
      <w:r>
        <w:rPr>
          <w:rFonts w:hint="default" w:ascii="Times New Roman" w:hAnsi="Times New Roman" w:cs="Times New Roman"/>
          <w:b/>
          <w:color w:val="auto"/>
        </w:rPr>
        <w:t>2</w:t>
      </w:r>
      <w:r>
        <w:rPr>
          <w:rFonts w:hint="eastAsia" w:cs="Times New Roman"/>
          <w:b/>
          <w:color w:val="auto"/>
          <w:lang w:val="en-US" w:eastAsia="zh-CN"/>
        </w:rPr>
        <w:t>5</w:t>
      </w:r>
      <w:r>
        <w:rPr>
          <w:rFonts w:hint="default" w:ascii="Times New Roman" w:hAnsi="Times New Roman" w:cs="Times New Roman"/>
          <w:b/>
          <w:color w:val="auto"/>
        </w:rPr>
        <w:t>〕</w:t>
      </w:r>
      <w:r>
        <w:rPr>
          <w:rFonts w:hint="eastAsia" w:cs="Times New Roman"/>
          <w:b/>
          <w:color w:val="auto"/>
          <w:lang w:val="en-US" w:eastAsia="zh-CN"/>
        </w:rPr>
        <w:t>13</w:t>
      </w:r>
      <w:r>
        <w:rPr>
          <w:rFonts w:hint="default" w:ascii="Times New Roman" w:hAnsi="Times New Roman" w:cs="Times New Roman"/>
          <w:b/>
          <w:color w:val="auto"/>
        </w:rPr>
        <w:t>号</w:t>
      </w:r>
    </w:p>
    <w:p w14:paraId="712C9A53">
      <w:pPr>
        <w:spacing w:line="600" w:lineRule="exact"/>
        <w:jc w:val="center"/>
        <w:rPr>
          <w:rStyle w:val="13"/>
          <w:rFonts w:hint="default" w:ascii="Times New Roman" w:hAnsi="Times New Roman" w:cs="Times New Roman"/>
          <w:color w:val="000000"/>
          <w:sz w:val="44"/>
          <w:szCs w:val="44"/>
        </w:rPr>
      </w:pPr>
      <w:r>
        <w:rPr>
          <w:rFonts w:hint="default" w:ascii="Times New Roman" w:hAnsi="Times New Roman" w:eastAsia="文星仿宋" w:cs="Times New Roman"/>
          <w:b/>
          <w:color w:val="FF000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80010</wp:posOffset>
                </wp:positionV>
                <wp:extent cx="54717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6.3pt;height:0pt;width:430.85pt;z-index:251660288;mso-width-relative:page;mso-height-relative:page;" filled="f" stroked="t" coordsize="21600,21600" o:gfxdata="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vkeF0wAAAAcBAAAPAAAAAAAAAAEAIAAAACIAAABkcnMvZG93bnJldi54bWxQSwEC&#10;FAAUAAAACACHTuJAPpbH//kBAADlAwAADgAAAAAAAAABACAAAAAiAQAAZHJzL2Uyb0RvYy54bWxQ&#10;SwUGAAAAAAYABgBZAQAAjQUAAAAA&#10;">
                <v:fill on="f" focussize="0,0"/>
                <v:stroke weight="1pt" color="#FF0000" joinstyle="round"/>
                <v:imagedata o:title=""/>
                <o:lock v:ext="edit" aspectratio="f"/>
              </v:line>
            </w:pict>
          </mc:Fallback>
        </mc:AlternateContent>
      </w:r>
    </w:p>
    <w:p w14:paraId="0BD3C16F">
      <w:pPr>
        <w:keepNext w:val="0"/>
        <w:keepLines w:val="0"/>
        <w:pageBreakBefore w:val="0"/>
        <w:kinsoku/>
        <w:overflowPunct/>
        <w:topLinePunct w:val="0"/>
        <w:autoSpaceDE/>
        <w:autoSpaceDN/>
        <w:bidi w:val="0"/>
        <w:adjustRightInd w:val="0"/>
        <w:snapToGrid w:val="0"/>
        <w:spacing w:line="600" w:lineRule="exact"/>
        <w:ind w:right="0"/>
        <w:jc w:val="center"/>
        <w:textAlignment w:val="auto"/>
        <w:rPr>
          <w:rStyle w:val="13"/>
          <w:rFonts w:hint="default" w:ascii="Times New Roman" w:hAnsi="Times New Roman" w:cs="Times New Roman"/>
          <w:color w:val="000000"/>
          <w:sz w:val="44"/>
          <w:szCs w:val="44"/>
        </w:rPr>
      </w:pPr>
    </w:p>
    <w:p w14:paraId="7A87B59C">
      <w:pPr>
        <w:keepNext w:val="0"/>
        <w:keepLines w:val="0"/>
        <w:pageBreakBefore w:val="0"/>
        <w:widowControl w:val="0"/>
        <w:kinsoku/>
        <w:overflowPunct/>
        <w:topLinePunct w:val="0"/>
        <w:autoSpaceDE/>
        <w:autoSpaceDN/>
        <w:bidi w:val="0"/>
        <w:adjustRightInd w:val="0"/>
        <w:snapToGrid w:val="0"/>
        <w:spacing w:line="600" w:lineRule="exact"/>
        <w:ind w:right="0"/>
        <w:jc w:val="center"/>
        <w:textAlignment w:val="auto"/>
        <w:rPr>
          <w:rFonts w:hint="default" w:ascii="Times New Roman" w:hAnsi="Times New Roman" w:eastAsia="方正小标宋简体" w:cs="Times New Roman"/>
          <w:b/>
          <w:bCs/>
          <w:color w:val="000000" w:themeColor="text1"/>
          <w:spacing w:val="-17"/>
          <w:sz w:val="44"/>
          <w:szCs w:val="44"/>
          <w14:textFill>
            <w14:solidFill>
              <w14:schemeClr w14:val="tx1"/>
            </w14:solidFill>
          </w14:textFill>
        </w:rPr>
      </w:pPr>
      <w:bookmarkStart w:id="1" w:name="OLE_LINK7"/>
      <w:r>
        <w:rPr>
          <w:rFonts w:hint="default" w:ascii="Times New Roman" w:hAnsi="Times New Roman" w:eastAsia="方正小标宋简体" w:cs="Times New Roman"/>
          <w:b/>
          <w:bCs/>
          <w:color w:val="000000" w:themeColor="text1"/>
          <w:spacing w:val="-17"/>
          <w:sz w:val="44"/>
          <w:szCs w:val="44"/>
          <w14:textFill>
            <w14:solidFill>
              <w14:schemeClr w14:val="tx1"/>
            </w14:solidFill>
          </w14:textFill>
        </w:rPr>
        <w:t>关于印发《</w:t>
      </w:r>
      <w:bookmarkStart w:id="2" w:name="OLE_LINK8"/>
      <w:r>
        <w:rPr>
          <w:rFonts w:hint="default" w:ascii="Times New Roman" w:hAnsi="Times New Roman" w:eastAsia="方正小标宋简体" w:cs="Times New Roman"/>
          <w:b/>
          <w:bCs/>
          <w:color w:val="000000" w:themeColor="text1"/>
          <w:spacing w:val="-17"/>
          <w:sz w:val="44"/>
          <w:szCs w:val="44"/>
          <w14:textFill>
            <w14:solidFill>
              <w14:schemeClr w14:val="tx1"/>
            </w14:solidFill>
          </w14:textFill>
        </w:rPr>
        <w:t>济宁市统计局202</w:t>
      </w:r>
      <w:r>
        <w:rPr>
          <w:rFonts w:hint="eastAsia" w:eastAsia="方正小标宋简体" w:cs="Times New Roman"/>
          <w:b/>
          <w:bCs/>
          <w:color w:val="000000" w:themeColor="text1"/>
          <w:spacing w:val="-17"/>
          <w:sz w:val="44"/>
          <w:szCs w:val="44"/>
          <w:lang w:val="en-US" w:eastAsia="zh-CN"/>
          <w14:textFill>
            <w14:solidFill>
              <w14:schemeClr w14:val="tx1"/>
            </w14:solidFill>
          </w14:textFill>
        </w:rPr>
        <w:t>5</w:t>
      </w:r>
      <w:r>
        <w:rPr>
          <w:rFonts w:hint="default" w:ascii="Times New Roman" w:hAnsi="Times New Roman" w:eastAsia="方正小标宋简体" w:cs="Times New Roman"/>
          <w:b/>
          <w:bCs/>
          <w:color w:val="000000" w:themeColor="text1"/>
          <w:spacing w:val="-17"/>
          <w:sz w:val="44"/>
          <w:szCs w:val="44"/>
          <w14:textFill>
            <w14:solidFill>
              <w14:schemeClr w14:val="tx1"/>
            </w14:solidFill>
          </w14:textFill>
        </w:rPr>
        <w:t>年工作要点》的</w:t>
      </w:r>
    </w:p>
    <w:p w14:paraId="5A980799">
      <w:pPr>
        <w:keepNext w:val="0"/>
        <w:keepLines w:val="0"/>
        <w:pageBreakBefore w:val="0"/>
        <w:widowControl w:val="0"/>
        <w:kinsoku/>
        <w:overflowPunct/>
        <w:topLinePunct w:val="0"/>
        <w:autoSpaceDE/>
        <w:autoSpaceDN/>
        <w:bidi w:val="0"/>
        <w:adjustRightInd w:val="0"/>
        <w:snapToGrid w:val="0"/>
        <w:spacing w:line="600" w:lineRule="exact"/>
        <w:ind w:right="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z w:val="44"/>
          <w:szCs w:val="44"/>
          <w14:textFill>
            <w14:solidFill>
              <w14:schemeClr w14:val="tx1"/>
            </w14:solidFill>
          </w14:textFill>
        </w:rPr>
        <w:t>通</w:t>
      </w:r>
      <w:r>
        <w:rPr>
          <w:rFonts w:hint="eastAsia" w:eastAsia="方正小标宋简体" w:cs="Times New Roman"/>
          <w:b/>
          <w:bCs/>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b/>
          <w:bCs/>
          <w:color w:val="000000" w:themeColor="text1"/>
          <w:sz w:val="44"/>
          <w:szCs w:val="44"/>
          <w14:textFill>
            <w14:solidFill>
              <w14:schemeClr w14:val="tx1"/>
            </w14:solidFill>
          </w14:textFill>
        </w:rPr>
        <w:t>知</w:t>
      </w:r>
      <w:bookmarkEnd w:id="2"/>
    </w:p>
    <w:p w14:paraId="26A6CAFD">
      <w:pPr>
        <w:keepNext w:val="0"/>
        <w:keepLines w:val="0"/>
        <w:pageBreakBefore w:val="0"/>
        <w:widowControl w:val="0"/>
        <w:kinsoku/>
        <w:overflowPunct/>
        <w:topLinePunct w:val="0"/>
        <w:autoSpaceDE/>
        <w:autoSpaceDN/>
        <w:bidi w:val="0"/>
        <w:adjustRightInd w:val="0"/>
        <w:snapToGrid w:val="0"/>
        <w:spacing w:line="600" w:lineRule="exact"/>
        <w:ind w:right="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p>
    <w:bookmarkEnd w:id="1"/>
    <w:p w14:paraId="2FD721D0">
      <w:pPr>
        <w:keepNext w:val="0"/>
        <w:keepLines w:val="0"/>
        <w:pageBreakBefore w:val="0"/>
        <w:widowControl w:val="0"/>
        <w:kinsoku/>
        <w:overflowPunct/>
        <w:topLinePunct w:val="0"/>
        <w:autoSpaceDE/>
        <w:autoSpaceDN/>
        <w:bidi w:val="0"/>
        <w:adjustRightInd w:val="0"/>
        <w:snapToGrid w:val="0"/>
        <w:spacing w:line="600" w:lineRule="exact"/>
        <w:ind w:right="0"/>
        <w:jc w:val="both"/>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各科室</w:t>
      </w:r>
      <w:r>
        <w:rPr>
          <w:rFonts w:hint="default" w:ascii="Times New Roman" w:hAnsi="Times New Roman" w:cs="Times New Roman"/>
          <w:b/>
          <w:bCs/>
          <w:color w:val="000000" w:themeColor="text1"/>
          <w:lang w:eastAsia="zh-CN"/>
          <w14:textFill>
            <w14:solidFill>
              <w14:schemeClr w14:val="tx1"/>
            </w14:solidFill>
          </w14:textFill>
        </w:rPr>
        <w:t>（</w:t>
      </w:r>
      <w:r>
        <w:rPr>
          <w:rFonts w:hint="default" w:ascii="Times New Roman" w:hAnsi="Times New Roman" w:cs="Times New Roman"/>
          <w:b/>
          <w:bCs/>
          <w:color w:val="000000" w:themeColor="text1"/>
          <w14:textFill>
            <w14:solidFill>
              <w14:schemeClr w14:val="tx1"/>
            </w14:solidFill>
          </w14:textFill>
        </w:rPr>
        <w:t>局、中心</w:t>
      </w:r>
      <w:r>
        <w:rPr>
          <w:rFonts w:hint="default" w:ascii="Times New Roman" w:hAnsi="Times New Roman" w:cs="Times New Roman"/>
          <w:b/>
          <w:bCs/>
          <w:color w:val="000000" w:themeColor="text1"/>
          <w:lang w:eastAsia="zh-CN"/>
          <w14:textFill>
            <w14:solidFill>
              <w14:schemeClr w14:val="tx1"/>
            </w14:solidFill>
          </w14:textFill>
        </w:rPr>
        <w:t>）</w:t>
      </w:r>
      <w:r>
        <w:rPr>
          <w:rFonts w:hint="default" w:ascii="Times New Roman" w:hAnsi="Times New Roman" w:cs="Times New Roman"/>
          <w:b/>
          <w:bCs/>
          <w:color w:val="000000" w:themeColor="text1"/>
          <w14:textFill>
            <w14:solidFill>
              <w14:schemeClr w14:val="tx1"/>
            </w14:solidFill>
          </w14:textFill>
        </w:rPr>
        <w:t>：</w:t>
      </w:r>
    </w:p>
    <w:p w14:paraId="6423C492">
      <w:pPr>
        <w:keepNext w:val="0"/>
        <w:keepLines w:val="0"/>
        <w:pageBreakBefore w:val="0"/>
        <w:widowControl w:val="0"/>
        <w:kinsoku/>
        <w:overflowPunct/>
        <w:topLinePunct w:val="0"/>
        <w:autoSpaceDE/>
        <w:autoSpaceDN/>
        <w:bidi w:val="0"/>
        <w:adjustRightInd w:val="0"/>
        <w:snapToGrid w:val="0"/>
        <w:spacing w:line="600" w:lineRule="exact"/>
        <w:ind w:right="0" w:firstLine="643" w:firstLineChars="200"/>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《济宁市统计局202</w:t>
      </w:r>
      <w:r>
        <w:rPr>
          <w:rFonts w:hint="eastAsia" w:cs="Times New Roman"/>
          <w:b/>
          <w:bCs/>
          <w:color w:val="000000" w:themeColor="text1"/>
          <w:lang w:val="en-US" w:eastAsia="zh-CN"/>
          <w14:textFill>
            <w14:solidFill>
              <w14:schemeClr w14:val="tx1"/>
            </w14:solidFill>
          </w14:textFill>
        </w:rPr>
        <w:t>5</w:t>
      </w:r>
      <w:r>
        <w:rPr>
          <w:rFonts w:hint="default" w:ascii="Times New Roman" w:hAnsi="Times New Roman" w:cs="Times New Roman"/>
          <w:b/>
          <w:bCs/>
          <w:color w:val="000000" w:themeColor="text1"/>
          <w14:textFill>
            <w14:solidFill>
              <w14:schemeClr w14:val="tx1"/>
            </w14:solidFill>
          </w14:textFill>
        </w:rPr>
        <w:t>年工作要点》已经市统计局党组研究通过，现印发给你们，请结合工作实际，抓好贯彻落实。</w:t>
      </w:r>
    </w:p>
    <w:p w14:paraId="788C7EBF">
      <w:pPr>
        <w:keepNext w:val="0"/>
        <w:keepLines w:val="0"/>
        <w:pageBreakBefore w:val="0"/>
        <w:widowControl w:val="0"/>
        <w:kinsoku/>
        <w:overflowPunct/>
        <w:topLinePunct w:val="0"/>
        <w:autoSpaceDE/>
        <w:autoSpaceDN/>
        <w:bidi w:val="0"/>
        <w:adjustRightInd w:val="0"/>
        <w:snapToGrid w:val="0"/>
        <w:spacing w:line="600" w:lineRule="exact"/>
        <w:ind w:right="0" w:firstLine="643" w:firstLineChars="200"/>
        <w:textAlignment w:val="auto"/>
        <w:rPr>
          <w:rFonts w:hint="default" w:ascii="Times New Roman" w:hAnsi="Times New Roman" w:cs="Times New Roman"/>
          <w:b/>
          <w:bCs/>
          <w:color w:val="000000" w:themeColor="text1"/>
          <w14:textFill>
            <w14:solidFill>
              <w14:schemeClr w14:val="tx1"/>
            </w14:solidFill>
          </w14:textFill>
        </w:rPr>
      </w:pPr>
    </w:p>
    <w:p w14:paraId="33A3F4F0">
      <w:pPr>
        <w:keepNext w:val="0"/>
        <w:keepLines w:val="0"/>
        <w:pageBreakBefore w:val="0"/>
        <w:widowControl w:val="0"/>
        <w:kinsoku/>
        <w:overflowPunct/>
        <w:topLinePunct w:val="0"/>
        <w:autoSpaceDE/>
        <w:autoSpaceDN/>
        <w:bidi w:val="0"/>
        <w:adjustRightInd w:val="0"/>
        <w:snapToGrid w:val="0"/>
        <w:spacing w:line="600" w:lineRule="exact"/>
        <w:ind w:right="0" w:firstLine="643" w:firstLineChars="200"/>
        <w:textAlignment w:val="auto"/>
        <w:rPr>
          <w:rFonts w:hint="default" w:ascii="Times New Roman" w:hAnsi="Times New Roman" w:cs="Times New Roman"/>
          <w:b/>
          <w:bCs/>
          <w:color w:val="000000" w:themeColor="text1"/>
          <w14:textFill>
            <w14:solidFill>
              <w14:schemeClr w14:val="tx1"/>
            </w14:solidFill>
          </w14:textFill>
        </w:rPr>
      </w:pPr>
    </w:p>
    <w:p w14:paraId="741ECEC8">
      <w:pPr>
        <w:keepNext w:val="0"/>
        <w:keepLines w:val="0"/>
        <w:pageBreakBefore w:val="0"/>
        <w:widowControl w:val="0"/>
        <w:kinsoku/>
        <w:wordWrap w:val="0"/>
        <w:overflowPunct/>
        <w:topLinePunct w:val="0"/>
        <w:autoSpaceDE/>
        <w:autoSpaceDN/>
        <w:bidi w:val="0"/>
        <w:adjustRightInd w:val="0"/>
        <w:snapToGrid w:val="0"/>
        <w:spacing w:line="600" w:lineRule="exact"/>
        <w:ind w:right="0"/>
        <w:jc w:val="right"/>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济宁市统计局   </w:t>
      </w:r>
      <w:r>
        <w:rPr>
          <w:rFonts w:hint="eastAsia"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b/>
          <w:bCs/>
          <w:color w:val="000000" w:themeColor="text1"/>
          <w14:textFill>
            <w14:solidFill>
              <w14:schemeClr w14:val="tx1"/>
            </w14:solidFill>
          </w14:textFill>
        </w:rPr>
        <w:t xml:space="preserve"> </w:t>
      </w:r>
      <w:r>
        <w:rPr>
          <w:rFonts w:hint="eastAsia"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b/>
          <w:bCs/>
          <w:color w:val="000000" w:themeColor="text1"/>
          <w14:textFill>
            <w14:solidFill>
              <w14:schemeClr w14:val="tx1"/>
            </w14:solidFill>
          </w14:textFill>
        </w:rPr>
        <w:t xml:space="preserve"> </w:t>
      </w:r>
    </w:p>
    <w:p w14:paraId="4A40AA64">
      <w:pPr>
        <w:keepNext w:val="0"/>
        <w:keepLines w:val="0"/>
        <w:pageBreakBefore w:val="0"/>
        <w:widowControl w:val="0"/>
        <w:kinsoku/>
        <w:wordWrap w:val="0"/>
        <w:overflowPunct/>
        <w:topLinePunct w:val="0"/>
        <w:autoSpaceDE/>
        <w:autoSpaceDN/>
        <w:bidi w:val="0"/>
        <w:adjustRightInd w:val="0"/>
        <w:snapToGrid w:val="0"/>
        <w:spacing w:line="600" w:lineRule="exact"/>
        <w:ind w:right="0"/>
        <w:jc w:val="right"/>
        <w:textAlignment w:val="auto"/>
        <w:rPr>
          <w:rFonts w:hint="default" w:ascii="Times New Roman" w:hAnsi="Times New Roman" w:eastAsia="方正仿宋简体"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auto"/>
        </w:rPr>
        <w:t>202</w:t>
      </w:r>
      <w:r>
        <w:rPr>
          <w:rFonts w:hint="eastAsia" w:cs="Times New Roman"/>
          <w:b/>
          <w:bCs/>
          <w:color w:val="auto"/>
          <w:lang w:val="en-US" w:eastAsia="zh-CN"/>
        </w:rPr>
        <w:t>5</w:t>
      </w:r>
      <w:r>
        <w:rPr>
          <w:rFonts w:hint="default" w:ascii="Times New Roman" w:hAnsi="Times New Roman" w:cs="Times New Roman"/>
          <w:b/>
          <w:bCs/>
          <w:color w:val="auto"/>
        </w:rPr>
        <w:t>年</w:t>
      </w:r>
      <w:r>
        <w:rPr>
          <w:rFonts w:hint="eastAsia" w:cs="Times New Roman"/>
          <w:b/>
          <w:bCs/>
          <w:color w:val="auto"/>
          <w:lang w:val="en-US" w:eastAsia="zh-CN"/>
        </w:rPr>
        <w:t>3</w:t>
      </w:r>
      <w:r>
        <w:rPr>
          <w:rFonts w:hint="default" w:ascii="Times New Roman" w:hAnsi="Times New Roman" w:cs="Times New Roman"/>
          <w:b/>
          <w:bCs/>
          <w:color w:val="auto"/>
        </w:rPr>
        <w:t>月</w:t>
      </w:r>
      <w:r>
        <w:rPr>
          <w:rFonts w:hint="eastAsia" w:cs="Times New Roman"/>
          <w:b/>
          <w:bCs/>
          <w:color w:val="auto"/>
          <w:lang w:val="en-US" w:eastAsia="zh-CN"/>
        </w:rPr>
        <w:t>21</w:t>
      </w:r>
      <w:r>
        <w:rPr>
          <w:rFonts w:hint="default" w:ascii="Times New Roman" w:hAnsi="Times New Roman" w:cs="Times New Roman"/>
          <w:b/>
          <w:bCs/>
          <w:color w:val="auto"/>
        </w:rPr>
        <w:t xml:space="preserve">日  </w:t>
      </w:r>
      <w:bookmarkStart w:id="4" w:name="_GoBack"/>
      <w:bookmarkEnd w:id="4"/>
      <w:r>
        <w:rPr>
          <w:rFonts w:hint="default" w:ascii="Times New Roman" w:hAnsi="Times New Roman" w:cs="Times New Roman"/>
          <w:b/>
          <w:bCs/>
          <w:color w:val="000000" w:themeColor="text1"/>
          <w14:textFill>
            <w14:solidFill>
              <w14:schemeClr w14:val="tx1"/>
            </w14:solidFill>
          </w14:textFill>
        </w:rPr>
        <w:t xml:space="preserve">  </w:t>
      </w:r>
      <w:r>
        <w:rPr>
          <w:rFonts w:hint="eastAsia" w:cs="Times New Roman"/>
          <w:b/>
          <w:bCs/>
          <w:color w:val="000000" w:themeColor="text1"/>
          <w:lang w:val="en-US" w:eastAsia="zh-CN"/>
          <w14:textFill>
            <w14:solidFill>
              <w14:schemeClr w14:val="tx1"/>
            </w14:solidFill>
          </w14:textFill>
        </w:rPr>
        <w:t xml:space="preserve">    </w:t>
      </w:r>
    </w:p>
    <w:p w14:paraId="2B8F8BD8">
      <w:pPr>
        <w:keepNext w:val="0"/>
        <w:keepLines w:val="0"/>
        <w:pageBreakBefore w:val="0"/>
        <w:widowControl w:val="0"/>
        <w:kinsoku/>
        <w:wordWrap w:val="0"/>
        <w:overflowPunct/>
        <w:topLinePunct w:val="0"/>
        <w:autoSpaceDE/>
        <w:autoSpaceDN/>
        <w:bidi w:val="0"/>
        <w:adjustRightInd w:val="0"/>
        <w:snapToGrid w:val="0"/>
        <w:spacing w:line="600" w:lineRule="exact"/>
        <w:ind w:right="0" w:firstLine="643" w:firstLineChars="200"/>
        <w:jc w:val="left"/>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（此件公开发布）</w:t>
      </w:r>
    </w:p>
    <w:p w14:paraId="62B4DB6B">
      <w:pPr>
        <w:keepNext w:val="0"/>
        <w:keepLines w:val="0"/>
        <w:pageBreakBefore w:val="0"/>
        <w:widowControl w:val="0"/>
        <w:kinsoku/>
        <w:overflowPunct/>
        <w:topLinePunct w:val="0"/>
        <w:autoSpaceDE/>
        <w:autoSpaceDN/>
        <w:bidi w:val="0"/>
        <w:adjustRightInd w:val="0"/>
        <w:snapToGrid w:val="0"/>
        <w:spacing w:line="600" w:lineRule="exact"/>
        <w:ind w:right="0"/>
        <w:textAlignment w:val="auto"/>
        <w:rPr>
          <w:rFonts w:hint="default" w:ascii="Times New Roman" w:hAnsi="Times New Roman" w:cs="Times New Roman"/>
          <w:b/>
          <w:bCs/>
          <w:color w:val="000000" w:themeColor="text1"/>
          <w14:textFill>
            <w14:solidFill>
              <w14:schemeClr w14:val="tx1"/>
            </w14:solidFill>
          </w14:textFill>
        </w:rPr>
        <w:sectPr>
          <w:footerReference r:id="rId3" w:type="default"/>
          <w:pgSz w:w="11906" w:h="16838"/>
          <w:pgMar w:top="2041" w:right="1587" w:bottom="1587" w:left="1587" w:header="851" w:footer="1134" w:gutter="0"/>
          <w:pgNumType w:fmt="decimal"/>
          <w:cols w:space="425" w:num="1"/>
          <w:docGrid w:type="lines" w:linePitch="312" w:charSpace="0"/>
        </w:sectPr>
      </w:pPr>
    </w:p>
    <w:p w14:paraId="41680876">
      <w:pPr>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default" w:ascii="Times New Roman" w:hAnsi="Times New Roman" w:cs="Times New Roman"/>
          <w:b/>
          <w:bCs/>
          <w:color w:val="auto"/>
        </w:rPr>
      </w:pPr>
    </w:p>
    <w:p w14:paraId="74238402">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b/>
          <w:bCs/>
          <w:color w:val="auto"/>
          <w:sz w:val="44"/>
          <w:szCs w:val="44"/>
        </w:rPr>
      </w:pPr>
      <w:bookmarkStart w:id="3" w:name="OLE_LINK10"/>
      <w:r>
        <w:rPr>
          <w:rFonts w:hint="eastAsia" w:ascii="Times New Roman" w:hAnsi="Times New Roman" w:eastAsia="方正小标宋简体" w:cs="Times New Roman"/>
          <w:b/>
          <w:bCs/>
          <w:color w:val="auto"/>
          <w:sz w:val="44"/>
          <w:szCs w:val="44"/>
          <w:lang w:val="en-US" w:eastAsia="zh-CN"/>
        </w:rPr>
        <w:t>济宁市统计局</w:t>
      </w:r>
      <w:r>
        <w:rPr>
          <w:rFonts w:hint="default" w:ascii="Times New Roman" w:hAnsi="Times New Roman" w:eastAsia="方正小标宋简体" w:cs="Times New Roman"/>
          <w:b/>
          <w:bCs/>
          <w:color w:val="auto"/>
          <w:sz w:val="44"/>
          <w:szCs w:val="44"/>
        </w:rPr>
        <w:t>202</w:t>
      </w:r>
      <w:r>
        <w:rPr>
          <w:rFonts w:hint="eastAsia"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rPr>
        <w:t>年工作要点</w:t>
      </w:r>
    </w:p>
    <w:p w14:paraId="258AB043">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cs="Times New Roman"/>
          <w:b/>
          <w:bCs/>
          <w:color w:val="auto"/>
        </w:rPr>
      </w:pPr>
      <w:r>
        <w:rPr>
          <w:rFonts w:hint="default" w:ascii="Times New Roman" w:hAnsi="Times New Roman" w:cs="Times New Roman"/>
          <w:b/>
          <w:bCs/>
          <w:color w:val="auto"/>
        </w:rPr>
        <w:t xml:space="preserve">    </w:t>
      </w:r>
    </w:p>
    <w:bookmarkEnd w:id="3"/>
    <w:p w14:paraId="1F0AC7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firstLine="643" w:firstLineChars="200"/>
        <w:textAlignment w:val="auto"/>
        <w:rPr>
          <w:rFonts w:hint="default" w:ascii="Times New Roman" w:hAnsi="Times New Roman" w:cs="Times New Roman"/>
          <w:b/>
          <w:bCs/>
          <w:color w:val="auto"/>
        </w:rPr>
      </w:pPr>
      <w:r>
        <w:rPr>
          <w:rFonts w:hint="default" w:ascii="Times New Roman" w:hAnsi="Times New Roman" w:cs="Times New Roman"/>
          <w:b/>
          <w:bCs/>
          <w:color w:val="auto"/>
        </w:rPr>
        <w:t>2025年，济宁市统计局坚持以习近平新时代中国特色社会主义思想为指导，全面贯彻落实党的二十大和二十届二中、三中全会精神，深入学习贯彻习近平总书记关于统计工作重要讲话重要指示批示精神，锚定全市“走在前、勇争先”总定位、新要求，以党的政治建设为统领，以深化统计重点领域改革为动力，以提升专业能力、提高数据质量为抓手，大力推进依法统计依法治统，强化经济运行监测，着力提升统计服务效能，以实干实绩为推动现代化强市建设作出更大贡献。</w:t>
      </w:r>
    </w:p>
    <w:p w14:paraId="3D42574E">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eastAsia="黑体" w:cs="Times New Roman"/>
          <w:b/>
          <w:bCs/>
          <w:color w:val="auto"/>
          <w:sz w:val="32"/>
          <w:szCs w:val="40"/>
          <w:lang w:val="en-US" w:eastAsia="zh-CN"/>
        </w:rPr>
      </w:pPr>
      <w:r>
        <w:rPr>
          <w:rFonts w:hint="default" w:ascii="Times New Roman" w:hAnsi="Times New Roman" w:eastAsia="黑体" w:cs="Times New Roman"/>
          <w:b/>
          <w:bCs/>
          <w:color w:val="auto"/>
          <w:sz w:val="32"/>
          <w:szCs w:val="40"/>
          <w:lang w:val="en-US" w:eastAsia="zh-CN"/>
        </w:rPr>
        <w:t>一、全面加强机关党的建设</w:t>
      </w:r>
    </w:p>
    <w:p w14:paraId="43562C5C">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1.加强政治机关建设。</w:t>
      </w:r>
      <w:r>
        <w:rPr>
          <w:rFonts w:hint="default" w:ascii="Times New Roman" w:hAnsi="Times New Roman" w:cs="Times New Roman"/>
          <w:b/>
          <w:bCs/>
          <w:color w:val="auto"/>
          <w:lang w:val="en-US" w:eastAsia="zh-CN"/>
        </w:rPr>
        <w:t>始终把党的领导贯穿统计全过程，严格落实“第一议题”制度，深化理想信念教育、对党忠诚教育、政治机关意识教育，推动党员干部强化政治素养、政治担当、政治能力。巩固深化模范机关建设成果，引导各党支部和党员干部践行“讲政治、守纪律、负责任、有效率”的要求，自觉提高政治站位，以担当尽责、干事创业的实际行动践行“两个维护”，做到维护意识更牢、维护能力更强、维护行动更实。</w:t>
      </w:r>
      <w:r>
        <w:rPr>
          <w:rFonts w:hint="default" w:ascii="Times New Roman" w:hAnsi="Times New Roman" w:eastAsia="方正楷体简体" w:cs="Times New Roman"/>
          <w:b/>
          <w:bCs/>
          <w:color w:val="auto"/>
          <w:lang w:val="en-US" w:eastAsia="zh-CN"/>
        </w:rPr>
        <w:t>（责任领导：张乃智，牵头单位：人事科、机关党委，责任单位：各党支部，完成时限：12月底）</w:t>
      </w:r>
    </w:p>
    <w:p w14:paraId="21B8D294">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2.深化思想理论武装。</w:t>
      </w:r>
      <w:r>
        <w:rPr>
          <w:rFonts w:hint="default" w:ascii="Times New Roman" w:hAnsi="Times New Roman" w:cs="Times New Roman"/>
          <w:b/>
          <w:bCs/>
          <w:color w:val="auto"/>
          <w:lang w:val="en-US" w:eastAsia="zh-CN"/>
        </w:rPr>
        <w:t>持续抓好党的二十届三中全会精神的学习教育、宣传阐释。发挥党组理论学习中心组领学促学作用，每月学习不少于1次，举办1期党组中心组（扩大）理论学习读书会。建立以“90”“00”后为主体的青年理论学习小组，选优配强青年理论学习小组组长、明确工作任务、搭建学习平台，推动学习深入开展。推进“书香润统”学习品牌建设，举办读书“沙龙”“读书分享会”和业务专题研讨等活动，交流读书学习成果，不断提升党员干部综合素质。</w:t>
      </w:r>
      <w:r>
        <w:rPr>
          <w:rFonts w:hint="default" w:ascii="Times New Roman" w:hAnsi="Times New Roman" w:eastAsia="方正楷体简体" w:cs="Times New Roman"/>
          <w:b/>
          <w:bCs/>
          <w:color w:val="auto"/>
          <w:lang w:val="en-US" w:eastAsia="zh-CN"/>
        </w:rPr>
        <w:t>（责任领导：张乃智，牵头单位：人事科、机关党委，责任单位：各党支部，完成时限：12月底）</w:t>
      </w:r>
    </w:p>
    <w:p w14:paraId="68302BFC">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3.压实管党治党责任。</w:t>
      </w:r>
      <w:r>
        <w:rPr>
          <w:rFonts w:hint="default" w:ascii="Times New Roman" w:hAnsi="Times New Roman" w:cs="Times New Roman"/>
          <w:b/>
          <w:bCs/>
          <w:color w:val="auto"/>
          <w:lang w:val="en-US" w:eastAsia="zh-CN"/>
        </w:rPr>
        <w:t>调整局党建工作领导小组，制定全面从严治党责任清单，严格落实“一岗双责”。深化 “四强”党支部创建，推进党支部建设标准化规范化。严格落实意识形态工作责任制，局党组每半年至少1次专题研究意识形态（包括网络意识形态）工作，抓好统计领域意识形态阵地管理。强化保密管理，局党组专题研究保密工作不少于2次，开展保密安全自查自评不少于1次，加强涉密人员、涉密文件、涉密设备日常监管，严防失泄密问题发生。</w:t>
      </w:r>
      <w:r>
        <w:rPr>
          <w:rFonts w:hint="default" w:ascii="Times New Roman" w:hAnsi="Times New Roman" w:eastAsia="方正楷体简体" w:cs="Times New Roman"/>
          <w:b/>
          <w:bCs/>
          <w:color w:val="auto"/>
          <w:lang w:val="en-US" w:eastAsia="zh-CN"/>
        </w:rPr>
        <w:t>（责任领导：梁立、张乃智，牵头单位：办公室、人事科、机关党委，责任单位：各党支部，完成时限：12月底）</w:t>
      </w:r>
    </w:p>
    <w:p w14:paraId="7A527151">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4.推进基层党组织建设。</w:t>
      </w:r>
      <w:r>
        <w:rPr>
          <w:rFonts w:hint="default" w:ascii="Times New Roman" w:hAnsi="Times New Roman" w:cs="Times New Roman"/>
          <w:b/>
          <w:bCs/>
          <w:color w:val="auto"/>
          <w:lang w:val="en-US" w:eastAsia="zh-CN"/>
        </w:rPr>
        <w:t>组织党支部换届选举，严格选任标准，推动党务干部与业务干部双向交流，举办新任党支部委员培训班，每月开展党务知识培训，持续提升党务干部队伍能力素质。严格落实“三会一课”“主题党日”、谈心谈话、党费收缴、党建活动经费保障等制度。</w:t>
      </w:r>
      <w:r>
        <w:rPr>
          <w:rFonts w:hint="default" w:ascii="Times New Roman" w:hAnsi="Times New Roman" w:eastAsia="方正楷体简体" w:cs="Times New Roman"/>
          <w:b/>
          <w:bCs/>
          <w:color w:val="auto"/>
          <w:lang w:val="en-US" w:eastAsia="zh-CN"/>
        </w:rPr>
        <w:t>（责任领导：张乃智，牵头单位：机关党委，责任单位：各党支部，完成时限：12月底）</w:t>
      </w:r>
    </w:p>
    <w:p w14:paraId="4E1BCABA">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5.加强党风廉政建设。</w:t>
      </w:r>
      <w:r>
        <w:rPr>
          <w:rFonts w:hint="default" w:ascii="Times New Roman" w:hAnsi="Times New Roman" w:cs="Times New Roman"/>
          <w:b/>
          <w:bCs/>
          <w:color w:val="auto"/>
          <w:lang w:val="en-US" w:eastAsia="zh-CN"/>
        </w:rPr>
        <w:t>召开全面从严治党暨党风廉政建设工作会议，压实党风廉政建设责任，局党组至少2次专题研究党风廉政建设工作。推进党纪学习教育常态化长效化，驰而不息加强纪律建设。创建“清廉数海”廉政品牌，大力推进清廉统计机关建设。组织全市统计系统开展诚实诚信统计职业道德教育。</w:t>
      </w:r>
      <w:r>
        <w:rPr>
          <w:rFonts w:hint="default" w:ascii="Times New Roman" w:hAnsi="Times New Roman" w:eastAsia="方正楷体简体" w:cs="Times New Roman"/>
          <w:b/>
          <w:bCs/>
          <w:color w:val="auto"/>
          <w:lang w:val="en-US" w:eastAsia="zh-CN"/>
        </w:rPr>
        <w:t>（责任领导：张乃智，牵头单位：机关党委、机关纪委，责任单位：各党支部，完成时限：12月底）</w:t>
      </w:r>
    </w:p>
    <w:p w14:paraId="45CB2C3C">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6.扎实开展深入贯彻中央八项规定精神学习教育。</w:t>
      </w:r>
      <w:r>
        <w:rPr>
          <w:rFonts w:hint="default" w:ascii="Times New Roman" w:hAnsi="Times New Roman" w:cs="Times New Roman"/>
          <w:b/>
          <w:bCs/>
          <w:color w:val="auto"/>
          <w:lang w:val="en-US" w:eastAsia="zh-CN"/>
        </w:rPr>
        <w:t>深入学习习近平总书记关于加强党的作风建设的重要论述和中央八项规定及其实施细则精神，系统总结党的十八大以来深入贯彻中央八项规定精神的成效和经验，全面深入查找贯彻中央八项规定及其实施细则精神方面存在的问题，结合实际加强警示教育，扎实推进集中整治。坚持开门教育，一体推进学查改，自觉接受群众监督评判，确保学有质量、查有力度、改有成效。</w:t>
      </w:r>
      <w:r>
        <w:rPr>
          <w:rFonts w:hint="default" w:ascii="Times New Roman" w:hAnsi="Times New Roman" w:eastAsia="方正楷体简体" w:cs="Times New Roman"/>
          <w:b/>
          <w:bCs/>
          <w:color w:val="auto"/>
          <w:lang w:val="en-US" w:eastAsia="zh-CN"/>
        </w:rPr>
        <w:t>（责任领导：张乃智，牵头单位：人事科、机关党委、机关纪委，责任单位：各党支部，完成时限：7月底）</w:t>
      </w:r>
    </w:p>
    <w:p w14:paraId="2140634F">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7.整治形式主义为基层减负。</w:t>
      </w:r>
      <w:r>
        <w:rPr>
          <w:rFonts w:hint="default" w:ascii="Times New Roman" w:hAnsi="Times New Roman" w:cs="Times New Roman"/>
          <w:b/>
          <w:bCs/>
          <w:color w:val="auto"/>
          <w:lang w:val="en-US" w:eastAsia="zh-CN"/>
        </w:rPr>
        <w:t>落实中央部署和省委、市委要求，将纠治形式主义为基层减负贯穿日常监督检查，最大限度减少发文、会议、报表和检查数量。全年文件、会议数量保持比上年只减不增。加强统计调查项目管理，严控新增涉企报表和指标。</w:t>
      </w:r>
      <w:r>
        <w:rPr>
          <w:rFonts w:hint="default" w:ascii="Times New Roman" w:hAnsi="Times New Roman" w:eastAsia="方正楷体简体" w:cs="Times New Roman"/>
          <w:b/>
          <w:bCs/>
          <w:color w:val="auto"/>
          <w:lang w:val="en-US" w:eastAsia="zh-CN"/>
        </w:rPr>
        <w:t>（责任领导：梁立、徐晶、郑瑜，牵头单位：办公室、核算科，责任单位：各专业科室，完成时限：12月底）</w:t>
      </w:r>
    </w:p>
    <w:p w14:paraId="295C49FD">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8.加强干部队伍建设。</w:t>
      </w:r>
      <w:r>
        <w:rPr>
          <w:rFonts w:hint="default" w:ascii="Times New Roman" w:hAnsi="Times New Roman" w:cs="Times New Roman"/>
          <w:b/>
          <w:bCs/>
          <w:color w:val="auto"/>
          <w:lang w:val="en-US" w:eastAsia="zh-CN"/>
        </w:rPr>
        <w:t>鲜明树立选人用人正确导向，坚持严管与厚爱结合、激励与约束并重，充分调动干部干事创业的积极性主动性创造性。强化专业训练和实践锻炼，打造专业化、高素质、全能型统计队伍，为统计工作持续健康发展提供坚实保障。</w:t>
      </w:r>
      <w:r>
        <w:rPr>
          <w:rFonts w:hint="default" w:ascii="Times New Roman" w:hAnsi="Times New Roman" w:eastAsia="方正楷体简体" w:cs="Times New Roman"/>
          <w:b/>
          <w:bCs/>
          <w:color w:val="auto"/>
          <w:lang w:val="en-US" w:eastAsia="zh-CN"/>
        </w:rPr>
        <w:t>（责任领导：</w:t>
      </w:r>
      <w:r>
        <w:rPr>
          <w:rFonts w:hint="eastAsia" w:eastAsia="方正楷体简体" w:cs="Times New Roman"/>
          <w:b/>
          <w:bCs/>
          <w:color w:val="auto"/>
          <w:lang w:val="en-US" w:eastAsia="zh-CN"/>
        </w:rPr>
        <w:t>魏中齐、</w:t>
      </w:r>
      <w:r>
        <w:rPr>
          <w:rFonts w:hint="default" w:ascii="Times New Roman" w:hAnsi="Times New Roman" w:eastAsia="方正楷体简体" w:cs="Times New Roman"/>
          <w:b/>
          <w:bCs/>
          <w:color w:val="auto"/>
          <w:lang w:val="en-US" w:eastAsia="zh-CN"/>
        </w:rPr>
        <w:t>李长华、张乃智，牵头单位：人事科，完成时限：12月底）</w:t>
      </w:r>
    </w:p>
    <w:p w14:paraId="1E943A51">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eastAsia="黑体" w:cs="Times New Roman"/>
          <w:b/>
          <w:bCs/>
          <w:color w:val="auto"/>
          <w:sz w:val="32"/>
          <w:szCs w:val="40"/>
          <w:lang w:val="en-US" w:eastAsia="zh-CN"/>
        </w:rPr>
      </w:pPr>
      <w:r>
        <w:rPr>
          <w:rFonts w:hint="default" w:ascii="Times New Roman" w:hAnsi="Times New Roman" w:eastAsia="黑体" w:cs="Times New Roman"/>
          <w:b/>
          <w:bCs/>
          <w:color w:val="auto"/>
          <w:sz w:val="32"/>
          <w:szCs w:val="40"/>
          <w:lang w:val="en-US" w:eastAsia="zh-CN"/>
        </w:rPr>
        <w:t>二、提升统计数据质量</w:t>
      </w:r>
    </w:p>
    <w:p w14:paraId="787EF95F">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9.压紧压实数据质量责任。</w:t>
      </w:r>
      <w:r>
        <w:rPr>
          <w:rFonts w:hint="default" w:ascii="Times New Roman" w:hAnsi="Times New Roman" w:cs="Times New Roman"/>
          <w:b/>
          <w:bCs/>
          <w:color w:val="auto"/>
          <w:lang w:val="en-US" w:eastAsia="zh-CN"/>
        </w:rPr>
        <w:t>健全济宁市数据质量管控体系，加强对各层级、各环节数据质量管控。完善数据质量评估反馈机制，提升数据质量审核质效。</w:t>
      </w:r>
      <w:r>
        <w:rPr>
          <w:rFonts w:hint="default" w:ascii="Times New Roman" w:hAnsi="Times New Roman" w:eastAsia="方正楷体简体" w:cs="Times New Roman"/>
          <w:b/>
          <w:bCs/>
          <w:color w:val="auto"/>
          <w:lang w:val="en-US" w:eastAsia="zh-CN"/>
        </w:rPr>
        <w:t>（责任领导：徐晶、郑瑜，牵头单位：核算科，责任单位：各专业科室，完成时限：12月底）</w:t>
      </w:r>
    </w:p>
    <w:p w14:paraId="0D9857AD">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10.强化信息化赋能。</w:t>
      </w:r>
      <w:r>
        <w:rPr>
          <w:rFonts w:hint="default" w:ascii="Times New Roman" w:hAnsi="Times New Roman" w:cs="Times New Roman"/>
          <w:b/>
          <w:bCs/>
          <w:color w:val="auto"/>
          <w:lang w:val="en-US" w:eastAsia="zh-CN"/>
        </w:rPr>
        <w:t>加强技术支持，全力保障统计云业务应用正常开展。大力推动数据加工数字化转型，构建统计业务监测模板，不断推进专业数据加工自动化，提高数据查询审核效率。</w:t>
      </w:r>
      <w:r>
        <w:rPr>
          <w:rFonts w:hint="default" w:ascii="Times New Roman" w:hAnsi="Times New Roman" w:eastAsia="方正楷体简体" w:cs="Times New Roman"/>
          <w:b/>
          <w:bCs/>
          <w:color w:val="auto"/>
          <w:lang w:val="en-US" w:eastAsia="zh-CN"/>
        </w:rPr>
        <w:t>（责任领导：梁立，牵头单位：数据中心，责任单位：各专业科室，完成时限：12月底）</w:t>
      </w:r>
    </w:p>
    <w:p w14:paraId="26A480E4">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11.加强数据质量管控。</w:t>
      </w:r>
      <w:r>
        <w:rPr>
          <w:rFonts w:hint="default" w:ascii="Times New Roman" w:hAnsi="Times New Roman" w:cs="Times New Roman"/>
          <w:b/>
          <w:bCs/>
          <w:color w:val="auto"/>
          <w:lang w:val="en-US" w:eastAsia="zh-CN"/>
        </w:rPr>
        <w:t>严格落实国家和省统计方法制度要求，做好名录库、农业、工业、能源、投资、服务业、批零住餐业、研发、文化产业等各专业年定报工作，聚焦联网直报异常数据，推动线上、线下核查检查常态化，保障统计数据质量。</w:t>
      </w:r>
      <w:r>
        <w:rPr>
          <w:rFonts w:hint="default" w:ascii="Times New Roman" w:hAnsi="Times New Roman" w:eastAsia="方正楷体简体" w:cs="Times New Roman"/>
          <w:b/>
          <w:bCs/>
          <w:color w:val="auto"/>
          <w:lang w:val="en-US" w:eastAsia="zh-CN"/>
        </w:rPr>
        <w:t>（责任领导：各分管领导，责任单位：各专业科室，完成时限：12月底）</w:t>
      </w:r>
    </w:p>
    <w:p w14:paraId="2B2BBC36">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eastAsia="黑体" w:cs="Times New Roman"/>
          <w:b/>
          <w:bCs/>
          <w:color w:val="auto"/>
          <w:sz w:val="32"/>
          <w:szCs w:val="40"/>
          <w:lang w:val="en-US" w:eastAsia="zh-CN"/>
        </w:rPr>
      </w:pPr>
      <w:r>
        <w:rPr>
          <w:rFonts w:hint="default" w:ascii="Times New Roman" w:hAnsi="Times New Roman" w:eastAsia="黑体" w:cs="Times New Roman"/>
          <w:b/>
          <w:bCs/>
          <w:color w:val="auto"/>
          <w:sz w:val="32"/>
          <w:szCs w:val="40"/>
          <w:lang w:val="en-US" w:eastAsia="zh-CN"/>
        </w:rPr>
        <w:t>三、推进依法统计依法治统</w:t>
      </w:r>
    </w:p>
    <w:p w14:paraId="12C216F0">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12.持续推进统计法宣传学习。</w:t>
      </w:r>
      <w:r>
        <w:rPr>
          <w:rFonts w:hint="default" w:ascii="Times New Roman" w:hAnsi="Times New Roman" w:cs="Times New Roman"/>
          <w:b/>
          <w:bCs/>
          <w:color w:val="auto"/>
          <w:lang w:val="en-US" w:eastAsia="zh-CN"/>
        </w:rPr>
        <w:t>制定年度普法工作计划，推动将新修改统计法纳入各级党委、政府专题学习内容。强化领导干部法治宣传教育，持续推进“统计法进党校”，每年组织学习不少于1次。丰富宣传教育形式，营造全社会尊法学法守法用法良好氛围。</w:t>
      </w:r>
      <w:r>
        <w:rPr>
          <w:rFonts w:hint="default" w:ascii="Times New Roman" w:hAnsi="Times New Roman" w:eastAsia="方正楷体简体" w:cs="Times New Roman"/>
          <w:b/>
          <w:bCs/>
          <w:color w:val="auto"/>
          <w:lang w:val="en-US" w:eastAsia="zh-CN"/>
        </w:rPr>
        <w:t>（责任领导：梁立，牵头单位：办公室、执法监督局，责任单位：各专业科室，完成时限：12月底）</w:t>
      </w:r>
    </w:p>
    <w:p w14:paraId="2BAB39F0">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13.强化统计执法警示惩戒。</w:t>
      </w:r>
      <w:r>
        <w:rPr>
          <w:rFonts w:hint="default" w:ascii="Times New Roman" w:hAnsi="Times New Roman" w:cs="Times New Roman"/>
          <w:b/>
          <w:bCs/>
          <w:color w:val="auto"/>
          <w:lang w:val="en-US" w:eastAsia="zh-CN"/>
        </w:rPr>
        <w:t>继续加大统计执法力度，按照违法举报、统计督察、专业分析等情况选取重点地区开展执法检查，全年执法检查企业（项目）不少于350家，始终保持严厉打击统计造假、弄虚作假高压态势。加强统计执法队伍建设，推动县级统计机构配齐配强人员力量。建立市县执法力量轮调机制，统筹使用全市执法力量。</w:t>
      </w:r>
      <w:r>
        <w:rPr>
          <w:rFonts w:hint="default" w:ascii="Times New Roman" w:hAnsi="Times New Roman" w:eastAsia="方正楷体简体" w:cs="Times New Roman"/>
          <w:b/>
          <w:bCs/>
          <w:color w:val="auto"/>
          <w:lang w:val="en-US" w:eastAsia="zh-CN"/>
        </w:rPr>
        <w:t>（责任领导：梁立，牵头单位：执法监督局，责任单位：各专业科室，完成时限：12月底）</w:t>
      </w:r>
    </w:p>
    <w:p w14:paraId="71299174">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14.提高统计监督实效。</w:t>
      </w:r>
      <w:r>
        <w:rPr>
          <w:rFonts w:hint="default" w:ascii="Times New Roman" w:hAnsi="Times New Roman" w:cs="Times New Roman"/>
          <w:b/>
          <w:bCs/>
          <w:color w:val="auto"/>
          <w:lang w:val="en-US" w:eastAsia="zh-CN"/>
        </w:rPr>
        <w:t>围绕《省统计监督建议书》反馈意见，举一反三系统整治，不折不扣全面抓好问题整改。健全完善统计数据质量预警、统计法治保障监督等制度体系，促进执法检查、业务核查配合联动，风险预警和排查处置协同，防止出现统计违法和统计数据失实等重大风险。</w:t>
      </w:r>
      <w:r>
        <w:rPr>
          <w:rFonts w:hint="default" w:ascii="Times New Roman" w:hAnsi="Times New Roman" w:eastAsia="方正楷体简体" w:cs="Times New Roman"/>
          <w:b/>
          <w:bCs/>
          <w:color w:val="auto"/>
          <w:lang w:val="en-US" w:eastAsia="zh-CN"/>
        </w:rPr>
        <w:t>（责任领导：梁立，牵头单位：执法监督局，责任单位：各专业科室，完成时限：12月底）</w:t>
      </w:r>
    </w:p>
    <w:p w14:paraId="39957AB9">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15.发挥各类监督贯通合力。</w:t>
      </w:r>
      <w:r>
        <w:rPr>
          <w:rFonts w:hint="default" w:ascii="Times New Roman" w:hAnsi="Times New Roman" w:cs="Times New Roman"/>
          <w:b/>
          <w:bCs/>
          <w:color w:val="auto"/>
          <w:lang w:val="en-US" w:eastAsia="zh-CN"/>
        </w:rPr>
        <w:t>加强统计监督与纪检监察监督、组织监督、巡察监督等统筹衔接，深化统计监督结果运用。联合市纪委监委开展联合检查，全年不少于2次，对统计执法过程开展全流程监督。</w:t>
      </w:r>
      <w:r>
        <w:rPr>
          <w:rFonts w:hint="default" w:ascii="Times New Roman" w:hAnsi="Times New Roman" w:eastAsia="方正楷体简体" w:cs="Times New Roman"/>
          <w:b/>
          <w:bCs/>
          <w:color w:val="auto"/>
          <w:lang w:val="en-US" w:eastAsia="zh-CN"/>
        </w:rPr>
        <w:t>（责任领导：梁立，牵头单位：执法监督局，责任单位：各专业科室，完成时限：12月底）</w:t>
      </w:r>
    </w:p>
    <w:p w14:paraId="0957B870">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eastAsia="黑体" w:cs="Times New Roman"/>
          <w:b/>
          <w:bCs/>
          <w:color w:val="auto"/>
          <w:sz w:val="32"/>
          <w:szCs w:val="40"/>
          <w:lang w:val="en-US" w:eastAsia="zh-CN"/>
        </w:rPr>
      </w:pPr>
      <w:r>
        <w:rPr>
          <w:rFonts w:hint="default" w:ascii="Times New Roman" w:hAnsi="Times New Roman" w:eastAsia="黑体" w:cs="Times New Roman"/>
          <w:b/>
          <w:bCs/>
          <w:color w:val="auto"/>
          <w:sz w:val="32"/>
          <w:szCs w:val="40"/>
          <w:lang w:val="en-US" w:eastAsia="zh-CN"/>
        </w:rPr>
        <w:t>四、深化统计重点领域改革</w:t>
      </w:r>
    </w:p>
    <w:p w14:paraId="7BF2690F">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16.健全统计核算方法。</w:t>
      </w:r>
      <w:r>
        <w:rPr>
          <w:rFonts w:hint="default" w:ascii="Times New Roman" w:hAnsi="Times New Roman" w:cs="Times New Roman"/>
          <w:b/>
          <w:bCs/>
          <w:color w:val="auto"/>
          <w:lang w:val="en-US" w:eastAsia="zh-CN"/>
        </w:rPr>
        <w:t>制定县级季度GDP统一核算方案，提升基层统计核算能力。按照全省统一部署，聚焦新兴领域，做好文化及相关产业等派生产业增加值核算，探索开展数字经济核心产业、国有经济、民营经济增加值核算。</w:t>
      </w:r>
      <w:r>
        <w:rPr>
          <w:rFonts w:hint="default" w:ascii="Times New Roman" w:hAnsi="Times New Roman" w:eastAsia="方正楷体简体" w:cs="Times New Roman"/>
          <w:b/>
          <w:bCs/>
          <w:color w:val="auto"/>
          <w:lang w:val="en-US" w:eastAsia="zh-CN"/>
        </w:rPr>
        <w:t>（责任领导：徐晶、郑瑜，牵头单位：核算科，责任单位：各专业科室，完成时限：12月底）</w:t>
      </w:r>
    </w:p>
    <w:p w14:paraId="2E6D145A">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17.加强重点领域监测。</w:t>
      </w:r>
      <w:r>
        <w:rPr>
          <w:rFonts w:hint="default" w:ascii="Times New Roman" w:hAnsi="Times New Roman" w:cs="Times New Roman"/>
          <w:b/>
          <w:bCs/>
          <w:color w:val="auto"/>
          <w:lang w:val="en-US" w:eastAsia="zh-CN"/>
        </w:rPr>
        <w:t>围绕全市工业经济“头号工程”“一个万亿、五个倍增”等中心工作，加强重大战略监测、重点领域分析。统筹开展绿色低碳高质量发展、黄河流域高质量发展、乡村振兴等重大战略监测。加大工业经济监测分析力度，强化“15条产业链”体系监测。加强亿元及以上投资项目监测，配合</w:t>
      </w:r>
      <w:r>
        <w:rPr>
          <w:rFonts w:hint="eastAsia" w:cs="Times New Roman"/>
          <w:b/>
          <w:bCs/>
          <w:color w:val="auto"/>
          <w:lang w:val="en-US" w:eastAsia="zh-CN"/>
        </w:rPr>
        <w:t>做好</w:t>
      </w:r>
      <w:r>
        <w:rPr>
          <w:rFonts w:hint="default" w:ascii="Times New Roman" w:hAnsi="Times New Roman" w:cs="Times New Roman"/>
          <w:b/>
          <w:bCs/>
          <w:color w:val="auto"/>
          <w:lang w:val="en-US" w:eastAsia="zh-CN"/>
        </w:rPr>
        <w:t>社会评价监测</w:t>
      </w:r>
      <w:r>
        <w:rPr>
          <w:rFonts w:hint="eastAsia" w:cs="Times New Roman"/>
          <w:b/>
          <w:bCs/>
          <w:color w:val="auto"/>
          <w:lang w:val="en-US" w:eastAsia="zh-CN"/>
        </w:rPr>
        <w:t>和</w:t>
      </w:r>
      <w:r>
        <w:rPr>
          <w:rFonts w:hint="default" w:ascii="Times New Roman" w:hAnsi="Times New Roman" w:cs="Times New Roman"/>
          <w:b/>
          <w:bCs/>
          <w:color w:val="auto"/>
          <w:lang w:val="en-US" w:eastAsia="zh-CN"/>
        </w:rPr>
        <w:t>生产性服务业监测。</w:t>
      </w:r>
      <w:r>
        <w:rPr>
          <w:rFonts w:hint="default" w:ascii="Times New Roman" w:hAnsi="Times New Roman" w:eastAsia="方正楷体简体" w:cs="Times New Roman"/>
          <w:b/>
          <w:bCs/>
          <w:color w:val="auto"/>
          <w:lang w:val="en-US" w:eastAsia="zh-CN"/>
        </w:rPr>
        <w:t>（责任领导：各分管领导，牵头单位：综合科，责任单位：各专业科室，完成时限：12月底）</w:t>
      </w:r>
    </w:p>
    <w:p w14:paraId="33061CAE">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18.对标重点改革事项先行先试。</w:t>
      </w:r>
      <w:r>
        <w:rPr>
          <w:rFonts w:hint="default" w:ascii="Times New Roman" w:hAnsi="Times New Roman" w:cs="Times New Roman"/>
          <w:b/>
          <w:bCs/>
          <w:color w:val="auto"/>
          <w:lang w:val="en-US" w:eastAsia="zh-CN"/>
        </w:rPr>
        <w:t>积极争取经营主体活动发生地统计省级试点，探索推动经营主体活动发生地统计改革济宁经验。有序推进机关事业单位劳动工资统计</w:t>
      </w:r>
      <w:r>
        <w:rPr>
          <w:rFonts w:hint="eastAsia" w:cs="Times New Roman"/>
          <w:b/>
          <w:bCs/>
          <w:color w:val="auto"/>
          <w:lang w:val="en-US" w:eastAsia="zh-CN"/>
        </w:rPr>
        <w:t>调查</w:t>
      </w:r>
      <w:r>
        <w:rPr>
          <w:rFonts w:hint="default" w:ascii="Times New Roman" w:hAnsi="Times New Roman" w:cs="Times New Roman"/>
          <w:b/>
          <w:bCs/>
          <w:color w:val="auto"/>
          <w:lang w:val="en-US" w:eastAsia="zh-CN"/>
        </w:rPr>
        <w:t>，开展城市商业综合体、批零住餐电子商务交易平台月度调查。</w:t>
      </w:r>
      <w:r>
        <w:rPr>
          <w:rFonts w:hint="default" w:ascii="Times New Roman" w:hAnsi="Times New Roman" w:eastAsia="方正楷体简体" w:cs="Times New Roman"/>
          <w:b/>
          <w:bCs/>
          <w:color w:val="auto"/>
          <w:lang w:val="en-US" w:eastAsia="zh-CN"/>
        </w:rPr>
        <w:t>（责任领导：刘振、徐晶、郑瑜，牵头单位：核算科、人口就业科、服务业科，责任单位：各专业科室，完成时限：12月底）</w:t>
      </w:r>
    </w:p>
    <w:p w14:paraId="41E6B39D">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eastAsia="黑体" w:cs="Times New Roman"/>
          <w:b/>
          <w:bCs/>
          <w:color w:val="auto"/>
          <w:sz w:val="32"/>
          <w:szCs w:val="40"/>
          <w:lang w:val="en-US" w:eastAsia="zh-CN"/>
        </w:rPr>
      </w:pPr>
      <w:r>
        <w:rPr>
          <w:rFonts w:hint="default" w:ascii="Times New Roman" w:hAnsi="Times New Roman" w:eastAsia="黑体" w:cs="Times New Roman"/>
          <w:b/>
          <w:bCs/>
          <w:color w:val="auto"/>
          <w:sz w:val="32"/>
          <w:szCs w:val="40"/>
          <w:lang w:val="en-US" w:eastAsia="zh-CN"/>
        </w:rPr>
        <w:t>五、提升统计服务效能</w:t>
      </w:r>
    </w:p>
    <w:p w14:paraId="301A5CBA">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19.加强经济运行监测。</w:t>
      </w:r>
      <w:r>
        <w:rPr>
          <w:rFonts w:hint="default" w:ascii="Times New Roman" w:hAnsi="Times New Roman" w:cs="Times New Roman"/>
          <w:b/>
          <w:bCs/>
          <w:color w:val="auto"/>
          <w:lang w:val="en-US" w:eastAsia="zh-CN"/>
        </w:rPr>
        <w:t>科学把握宏观经济发展大势，提高数据分析把控能力，加强预期管理，发挥统计监测预警作用。深入研判重点行业领域经济走势，强化苗头性、趋势性、倾向性问题分析，及早提出意见建议，推动全市经济平稳健康发展。</w:t>
      </w:r>
      <w:r>
        <w:rPr>
          <w:rFonts w:hint="default" w:ascii="Times New Roman" w:hAnsi="Times New Roman" w:eastAsia="方正楷体简体" w:cs="Times New Roman"/>
          <w:b/>
          <w:bCs/>
          <w:color w:val="auto"/>
          <w:lang w:val="en-US" w:eastAsia="zh-CN"/>
        </w:rPr>
        <w:t>（责任领导：各分管领导，牵头单位：综合科，责任单位：各专业科室，完成时限：12月底）</w:t>
      </w:r>
    </w:p>
    <w:p w14:paraId="0BF10EE2">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20.强化统计宣传解读。</w:t>
      </w:r>
      <w:r>
        <w:rPr>
          <w:rFonts w:hint="default" w:ascii="Times New Roman" w:hAnsi="Times New Roman" w:cs="Times New Roman"/>
          <w:b/>
          <w:bCs/>
          <w:color w:val="auto"/>
          <w:lang w:val="en-US" w:eastAsia="zh-CN"/>
        </w:rPr>
        <w:t>积极对接党委政府、行业主管部门及社会公众需求，完善丰富统计产品供给，编撰统计指标“一口清”读本。做优统计数据发布解读，反映好经济运行总量变化和结构性特征。承接做好全省“中国统计开放日”活动，扩大统计影响力。规范数据发布流程，严格做好统计数据保密工作。</w:t>
      </w:r>
      <w:r>
        <w:rPr>
          <w:rFonts w:hint="default" w:ascii="Times New Roman" w:hAnsi="Times New Roman" w:eastAsia="方正楷体简体" w:cs="Times New Roman"/>
          <w:b/>
          <w:bCs/>
          <w:color w:val="auto"/>
          <w:lang w:val="en-US" w:eastAsia="zh-CN"/>
        </w:rPr>
        <w:t>（责任领导：徐晶，牵头单位：综合科，责任单位：各专业科室，完成时限：12月底）</w:t>
      </w:r>
    </w:p>
    <w:p w14:paraId="36130B8D">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21.加强社情民意调查。</w:t>
      </w:r>
      <w:r>
        <w:rPr>
          <w:rFonts w:hint="default" w:ascii="Times New Roman" w:hAnsi="Times New Roman" w:cs="Times New Roman"/>
          <w:b/>
          <w:bCs/>
          <w:color w:val="auto"/>
          <w:lang w:val="en-US" w:eastAsia="zh-CN"/>
        </w:rPr>
        <w:t>优化社情民意调查流程，着眼党委政府工作部署和经济社会发展目标，探索更新调查方式，提升民调统计服务能力。高标准完成国家安全感民意调查工作，高质量完成市委市政府及有关部门委托的综合考核群众满意度调查、群众安全感调查等重点调查任务，用群众评价客观真实反映发展成效。</w:t>
      </w:r>
      <w:r>
        <w:rPr>
          <w:rFonts w:hint="default" w:ascii="Times New Roman" w:hAnsi="Times New Roman" w:eastAsia="方正楷体简体" w:cs="Times New Roman"/>
          <w:b/>
          <w:bCs/>
          <w:color w:val="auto"/>
          <w:lang w:val="en-US" w:eastAsia="zh-CN"/>
        </w:rPr>
        <w:t>（责任领导：梁立，责任单位：民调中心，完成时限：12月底）</w:t>
      </w:r>
    </w:p>
    <w:p w14:paraId="26B5D9ED">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eastAsia="黑体" w:cs="Times New Roman"/>
          <w:b/>
          <w:bCs/>
          <w:color w:val="auto"/>
          <w:sz w:val="32"/>
          <w:szCs w:val="40"/>
          <w:lang w:val="en-US" w:eastAsia="zh-CN"/>
        </w:rPr>
      </w:pPr>
      <w:r>
        <w:rPr>
          <w:rFonts w:hint="default" w:ascii="Times New Roman" w:hAnsi="Times New Roman" w:eastAsia="黑体" w:cs="Times New Roman"/>
          <w:b/>
          <w:bCs/>
          <w:color w:val="auto"/>
          <w:sz w:val="32"/>
          <w:szCs w:val="40"/>
          <w:lang w:val="en-US" w:eastAsia="zh-CN"/>
        </w:rPr>
        <w:t>六、加强基层基础建设</w:t>
      </w:r>
    </w:p>
    <w:p w14:paraId="51C90C28">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22.持续抓好纳统工作。</w:t>
      </w:r>
      <w:r>
        <w:rPr>
          <w:rFonts w:hint="default" w:ascii="Times New Roman" w:hAnsi="Times New Roman" w:cs="Times New Roman"/>
          <w:b/>
          <w:bCs/>
          <w:color w:val="auto"/>
          <w:lang w:val="en-US" w:eastAsia="zh-CN"/>
        </w:rPr>
        <w:t>强化与职能部门横向联动，做好纳统业务培训指导，围绕区域经济发展特点，聚焦重点行业提升纳统质效。组织市县两级开展入库纳统单位实地核实，全面夯实企业纳统质量。</w:t>
      </w:r>
      <w:r>
        <w:rPr>
          <w:rFonts w:hint="default" w:ascii="Times New Roman" w:hAnsi="Times New Roman" w:eastAsia="方正楷体简体" w:cs="Times New Roman"/>
          <w:b/>
          <w:bCs/>
          <w:color w:val="auto"/>
          <w:lang w:val="en-US" w:eastAsia="zh-CN"/>
        </w:rPr>
        <w:t>（责任领导：张乃智、郑瑜，牵头单位：普查中心，责任单位：有关专业科室，完成时限：12月底）</w:t>
      </w:r>
    </w:p>
    <w:p w14:paraId="231E7C1A">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23.持续抓好能力提升。</w:t>
      </w:r>
      <w:r>
        <w:rPr>
          <w:rFonts w:hint="default" w:ascii="Times New Roman" w:hAnsi="Times New Roman" w:cs="Times New Roman"/>
          <w:b/>
          <w:bCs/>
          <w:color w:val="auto"/>
          <w:lang w:val="en-US" w:eastAsia="zh-CN"/>
        </w:rPr>
        <w:t>统筹谋划全市统计教育培训计划，针对不同专业领域组织开展专题培训，紧跟时代热点和统计专业前沿理论，加强对新理论、新业态、新知识、新技术的培训，提升统计系统干部业务素养。举办全市统计系统职业技能大赛，组织参加全省统计系统职业技能竞赛，提升统计人员业务能力。做好全省统计系统基层后备人才、业务骨干人才、高层次人才选拔，组织正高级统计师、高级统计师及基层统计高级职称评审申报，激发统计人才队伍活力。</w:t>
      </w:r>
      <w:r>
        <w:rPr>
          <w:rFonts w:hint="default" w:ascii="Times New Roman" w:hAnsi="Times New Roman" w:eastAsia="方正楷体简体" w:cs="Times New Roman"/>
          <w:b/>
          <w:bCs/>
          <w:color w:val="auto"/>
          <w:lang w:val="en-US" w:eastAsia="zh-CN"/>
        </w:rPr>
        <w:t>（责任领导：张乃智，牵头单位：人事科，责任单位：各专业科室，完成时限：12月底）</w:t>
      </w:r>
    </w:p>
    <w:p w14:paraId="6A99F8B9">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24.持续推进基层规范化。</w:t>
      </w:r>
      <w:r>
        <w:rPr>
          <w:rFonts w:hint="default" w:ascii="Times New Roman" w:hAnsi="Times New Roman" w:cs="Times New Roman"/>
          <w:b/>
          <w:bCs/>
          <w:color w:val="auto"/>
          <w:lang w:val="en-US" w:eastAsia="zh-CN"/>
        </w:rPr>
        <w:t>开展统计基层基础建设情况调查，力促县市区配齐配强基层统计力量，保障基层统计工作高效有序运转。分步推进企业统计电子台账建设，指导“四上”企业、投资项目健全原始记录和统计台账，规范数据生产流程，筑牢统计数据质量根基。</w:t>
      </w:r>
      <w:r>
        <w:rPr>
          <w:rFonts w:hint="default" w:ascii="Times New Roman" w:hAnsi="Times New Roman" w:eastAsia="方正楷体简体" w:cs="Times New Roman"/>
          <w:b/>
          <w:bCs/>
          <w:color w:val="auto"/>
          <w:lang w:val="en-US" w:eastAsia="zh-CN"/>
        </w:rPr>
        <w:t>（责任领导：徐晶、郑瑜，牵头单位：核算科，责任单位：各专业科室，完成时限：12月底）</w:t>
      </w:r>
    </w:p>
    <w:p w14:paraId="68D95C31">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eastAsia="黑体" w:cs="Times New Roman"/>
          <w:b/>
          <w:bCs/>
          <w:color w:val="auto"/>
          <w:sz w:val="32"/>
          <w:szCs w:val="40"/>
          <w:lang w:val="en-US" w:eastAsia="zh-CN"/>
        </w:rPr>
      </w:pPr>
      <w:r>
        <w:rPr>
          <w:rFonts w:hint="default" w:ascii="Times New Roman" w:hAnsi="Times New Roman" w:eastAsia="黑体" w:cs="Times New Roman"/>
          <w:b/>
          <w:bCs/>
          <w:color w:val="auto"/>
          <w:sz w:val="32"/>
          <w:szCs w:val="40"/>
          <w:lang w:val="en-US" w:eastAsia="zh-CN"/>
        </w:rPr>
        <w:t xml:space="preserve">七、做好重大国情国力调查 </w:t>
      </w:r>
    </w:p>
    <w:p w14:paraId="258F3330">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25.扎实做好五经普后续工作。</w:t>
      </w:r>
      <w:r>
        <w:rPr>
          <w:rFonts w:hint="default" w:ascii="Times New Roman" w:hAnsi="Times New Roman" w:cs="Times New Roman"/>
          <w:b/>
          <w:bCs/>
          <w:color w:val="auto"/>
          <w:lang w:val="en-US" w:eastAsia="zh-CN"/>
        </w:rPr>
        <w:t>稳妥做好全市五经普公报发布工作，积极开发利用普查资料，开展五经普工作评比表彰。利用普查资料修订地区生产总值历史数据。</w:t>
      </w:r>
      <w:r>
        <w:rPr>
          <w:rFonts w:hint="default" w:ascii="Times New Roman" w:hAnsi="Times New Roman" w:eastAsia="方正楷体简体" w:cs="Times New Roman"/>
          <w:b/>
          <w:bCs/>
          <w:color w:val="auto"/>
          <w:lang w:val="en-US" w:eastAsia="zh-CN"/>
        </w:rPr>
        <w:t>（责任领导：张乃智、徐晶、郑瑜，牵头单位：核算科、普查中心，责任单位：各专业科室，完成时限：12月底）</w:t>
      </w:r>
    </w:p>
    <w:p w14:paraId="13B0C69E">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26.做好第四次农业普查筹备。</w:t>
      </w:r>
      <w:r>
        <w:rPr>
          <w:rFonts w:hint="default" w:ascii="Times New Roman" w:hAnsi="Times New Roman" w:cs="Times New Roman"/>
          <w:b/>
          <w:bCs/>
          <w:color w:val="auto"/>
          <w:lang w:val="en-US" w:eastAsia="zh-CN"/>
        </w:rPr>
        <w:t>适时开展四农普筹备工作，在嘉祥县开展国家专项试点，及时发现解决问题，积累工作经验；做好全市四农普预算编制，拟定四农普时间安排、搭建普查网站、做好各项保障工作。</w:t>
      </w:r>
      <w:r>
        <w:rPr>
          <w:rFonts w:hint="default" w:ascii="Times New Roman" w:hAnsi="Times New Roman" w:eastAsia="方正楷体简体" w:cs="Times New Roman"/>
          <w:b/>
          <w:bCs/>
          <w:color w:val="auto"/>
          <w:lang w:val="en-US" w:eastAsia="zh-CN"/>
        </w:rPr>
        <w:t>（责任领导：徐晶，牵头单位：经济运行监测中心，责任单位：办公室、数据中心，完成时限：12月底）</w:t>
      </w:r>
    </w:p>
    <w:p w14:paraId="44C59D2B">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27.做好1%人口抽样调查。</w:t>
      </w:r>
      <w:r>
        <w:rPr>
          <w:rFonts w:hint="default" w:ascii="Times New Roman" w:hAnsi="Times New Roman" w:cs="Times New Roman"/>
          <w:b/>
          <w:bCs/>
          <w:color w:val="auto"/>
          <w:lang w:val="en-US" w:eastAsia="zh-CN"/>
        </w:rPr>
        <w:t>成立1%人口抽样调查工作协调小组，明确成员单位职责分工，统筹做好我市全国1%人口抽样调查工作。</w:t>
      </w:r>
      <w:r>
        <w:rPr>
          <w:rFonts w:hint="default" w:ascii="Times New Roman" w:hAnsi="Times New Roman" w:eastAsia="方正楷体简体" w:cs="Times New Roman"/>
          <w:b/>
          <w:bCs/>
          <w:color w:val="auto"/>
          <w:lang w:val="en-US" w:eastAsia="zh-CN"/>
        </w:rPr>
        <w:t>（责任领导：刘振，责任单位：人口就业科，完成时限：12月底）</w:t>
      </w:r>
    </w:p>
    <w:p w14:paraId="2A0EE107">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eastAsia="黑体" w:cs="Times New Roman"/>
          <w:b/>
          <w:bCs/>
          <w:color w:val="auto"/>
          <w:sz w:val="32"/>
          <w:szCs w:val="40"/>
          <w:lang w:val="en-US" w:eastAsia="zh-CN"/>
        </w:rPr>
      </w:pPr>
      <w:r>
        <w:rPr>
          <w:rFonts w:hint="default" w:ascii="Times New Roman" w:hAnsi="Times New Roman" w:eastAsia="黑体" w:cs="Times New Roman"/>
          <w:b/>
          <w:bCs/>
          <w:color w:val="auto"/>
          <w:sz w:val="32"/>
          <w:szCs w:val="40"/>
          <w:lang w:val="en-US" w:eastAsia="zh-CN"/>
        </w:rPr>
        <w:t>八、做好统计服务保障</w:t>
      </w:r>
    </w:p>
    <w:p w14:paraId="658529F9">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28.提升财务保障能力。</w:t>
      </w:r>
      <w:r>
        <w:rPr>
          <w:rFonts w:hint="default" w:ascii="Times New Roman" w:hAnsi="Times New Roman" w:cs="Times New Roman"/>
          <w:b/>
          <w:bCs/>
          <w:color w:val="auto"/>
          <w:lang w:val="en-US" w:eastAsia="zh-CN"/>
        </w:rPr>
        <w:t>深化预算管理制度改革，细化预算管理责任，提升预算编制、执行和绩效管理质量。依托预算管理一体化信息系统，推动财务管理和内控监管科学化、规范化、信息化。落实“习惯过紧日子”要求，强化财务监督，防范风险隐患。</w:t>
      </w:r>
      <w:r>
        <w:rPr>
          <w:rFonts w:hint="default" w:ascii="Times New Roman" w:hAnsi="Times New Roman" w:eastAsia="方正楷体简体" w:cs="Times New Roman"/>
          <w:b/>
          <w:bCs/>
          <w:color w:val="auto"/>
          <w:lang w:val="en-US" w:eastAsia="zh-CN"/>
        </w:rPr>
        <w:t>（责任领导：梁立，牵头单位：办公室，责任单位：各科室、局、中心，完成时限：12月底）</w:t>
      </w:r>
    </w:p>
    <w:p w14:paraId="66141AF5">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29.强化网络和数据安全。</w:t>
      </w:r>
      <w:r>
        <w:rPr>
          <w:rFonts w:hint="default" w:ascii="Times New Roman" w:hAnsi="Times New Roman" w:cs="Times New Roman"/>
          <w:b/>
          <w:bCs/>
          <w:color w:val="auto"/>
          <w:lang w:val="en-US" w:eastAsia="zh-CN"/>
        </w:rPr>
        <w:t>深化网络安全防护体系建设，健全全链条数据安全管控机制，升级智能威胁感知平台功能，实施网络架构冗余化改造，全面做好各类技术保障。加强市县乡三级统计专网常态化安全巡检，部署漏洞扫描与实时行为分析系统，确保统计专网安全可靠。</w:t>
      </w:r>
      <w:r>
        <w:rPr>
          <w:rFonts w:hint="default" w:ascii="Times New Roman" w:hAnsi="Times New Roman" w:eastAsia="方正楷体简体" w:cs="Times New Roman"/>
          <w:b/>
          <w:bCs/>
          <w:color w:val="auto"/>
          <w:lang w:val="en-US" w:eastAsia="zh-CN"/>
        </w:rPr>
        <w:t>（责任领导：梁立，牵头单位：数据中心，完成时限：12月底）</w:t>
      </w:r>
    </w:p>
    <w:p w14:paraId="7DF6C105">
      <w:pPr>
        <w:keepNext w:val="0"/>
        <w:keepLines w:val="0"/>
        <w:pageBreakBefore w:val="0"/>
        <w:kinsoku/>
        <w:overflowPunct/>
        <w:topLinePunct w:val="0"/>
        <w:autoSpaceDE/>
        <w:autoSpaceDN/>
        <w:bidi w:val="0"/>
        <w:adjustRightInd w:val="0"/>
        <w:snapToGrid w:val="0"/>
        <w:spacing w:line="600" w:lineRule="exact"/>
        <w:ind w:right="0" w:firstLine="643"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eastAsia="方正楷体简体" w:cs="Times New Roman"/>
          <w:b/>
          <w:bCs/>
          <w:color w:val="auto"/>
          <w:lang w:val="en-US" w:eastAsia="zh-CN"/>
        </w:rPr>
        <w:t>30.持续做好后勤保障服务。</w:t>
      </w:r>
      <w:r>
        <w:rPr>
          <w:rFonts w:hint="default" w:ascii="Times New Roman" w:hAnsi="Times New Roman" w:cs="Times New Roman"/>
          <w:b/>
          <w:bCs/>
          <w:color w:val="auto"/>
          <w:lang w:val="en-US" w:eastAsia="zh-CN"/>
        </w:rPr>
        <w:t>巩固节约型机关建设成果，严格落实节电、节水、节油等各项措施，持续推进无纸化办公。加强巡查检查、隐患排查，确保办公区安全有序。规范采购流程，压实各环节责任，依法依规、高质高效做好政府采购工作。</w:t>
      </w:r>
      <w:r>
        <w:rPr>
          <w:rFonts w:hint="default" w:ascii="Times New Roman" w:hAnsi="Times New Roman" w:eastAsia="方正楷体简体" w:cs="Times New Roman"/>
          <w:b/>
          <w:bCs/>
          <w:color w:val="auto"/>
          <w:lang w:val="en-US" w:eastAsia="zh-CN"/>
        </w:rPr>
        <w:t>（责任领导：梁立，责任单位：办公室，完成时限：12月底）</w:t>
      </w:r>
    </w:p>
    <w:p w14:paraId="4C65293F">
      <w:pPr>
        <w:keepNext w:val="0"/>
        <w:keepLines w:val="0"/>
        <w:pageBreakBefore w:val="0"/>
        <w:kinsoku/>
        <w:overflowPunct/>
        <w:topLinePunct w:val="0"/>
        <w:autoSpaceDE/>
        <w:autoSpaceDN/>
        <w:bidi w:val="0"/>
        <w:adjustRightInd w:val="0"/>
        <w:snapToGrid w:val="0"/>
        <w:spacing w:line="600" w:lineRule="exact"/>
        <w:ind w:right="0"/>
        <w:jc w:val="center"/>
        <w:textAlignment w:val="auto"/>
        <w:rPr>
          <w:rStyle w:val="13"/>
          <w:rFonts w:hint="default" w:ascii="Times New Roman" w:hAnsi="Times New Roman" w:cs="Times New Roman"/>
          <w:color w:val="000000"/>
          <w:sz w:val="44"/>
          <w:szCs w:val="44"/>
        </w:rPr>
      </w:pPr>
    </w:p>
    <w:p w14:paraId="78784C06">
      <w:pPr>
        <w:pStyle w:val="3"/>
        <w:keepNext w:val="0"/>
        <w:keepLines w:val="0"/>
        <w:pageBreakBefore w:val="0"/>
        <w:kinsoku/>
        <w:overflowPunct/>
        <w:topLinePunct w:val="0"/>
        <w:autoSpaceDE/>
        <w:autoSpaceDN/>
        <w:bidi w:val="0"/>
        <w:adjustRightInd w:val="0"/>
        <w:snapToGrid w:val="0"/>
        <w:spacing w:line="600" w:lineRule="exact"/>
        <w:ind w:right="0"/>
        <w:textAlignment w:val="auto"/>
        <w:rPr>
          <w:rStyle w:val="13"/>
          <w:rFonts w:hint="default" w:ascii="Times New Roman" w:hAnsi="Times New Roman" w:cs="Times New Roman"/>
          <w:color w:val="000000"/>
          <w:sz w:val="44"/>
          <w:szCs w:val="44"/>
        </w:rPr>
      </w:pPr>
    </w:p>
    <w:p w14:paraId="7D37C850">
      <w:pPr>
        <w:pStyle w:val="3"/>
        <w:keepNext w:val="0"/>
        <w:keepLines w:val="0"/>
        <w:pageBreakBefore w:val="0"/>
        <w:kinsoku/>
        <w:overflowPunct/>
        <w:topLinePunct w:val="0"/>
        <w:autoSpaceDE/>
        <w:autoSpaceDN/>
        <w:bidi w:val="0"/>
        <w:adjustRightInd w:val="0"/>
        <w:snapToGrid w:val="0"/>
        <w:spacing w:line="600" w:lineRule="exact"/>
        <w:ind w:right="0"/>
        <w:textAlignment w:val="auto"/>
        <w:rPr>
          <w:rStyle w:val="13"/>
          <w:rFonts w:hint="default" w:ascii="Times New Roman" w:hAnsi="Times New Roman" w:cs="Times New Roman"/>
          <w:color w:val="000000"/>
          <w:sz w:val="44"/>
          <w:szCs w:val="44"/>
        </w:rPr>
      </w:pPr>
    </w:p>
    <w:p w14:paraId="067179CF">
      <w:pPr>
        <w:pStyle w:val="3"/>
        <w:keepNext w:val="0"/>
        <w:keepLines w:val="0"/>
        <w:pageBreakBefore w:val="0"/>
        <w:kinsoku/>
        <w:overflowPunct/>
        <w:topLinePunct w:val="0"/>
        <w:autoSpaceDE/>
        <w:autoSpaceDN/>
        <w:bidi w:val="0"/>
        <w:adjustRightInd w:val="0"/>
        <w:snapToGrid w:val="0"/>
        <w:spacing w:line="600" w:lineRule="exact"/>
        <w:ind w:right="0"/>
        <w:textAlignment w:val="auto"/>
        <w:rPr>
          <w:rStyle w:val="13"/>
          <w:rFonts w:hint="default" w:ascii="Times New Roman" w:hAnsi="Times New Roman" w:cs="Times New Roman"/>
          <w:color w:val="000000"/>
          <w:sz w:val="44"/>
          <w:szCs w:val="44"/>
        </w:rPr>
      </w:pPr>
    </w:p>
    <w:p w14:paraId="26CE3CF7">
      <w:pPr>
        <w:pStyle w:val="3"/>
        <w:keepNext w:val="0"/>
        <w:keepLines w:val="0"/>
        <w:pageBreakBefore w:val="0"/>
        <w:kinsoku/>
        <w:overflowPunct/>
        <w:topLinePunct w:val="0"/>
        <w:autoSpaceDE/>
        <w:autoSpaceDN/>
        <w:bidi w:val="0"/>
        <w:adjustRightInd w:val="0"/>
        <w:snapToGrid w:val="0"/>
        <w:spacing w:line="600" w:lineRule="exact"/>
        <w:ind w:right="0"/>
        <w:textAlignment w:val="auto"/>
        <w:rPr>
          <w:rStyle w:val="13"/>
          <w:rFonts w:hint="default" w:ascii="Times New Roman" w:hAnsi="Times New Roman" w:cs="Times New Roman"/>
          <w:color w:val="000000"/>
          <w:sz w:val="44"/>
          <w:szCs w:val="44"/>
        </w:rPr>
      </w:pPr>
    </w:p>
    <w:p w14:paraId="32D39A9C">
      <w:pPr>
        <w:pStyle w:val="3"/>
        <w:rPr>
          <w:rStyle w:val="13"/>
          <w:rFonts w:hint="default" w:ascii="Times New Roman" w:hAnsi="Times New Roman" w:cs="Times New Roman"/>
          <w:color w:val="000000"/>
          <w:sz w:val="44"/>
          <w:szCs w:val="44"/>
        </w:rPr>
      </w:pPr>
    </w:p>
    <w:p w14:paraId="54E43851">
      <w:pPr>
        <w:pStyle w:val="3"/>
        <w:rPr>
          <w:rStyle w:val="13"/>
          <w:rFonts w:hint="default" w:ascii="Times New Roman" w:hAnsi="Times New Roman" w:cs="Times New Roman"/>
          <w:color w:val="000000"/>
          <w:sz w:val="44"/>
          <w:szCs w:val="44"/>
        </w:rPr>
      </w:pPr>
    </w:p>
    <w:p w14:paraId="241644BF">
      <w:pPr>
        <w:pStyle w:val="3"/>
        <w:rPr>
          <w:rStyle w:val="13"/>
          <w:rFonts w:hint="default" w:ascii="Times New Roman" w:hAnsi="Times New Roman" w:cs="Times New Roman"/>
          <w:color w:val="000000"/>
          <w:sz w:val="44"/>
          <w:szCs w:val="44"/>
        </w:rPr>
      </w:pPr>
    </w:p>
    <w:p w14:paraId="78B0CCCE">
      <w:pPr>
        <w:pStyle w:val="3"/>
        <w:rPr>
          <w:rStyle w:val="13"/>
          <w:rFonts w:hint="default" w:ascii="Times New Roman" w:hAnsi="Times New Roman" w:cs="Times New Roman"/>
          <w:color w:val="000000"/>
          <w:sz w:val="44"/>
          <w:szCs w:val="44"/>
        </w:rPr>
      </w:pPr>
    </w:p>
    <w:p w14:paraId="49FE1D4D">
      <w:pPr>
        <w:pStyle w:val="3"/>
        <w:rPr>
          <w:rStyle w:val="13"/>
          <w:rFonts w:hint="default" w:ascii="Times New Roman" w:hAnsi="Times New Roman" w:cs="Times New Roman"/>
          <w:color w:val="000000"/>
          <w:sz w:val="44"/>
          <w:szCs w:val="44"/>
        </w:rPr>
      </w:pPr>
    </w:p>
    <w:p w14:paraId="33CD8CEB">
      <w:pPr>
        <w:pStyle w:val="3"/>
        <w:rPr>
          <w:rStyle w:val="13"/>
          <w:rFonts w:hint="default" w:ascii="Times New Roman" w:hAnsi="Times New Roman" w:cs="Times New Roman"/>
          <w:color w:val="000000"/>
          <w:sz w:val="44"/>
          <w:szCs w:val="44"/>
        </w:rPr>
      </w:pPr>
    </w:p>
    <w:p w14:paraId="1B104298">
      <w:pPr>
        <w:pStyle w:val="3"/>
        <w:rPr>
          <w:rStyle w:val="13"/>
          <w:rFonts w:hint="default" w:ascii="Times New Roman" w:hAnsi="Times New Roman" w:cs="Times New Roman"/>
          <w:color w:val="000000"/>
          <w:sz w:val="44"/>
          <w:szCs w:val="44"/>
        </w:rPr>
      </w:pPr>
    </w:p>
    <w:p w14:paraId="12F3284B">
      <w:pPr>
        <w:pStyle w:val="3"/>
        <w:rPr>
          <w:rStyle w:val="13"/>
          <w:rFonts w:hint="default" w:ascii="Times New Roman" w:hAnsi="Times New Roman" w:cs="Times New Roman"/>
          <w:color w:val="000000"/>
          <w:sz w:val="44"/>
          <w:szCs w:val="44"/>
        </w:rPr>
      </w:pPr>
    </w:p>
    <w:p w14:paraId="48BC8324">
      <w:pPr>
        <w:pStyle w:val="3"/>
        <w:rPr>
          <w:rStyle w:val="13"/>
          <w:rFonts w:hint="default" w:ascii="Times New Roman" w:hAnsi="Times New Roman" w:cs="Times New Roman"/>
          <w:color w:val="000000"/>
          <w:sz w:val="44"/>
          <w:szCs w:val="44"/>
        </w:rPr>
      </w:pPr>
    </w:p>
    <w:p w14:paraId="4A0AACFB">
      <w:pPr>
        <w:pStyle w:val="3"/>
        <w:rPr>
          <w:rStyle w:val="13"/>
          <w:rFonts w:hint="default" w:ascii="Times New Roman" w:hAnsi="Times New Roman" w:cs="Times New Roman"/>
          <w:color w:val="000000"/>
          <w:sz w:val="44"/>
          <w:szCs w:val="44"/>
        </w:rPr>
      </w:pPr>
    </w:p>
    <w:p w14:paraId="218C12D8">
      <w:pPr>
        <w:rPr>
          <w:rStyle w:val="13"/>
          <w:rFonts w:hint="default" w:ascii="Times New Roman" w:hAnsi="Times New Roman" w:cs="Times New Roman"/>
          <w:color w:val="000000"/>
          <w:sz w:val="44"/>
          <w:szCs w:val="44"/>
        </w:rPr>
      </w:pPr>
    </w:p>
    <w:p w14:paraId="70A07D62">
      <w:pPr>
        <w:pStyle w:val="3"/>
        <w:rPr>
          <w:rStyle w:val="13"/>
          <w:rFonts w:hint="default" w:ascii="Times New Roman" w:hAnsi="Times New Roman" w:cs="Times New Roman"/>
          <w:color w:val="000000"/>
          <w:sz w:val="44"/>
          <w:szCs w:val="44"/>
        </w:rPr>
      </w:pPr>
    </w:p>
    <w:p w14:paraId="72629680">
      <w:pPr>
        <w:rPr>
          <w:rStyle w:val="13"/>
          <w:rFonts w:hint="default" w:ascii="Times New Roman" w:hAnsi="Times New Roman" w:cs="Times New Roman"/>
          <w:color w:val="000000"/>
          <w:sz w:val="44"/>
          <w:szCs w:val="44"/>
        </w:rPr>
      </w:pPr>
    </w:p>
    <w:p w14:paraId="4CE9F7B3">
      <w:pPr>
        <w:pStyle w:val="3"/>
        <w:rPr>
          <w:rStyle w:val="13"/>
          <w:rFonts w:hint="default" w:ascii="Times New Roman" w:hAnsi="Times New Roman" w:cs="Times New Roman"/>
          <w:color w:val="000000"/>
          <w:sz w:val="44"/>
          <w:szCs w:val="44"/>
        </w:rPr>
      </w:pPr>
    </w:p>
    <w:p w14:paraId="1B60E73B">
      <w:pPr>
        <w:rPr>
          <w:rFonts w:hint="default"/>
        </w:rPr>
      </w:pPr>
    </w:p>
    <w:p w14:paraId="7ED24903">
      <w:pPr>
        <w:pStyle w:val="3"/>
        <w:rPr>
          <w:rStyle w:val="13"/>
          <w:rFonts w:hint="default" w:ascii="Times New Roman" w:hAnsi="Times New Roman" w:cs="Times New Roman"/>
          <w:color w:val="000000"/>
          <w:sz w:val="44"/>
          <w:szCs w:val="44"/>
        </w:rPr>
      </w:pPr>
    </w:p>
    <w:p w14:paraId="338AE389">
      <w:pPr>
        <w:rPr>
          <w:rStyle w:val="13"/>
          <w:rFonts w:hint="default" w:ascii="Times New Roman" w:hAnsi="Times New Roman" w:cs="Times New Roman"/>
          <w:color w:val="000000"/>
          <w:sz w:val="44"/>
          <w:szCs w:val="44"/>
        </w:rPr>
      </w:pPr>
    </w:p>
    <w:p w14:paraId="0FBA963F">
      <w:pPr>
        <w:pStyle w:val="3"/>
        <w:rPr>
          <w:rStyle w:val="13"/>
          <w:rFonts w:hint="default" w:ascii="Times New Roman" w:hAnsi="Times New Roman" w:cs="Times New Roman"/>
          <w:color w:val="000000"/>
          <w:sz w:val="44"/>
          <w:szCs w:val="44"/>
        </w:rPr>
      </w:pPr>
    </w:p>
    <w:p w14:paraId="790D7088">
      <w:pPr>
        <w:rPr>
          <w:rStyle w:val="13"/>
          <w:rFonts w:hint="default" w:ascii="Times New Roman" w:hAnsi="Times New Roman" w:cs="Times New Roman"/>
          <w:color w:val="000000"/>
          <w:sz w:val="44"/>
          <w:szCs w:val="44"/>
        </w:rPr>
      </w:pPr>
    </w:p>
    <w:tbl>
      <w:tblPr>
        <w:tblStyle w:val="11"/>
        <w:tblpPr w:leftFromText="181" w:rightFromText="181" w:horzAnchor="page" w:tblpX="1588" w:tblpYSpec="bottom"/>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4385"/>
      </w:tblGrid>
      <w:tr w14:paraId="6464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04" w:type="dxa"/>
            <w:tcBorders>
              <w:left w:val="nil"/>
              <w:right w:val="nil"/>
            </w:tcBorders>
            <w:noWrap w:val="0"/>
            <w:tcMar>
              <w:top w:w="0" w:type="dxa"/>
              <w:left w:w="0" w:type="dxa"/>
              <w:bottom w:w="0" w:type="dxa"/>
              <w:right w:w="0" w:type="dxa"/>
            </w:tcMar>
            <w:vAlign w:val="center"/>
          </w:tcPr>
          <w:p w14:paraId="38F28C28">
            <w:pPr>
              <w:pStyle w:val="9"/>
              <w:ind w:left="0" w:leftChars="0" w:firstLine="281" w:firstLineChars="100"/>
              <w:rPr>
                <w:rFonts w:hint="default" w:ascii="Times New Roman" w:hAnsi="Times New Roman" w:eastAsia="仿宋_GB2312" w:cs="Times New Roman"/>
                <w:b/>
                <w:bCs w:val="0"/>
                <w:sz w:val="28"/>
                <w:szCs w:val="28"/>
              </w:rPr>
            </w:pPr>
            <w:r>
              <w:rPr>
                <w:rFonts w:hint="default" w:ascii="Times New Roman" w:hAnsi="Times New Roman" w:eastAsia="仿宋_GB2312" w:cs="Times New Roman"/>
                <w:b/>
                <w:bCs w:val="0"/>
                <w:sz w:val="28"/>
                <w:szCs w:val="28"/>
              </w:rPr>
              <w:t>济宁市统计局办公室</w:t>
            </w:r>
          </w:p>
        </w:tc>
        <w:tc>
          <w:tcPr>
            <w:tcW w:w="4440" w:type="dxa"/>
            <w:tcBorders>
              <w:left w:val="nil"/>
              <w:right w:val="nil"/>
            </w:tcBorders>
            <w:noWrap w:val="0"/>
            <w:tcMar>
              <w:top w:w="0" w:type="dxa"/>
              <w:left w:w="0" w:type="dxa"/>
              <w:bottom w:w="0" w:type="dxa"/>
              <w:right w:w="0" w:type="dxa"/>
            </w:tcMar>
            <w:vAlign w:val="center"/>
          </w:tcPr>
          <w:p w14:paraId="09645E4C">
            <w:pPr>
              <w:pStyle w:val="9"/>
              <w:wordWrap w:val="0"/>
              <w:jc w:val="right"/>
              <w:rPr>
                <w:rFonts w:hint="default" w:ascii="Times New Roman" w:hAnsi="Times New Roman" w:eastAsia="仿宋_GB2312" w:cs="Times New Roman"/>
                <w:b/>
                <w:bCs w:val="0"/>
                <w:sz w:val="28"/>
                <w:szCs w:val="28"/>
                <w:lang w:val="en-US" w:eastAsia="zh-CN"/>
              </w:rPr>
            </w:pPr>
            <w:r>
              <w:rPr>
                <w:rFonts w:hint="default" w:ascii="Times New Roman" w:hAnsi="Times New Roman" w:eastAsia="仿宋_GB2312" w:cs="Times New Roman"/>
                <w:b/>
                <w:bCs w:val="0"/>
                <w:sz w:val="28"/>
                <w:szCs w:val="28"/>
              </w:rPr>
              <w:t>202</w:t>
            </w:r>
            <w:r>
              <w:rPr>
                <w:rFonts w:hint="default" w:ascii="Times New Roman" w:hAnsi="Times New Roman" w:eastAsia="仿宋_GB2312" w:cs="Times New Roman"/>
                <w:b/>
                <w:bCs w:val="0"/>
                <w:sz w:val="28"/>
                <w:szCs w:val="28"/>
                <w:lang w:val="en-US" w:eastAsia="zh-CN"/>
              </w:rPr>
              <w:t>5</w:t>
            </w:r>
            <w:r>
              <w:rPr>
                <w:rFonts w:hint="default" w:ascii="Times New Roman" w:hAnsi="Times New Roman" w:eastAsia="仿宋_GB2312" w:cs="Times New Roman"/>
                <w:b/>
                <w:bCs w:val="0"/>
                <w:sz w:val="28"/>
                <w:szCs w:val="28"/>
              </w:rPr>
              <w:t>年</w:t>
            </w:r>
            <w:r>
              <w:rPr>
                <w:rFonts w:hint="eastAsia" w:ascii="Times New Roman" w:hAnsi="Times New Roman" w:cs="Times New Roman"/>
                <w:b/>
                <w:bCs w:val="0"/>
                <w:sz w:val="28"/>
                <w:szCs w:val="28"/>
                <w:lang w:val="en-US" w:eastAsia="zh-CN"/>
              </w:rPr>
              <w:t>3</w:t>
            </w:r>
            <w:r>
              <w:rPr>
                <w:rFonts w:hint="default" w:ascii="Times New Roman" w:hAnsi="Times New Roman" w:eastAsia="仿宋_GB2312" w:cs="Times New Roman"/>
                <w:b/>
                <w:bCs w:val="0"/>
                <w:sz w:val="28"/>
                <w:szCs w:val="28"/>
              </w:rPr>
              <w:t>月</w:t>
            </w:r>
            <w:r>
              <w:rPr>
                <w:rFonts w:hint="eastAsia" w:ascii="Times New Roman" w:hAnsi="Times New Roman" w:cs="Times New Roman"/>
                <w:b/>
                <w:bCs w:val="0"/>
                <w:sz w:val="28"/>
                <w:szCs w:val="28"/>
                <w:lang w:val="en-US" w:eastAsia="zh-CN"/>
              </w:rPr>
              <w:t>21</w:t>
            </w:r>
            <w:r>
              <w:rPr>
                <w:rFonts w:hint="default" w:ascii="Times New Roman" w:hAnsi="Times New Roman" w:eastAsia="仿宋_GB2312" w:cs="Times New Roman"/>
                <w:b/>
                <w:bCs w:val="0"/>
                <w:sz w:val="28"/>
                <w:szCs w:val="28"/>
              </w:rPr>
              <w:t>日印</w:t>
            </w:r>
            <w:r>
              <w:rPr>
                <w:rFonts w:hint="eastAsia" w:ascii="Times New Roman" w:hAnsi="Times New Roman" w:cs="Times New Roman"/>
                <w:b/>
                <w:bCs w:val="0"/>
                <w:sz w:val="28"/>
                <w:szCs w:val="28"/>
                <w:lang w:val="en-US" w:eastAsia="zh-CN"/>
              </w:rPr>
              <w:t>发</w:t>
            </w:r>
            <w:r>
              <w:rPr>
                <w:rFonts w:hint="default" w:ascii="Times New Roman" w:hAnsi="Times New Roman" w:eastAsia="仿宋_GB2312" w:cs="Times New Roman"/>
                <w:b/>
                <w:bCs w:val="0"/>
                <w:sz w:val="28"/>
                <w:szCs w:val="28"/>
                <w:lang w:val="en-US" w:eastAsia="zh-CN"/>
              </w:rPr>
              <w:t xml:space="preserve">  </w:t>
            </w:r>
          </w:p>
        </w:tc>
      </w:tr>
    </w:tbl>
    <w:p w14:paraId="6D69E8B0">
      <w:pPr>
        <w:pStyle w:val="3"/>
        <w:rPr>
          <w:rFonts w:hint="default"/>
          <w:lang w:val="en-US" w:eastAsia="zh-CN"/>
        </w:rPr>
      </w:pPr>
    </w:p>
    <w:sectPr>
      <w:pgSz w:w="11906" w:h="16838"/>
      <w:pgMar w:top="2041" w:right="1587" w:bottom="1587" w:left="1587"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974B969-1E2B-4950-8586-7AEB99B839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630C4028-9CB6-4E75-B095-E50604D5E07C}"/>
  </w:font>
  <w:font w:name="文星标宋">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3" w:fontKey="{16C85FDA-5738-4F27-AA94-C25A598AAC85}"/>
  </w:font>
  <w:font w:name="文星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简体">
    <w:panose1 w:val="02000000000000000000"/>
    <w:charset w:val="86"/>
    <w:family w:val="auto"/>
    <w:pitch w:val="default"/>
    <w:sig w:usb0="A00002BF" w:usb1="184F6CFA" w:usb2="00000012" w:usb3="00000000" w:csb0="00040001" w:csb1="00000000"/>
    <w:embedRegular r:id="rId4" w:fontKey="{6427803E-2A58-4C6E-A6E3-A1439CDF17C0}"/>
  </w:font>
  <w:font w:name="创艺简标宋">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2C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D78A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2D78A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NjFlZjhlNjNiODdhMDg5NjgzN2FkOWE4ZDU1YTAifQ=="/>
  </w:docVars>
  <w:rsids>
    <w:rsidRoot w:val="F9B7A467"/>
    <w:rsid w:val="00AC66BC"/>
    <w:rsid w:val="031B5905"/>
    <w:rsid w:val="07C42DE1"/>
    <w:rsid w:val="07EE1224"/>
    <w:rsid w:val="09E1608B"/>
    <w:rsid w:val="0AC41E4E"/>
    <w:rsid w:val="0BE65DF4"/>
    <w:rsid w:val="0C265CFF"/>
    <w:rsid w:val="0C6D5725"/>
    <w:rsid w:val="0EF56F9C"/>
    <w:rsid w:val="0F3F5F47"/>
    <w:rsid w:val="109275A9"/>
    <w:rsid w:val="140E4395"/>
    <w:rsid w:val="154D55AF"/>
    <w:rsid w:val="158A7600"/>
    <w:rsid w:val="1596133F"/>
    <w:rsid w:val="15FD503E"/>
    <w:rsid w:val="16090AD0"/>
    <w:rsid w:val="16761466"/>
    <w:rsid w:val="1A7F78F5"/>
    <w:rsid w:val="1BEC3E6E"/>
    <w:rsid w:val="1D143544"/>
    <w:rsid w:val="1D446C23"/>
    <w:rsid w:val="1E2A7DC2"/>
    <w:rsid w:val="1E455538"/>
    <w:rsid w:val="1EDB0F6E"/>
    <w:rsid w:val="1F857E44"/>
    <w:rsid w:val="209B180C"/>
    <w:rsid w:val="21112ACF"/>
    <w:rsid w:val="213F275B"/>
    <w:rsid w:val="21CF315A"/>
    <w:rsid w:val="2200287F"/>
    <w:rsid w:val="228B27BC"/>
    <w:rsid w:val="2358620C"/>
    <w:rsid w:val="236D31F6"/>
    <w:rsid w:val="23B911FF"/>
    <w:rsid w:val="242207D1"/>
    <w:rsid w:val="24E160F2"/>
    <w:rsid w:val="27342997"/>
    <w:rsid w:val="28770012"/>
    <w:rsid w:val="2B5449A3"/>
    <w:rsid w:val="2BA7712F"/>
    <w:rsid w:val="2C41055E"/>
    <w:rsid w:val="3025311A"/>
    <w:rsid w:val="30E80B4C"/>
    <w:rsid w:val="32ED0451"/>
    <w:rsid w:val="33815784"/>
    <w:rsid w:val="339C4940"/>
    <w:rsid w:val="351238FE"/>
    <w:rsid w:val="36401AD9"/>
    <w:rsid w:val="36A209E6"/>
    <w:rsid w:val="39817AEE"/>
    <w:rsid w:val="3DDC06F2"/>
    <w:rsid w:val="3DFF7046"/>
    <w:rsid w:val="3E756A42"/>
    <w:rsid w:val="3EF73899"/>
    <w:rsid w:val="3F0F0BE2"/>
    <w:rsid w:val="40046DBC"/>
    <w:rsid w:val="40E61A7F"/>
    <w:rsid w:val="419B225C"/>
    <w:rsid w:val="427018CE"/>
    <w:rsid w:val="432D105D"/>
    <w:rsid w:val="436314FD"/>
    <w:rsid w:val="44AE49FA"/>
    <w:rsid w:val="45D6693D"/>
    <w:rsid w:val="48877A3B"/>
    <w:rsid w:val="48B25D55"/>
    <w:rsid w:val="490414C5"/>
    <w:rsid w:val="4A1B668D"/>
    <w:rsid w:val="4BD905AE"/>
    <w:rsid w:val="4EEF1E97"/>
    <w:rsid w:val="4EF41C97"/>
    <w:rsid w:val="5002463C"/>
    <w:rsid w:val="50520203"/>
    <w:rsid w:val="51F577C4"/>
    <w:rsid w:val="51F83758"/>
    <w:rsid w:val="521C24C4"/>
    <w:rsid w:val="53342F91"/>
    <w:rsid w:val="564341CB"/>
    <w:rsid w:val="56501BA9"/>
    <w:rsid w:val="565A059D"/>
    <w:rsid w:val="5680188B"/>
    <w:rsid w:val="56FB1D20"/>
    <w:rsid w:val="57177542"/>
    <w:rsid w:val="57EC7A15"/>
    <w:rsid w:val="59B60492"/>
    <w:rsid w:val="5A326610"/>
    <w:rsid w:val="5B697869"/>
    <w:rsid w:val="5BC03773"/>
    <w:rsid w:val="5CC46711"/>
    <w:rsid w:val="5D6355A7"/>
    <w:rsid w:val="600C7661"/>
    <w:rsid w:val="61374522"/>
    <w:rsid w:val="62D21717"/>
    <w:rsid w:val="6524176C"/>
    <w:rsid w:val="65303FCB"/>
    <w:rsid w:val="65C97E78"/>
    <w:rsid w:val="67334BBF"/>
    <w:rsid w:val="684E2815"/>
    <w:rsid w:val="6BFE4E4C"/>
    <w:rsid w:val="6C1A5A30"/>
    <w:rsid w:val="6D8E30BF"/>
    <w:rsid w:val="6F3465D4"/>
    <w:rsid w:val="6F8E1B1E"/>
    <w:rsid w:val="700A37A4"/>
    <w:rsid w:val="70BD374B"/>
    <w:rsid w:val="713629FE"/>
    <w:rsid w:val="72347346"/>
    <w:rsid w:val="72CB0A5A"/>
    <w:rsid w:val="73D61E19"/>
    <w:rsid w:val="74CA4688"/>
    <w:rsid w:val="78AC2F39"/>
    <w:rsid w:val="79034C97"/>
    <w:rsid w:val="7AB7338F"/>
    <w:rsid w:val="7AC21E17"/>
    <w:rsid w:val="7BA7127F"/>
    <w:rsid w:val="7C5034A2"/>
    <w:rsid w:val="7DBB2757"/>
    <w:rsid w:val="7F6C2140"/>
    <w:rsid w:val="7FBD59D9"/>
    <w:rsid w:val="F9B7A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Indent"/>
    <w:basedOn w:val="1"/>
    <w:next w:val="3"/>
    <w:qFormat/>
    <w:uiPriority w:val="0"/>
    <w:pPr>
      <w:spacing w:after="120"/>
      <w:ind w:left="420" w:leftChars="200"/>
    </w:pPr>
    <w:rPr>
      <w:rFonts w:ascii="Times New Roman" w:hAnsi="Times New Roman" w:eastAsia="宋体" w:cs="Times New Roman"/>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line="640" w:lineRule="exact"/>
      <w:ind w:firstLine="705"/>
    </w:pPr>
    <w:rPr>
      <w:rFonts w:ascii="仿宋_GB2312" w:eastAsia="仿宋_GB2312"/>
      <w:color w:val="000000"/>
      <w:sz w:val="36"/>
      <w:szCs w:val="36"/>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next w:val="1"/>
    <w:qFormat/>
    <w:uiPriority w:val="0"/>
    <w:pPr>
      <w:spacing w:after="0"/>
      <w:ind w:left="0" w:leftChars="0" w:firstLine="420" w:firstLineChars="200"/>
    </w:pPr>
    <w:rPr>
      <w:rFonts w:ascii="仿宋_GB2312" w:hAnsi="创艺简标宋" w:eastAsia="仿宋_GB2312" w:cs="仿宋_GB2312"/>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page number"/>
    <w:basedOn w:val="12"/>
    <w:qFormat/>
    <w:uiPriority w:val="0"/>
  </w:style>
  <w:style w:type="character" w:styleId="15">
    <w:name w:val="Emphasis"/>
    <w:basedOn w:val="12"/>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5347</Words>
  <Characters>5470</Characters>
  <Lines>0</Lines>
  <Paragraphs>0</Paragraphs>
  <TotalTime>0</TotalTime>
  <ScaleCrop>false</ScaleCrop>
  <LinksUpToDate>false</LinksUpToDate>
  <CharactersWithSpaces>5528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2023-04-02T21:22:00Z</dcterms:created>
  <dc:creator>WPS_1520698171</dc:creator>
  <cp:lastModifiedBy>⑨</cp:lastModifiedBy>
  <cp:lastPrinted>2025-04-21T03:30:00Z</cp:lastPrinted>
  <dcterms:modified xsi:type="dcterms:W3CDTF">2025-04-21T07:29:22Z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78AA0E383A5F4BFFAD3F542E81D6B043</vt:lpwstr>
  </property>
  <property fmtid="{D5CDD505-2E9C-101B-9397-08002B2CF9AE}" pid="4" name="KSOTemplateDocerSaveRecord">
    <vt:lpwstr>eyJoZGlkIjoiOTc1MGZhYmViYTEzOWM4NjcyNjc0YTZiMjljMWNmZjgiLCJ1c2VySWQiOiIyMjkwMjAwNDMifQ==</vt:lpwstr>
  </property>
</Properties>
</file>