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/>
    <w:p>
      <w:pPr>
        <w:ind w:firstLine="321" w:firstLineChars="1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济民航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号</w:t>
      </w:r>
    </w:p>
    <w:p>
      <w:pPr>
        <w:ind w:firstLine="320" w:firstLineChars="100"/>
        <w:jc w:val="left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eastAsia" w:ascii="方正大标宋简体" w:eastAsia="方正大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济宁市民航事业发展中心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2022年法治民航建设工作方案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》的通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/>
        <w:tabs>
          <w:tab w:val="left" w:pos="5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7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济宁曲阜机场有限公司、中心各科室：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现将《市民航事业发展中心2022年法治民航建设工作方案》印发给你们，请认真组织落实。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 w:firstLine="4498" w:firstLineChars="14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济宁市民航事业发展中心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left="0" w:leftChars="0" w:right="0" w:rightChars="0" w:firstLine="5140" w:firstLineChars="1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2022年3月17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日</w:t>
      </w:r>
    </w:p>
    <w:p>
      <w:pPr>
        <w:pStyle w:val="7"/>
        <w:ind w:firstLine="321" w:firstLineChars="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(主动公开）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市民航事业发展中心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325" w:firstLineChars="3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2022年法治民航建设工作方案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</w:pPr>
      <w:r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  <w:t>2022年是党的二十大召开之年，是实施“十四五”规划的深化之年，也是实施“八五”普法规划关键之年。为深入贯彻落实中央和省、市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关于法治政府建设决策部署，全力推进民航法治建设，制定工作方案如下：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color w:val="auto"/>
          <w:sz w:val="21"/>
          <w:szCs w:val="21"/>
        </w:rPr>
      </w:pPr>
      <w:r>
        <w:rPr>
          <w:rStyle w:val="16"/>
          <w:rFonts w:ascii="方正黑体简体" w:hAnsi="方正黑体简体" w:eastAsia="方正黑体简体" w:cs="方正黑体简体"/>
          <w:b/>
          <w:color w:val="auto"/>
          <w:sz w:val="31"/>
          <w:szCs w:val="31"/>
        </w:rPr>
        <w:t>一、任务目标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</w:pPr>
      <w:r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  <w:t>深入贯彻习近平法治思想，紧紧围绕全面依法治市总目标，以创建促提升，以示范带发展，纵深推进法治民航建设，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加快构建职责明确、依法行政的民航治理体系，全面建设职能科学、权责法定、公开公正、智能高效、廉洁诚信、人民满意的法治民航，为全市经济社会发展提供有力的民航服务保障。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ascii="方正黑体简体" w:hAnsi="方正黑体简体" w:eastAsia="方正黑体简体" w:cs="方正黑体简体"/>
          <w:b/>
          <w:color w:val="auto"/>
          <w:sz w:val="31"/>
          <w:szCs w:val="31"/>
        </w:rPr>
      </w:pPr>
      <w:r>
        <w:rPr>
          <w:rStyle w:val="16"/>
          <w:rFonts w:ascii="方正黑体简体" w:hAnsi="方正黑体简体" w:eastAsia="方正黑体简体" w:cs="方正黑体简体"/>
          <w:b/>
          <w:color w:val="auto"/>
          <w:sz w:val="31"/>
          <w:szCs w:val="31"/>
        </w:rPr>
        <w:t>重点任务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强化法治建设组织领导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22" w:firstLineChars="200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</w:pP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1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.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深入学习贯彻习近平法治思想。建立健全领导干部常态化学法制度，不断提高运用法治思维和法治方式的能力，通过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理论学习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、集中培训、庭审旁听、网络学法、个人自学等多种形式，系统学习习近平法治思想，深刻领会丰富内涵、精准把握核心要义，学深悟透、融会贯通，着力提升法治素养和依法行政能力水平。年度至少安排4次领导班子法治专题学习，至少开展1次领导班子成员及工作人员旁听人民法院庭审活动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val="en-US" w:eastAsia="zh-CN"/>
        </w:rPr>
      </w:pP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val="en-US" w:eastAsia="zh-CN"/>
        </w:rPr>
        <w:t>2.不断加强党对法治建设工作领导。全面贯彻落实《党政主要负责人履行推进法治建设第一责任人职责规定》，中心主要负责人履行推进法治建设第一责任人职责，确保重要工作亲自部署、重大问题亲自过问、重点环节亲自协调、重要案件亲自督办，通过制定年度工作要点，定期听取法治建设工作汇报，及时研究解决法治建设中的重大问题，切实把党的领导真正贯彻落实到安全生产、应急救援工作全过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（二）依法履职提升服务效能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3.持续优化法治化营商环境。</w:t>
      </w:r>
      <w:r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  <w:t>全面推行清单管理制度，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修订</w:t>
      </w:r>
      <w:r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  <w:t>并公开民航权责事项清单、公共服务事项清单、证明事项清单等并动态调整。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落实《优化营商环境条例》，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组织机场公司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优化航线质量，提升服务质量，为企业、群众提供更加规范、公平、快捷、优质的民航出行环境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，</w:t>
      </w:r>
      <w:r>
        <w:rPr>
          <w:rStyle w:val="16"/>
          <w:rFonts w:ascii="方正仿宋简体" w:hAnsi="方正仿宋简体" w:eastAsia="方正仿宋简体" w:cs="方正仿宋简体"/>
          <w:b/>
          <w:color w:val="auto"/>
          <w:sz w:val="31"/>
          <w:szCs w:val="31"/>
        </w:rPr>
        <w:t>持续优化民航法治化营商环境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4.服务“放管服”改革。着力服务保障“六稳”“六保”，配合上级业务管理部门，提高办事效率，助推“一件事一次办”改革，优化审批事项办理流程，提高即办件占比，方便企业群众办事。加强与有关部门的信息共享和协调合作，实现信息互联、数据共享，运用“互联网＋政务服务”模式，为企业和乘客提供便捷高效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依法规范行政决策行为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22" w:firstLineChars="200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5.依法依规制定规范性文件。严格执行行政规范性文件制定程序，规范审核流程，严格审核标准，强化审核责任，提升规范性文件质量。牵头起草《济宁大安机场净空和电磁环境保护管理规定》，认真做好征求意见、审查审核，7月底前提交市政府常务会议研究，发布后及时做好解读、执行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2" w:firstLineChars="200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6.健全完善重大行政决策机制。建立健全行政决策的各项制度，严格落实重大行政决策程序，实施重大行政决策终身责任追究制度和责任倒查机制；严格落实“三重一大”决策制度主体责任，坚持“三重一大”事项集体讨论决定，充分发扬民主，自觉接受监督；认真配合开展上级民航部门和交通运输部门“谁执法谁普法”工作，努力提高乘客和民航干部职工文明素养和尊法、学法、守法、用法的自觉性；依托政府法制机构和机场公司法律顾问，对重大政府投资、重大项目采购、重大合同签订等事关经济社会发展全局的决策事项，严格决策合法性前置审查。自觉接受强化风险防控，避免法律漏洞，切实增强决策的科学性、民主性、合法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16"/>
          <w:rFonts w:hint="default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7.健全完善权力制约和监督。突出对权力的党内监督的主导地位。自觉接收人大监督、民主监督、行政监督、监察监督、司法监督、群众监督、舆论监督。全面落实政务公开。认真贯彻国务院《政府信息公开条例》和省、市实施办法，依托网站、微信公众号，全面公开政务信息，做到决策公开、执行公开、管理公开、服务公开、结果公开，接受社会监督。提升政府信息公开申请办理工作质量。推进政府和公共服务机构数据开放共享。推进政务诚信建设。落实政务失信记录制度，加大失信惩戒力度，治理民航领域失信行为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8.完善法治民航建设推进机制。加强党对法治民航建设的领导。中心党支部履行推进法治建设领导职责，主要负责人履行推进法治政府建设第一责任人职责。将法治建设纳入重要议事日程，列入年度重点工作计划，定期深入学习贯彻习近平法治思想，研究推进落实情况。加强依法行政意识和能力。建立民航工作人员应知应会法律法规清单，把民法典作为决策、管理、服务的重要标尺。法治教育纳入中心和机场工作人员入职培训、年度教育、晋职提拔的必训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left="0" w:leftChars="0" w:firstLine="62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四）大力开展法治宣传教育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16"/>
          <w:rFonts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9.加强宪法学习，增强宪法意识。以现行宪法颁布施行40周年为契机，切实加强宪法学习宣传教育，弘扬宪法精神、普及宪法知识，为加强宪法实施和监督营造良好氛围。深化“12·4”国家宪法日和“宪法宣传周”集中宣传活动，切实增强民航公职人员宪法观念，以宪法精神凝心聚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10.继续开展民法典学习宣传。发挥好民航窗口作用，把民法典纳入学习宣传重点，通过机场大屏、宣传栏常态化开展民法典公益广告、优质普法短视频宣传。积极组织或参加民法典专题学习和知识竞赛等，推动民法典走进乘客、干部职工身边、心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Style w:val="16"/>
          <w:rFonts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>11.持续学习宣传党内法规和与民航业相关的法律法规，深入学习宣传党内法规，以党章、准则、条例等为重点，注重党内法规宣传同国家法律宣传的衔接协调，促进党内法规学习宣传常态化、制度化。加强事关民航高质量发展、事关人民群众生命财产安全的等法律法规的学习宣传。二十大胜利召开后，迅速通过专题学习班、“三会一课”、网络培训学习等方式开展集中学习贯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16"/>
          <w:rFonts w:hint="default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</w:pPr>
      <w:r>
        <w:rPr>
          <w:rStyle w:val="16"/>
          <w:rFonts w:hint="eastAsia" w:ascii="方正仿宋简体" w:hAnsi="方正仿宋简体" w:eastAsia="方正仿宋简体" w:cs="方正仿宋简体"/>
          <w:color w:val="auto"/>
          <w:kern w:val="0"/>
          <w:sz w:val="31"/>
          <w:szCs w:val="31"/>
          <w:lang w:val="en-US" w:eastAsia="zh-CN" w:bidi="ar-SA"/>
        </w:rPr>
        <w:t xml:space="preserve">12.持续开展“扫黑除恶斗争”“预防电信网络诈骗”“未成年人保护”“乡村振兴”和禁毒“大扫除”等法治宣传教育专项活动。“4·15”全民国家安全教育日、“安全生产月”“6·26”禁毒日、“全民国防教育日”“国家网络安全宣传周”“11·9”全国消防安全日、“12·2”全国交通安全日等重要时间节点在机场开展主题法治宣传教育。营造浓厚法治氛围，保障改善民生，服务社会和谐稳定。 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color w:val="auto"/>
        </w:rPr>
      </w:pPr>
      <w:r>
        <w:rPr>
          <w:rStyle w:val="16"/>
          <w:rFonts w:hint="eastAsia" w:ascii="仿宋" w:hAnsi="仿宋" w:eastAsia="仿宋" w:cs="仿宋"/>
          <w:b/>
          <w:color w:val="auto"/>
          <w:sz w:val="31"/>
          <w:szCs w:val="31"/>
        </w:rPr>
        <w:t> </w:t>
      </w:r>
      <w:r>
        <w:rPr>
          <w:rStyle w:val="16"/>
          <w:rFonts w:hint="eastAsia" w:ascii="方正黑体简体" w:hAnsi="方正黑体简体" w:eastAsia="方正黑体简体" w:cs="方正黑体简体"/>
          <w:b/>
          <w:color w:val="auto"/>
          <w:sz w:val="31"/>
          <w:szCs w:val="31"/>
        </w:rPr>
        <w:t>     </w:t>
      </w:r>
      <w:r>
        <w:rPr>
          <w:rStyle w:val="16"/>
          <w:rFonts w:hint="eastAsia" w:ascii="方正黑体简体" w:hAnsi="方正黑体简体" w:eastAsia="方正黑体简体" w:cs="方正黑体简体"/>
          <w:b/>
          <w:color w:val="auto"/>
          <w:sz w:val="31"/>
          <w:szCs w:val="31"/>
          <w:lang w:eastAsia="zh-CN"/>
        </w:rPr>
        <w:t>三</w:t>
      </w:r>
      <w:r>
        <w:rPr>
          <w:rStyle w:val="16"/>
          <w:rFonts w:hint="eastAsia" w:ascii="方正黑体简体" w:hAnsi="方正黑体简体" w:eastAsia="方正黑体简体" w:cs="方正黑体简体"/>
          <w:b/>
          <w:color w:val="auto"/>
          <w:sz w:val="31"/>
          <w:szCs w:val="31"/>
        </w:rPr>
        <w:t>、保障措施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eastAsia="方正仿宋简体"/>
          <w:color w:val="auto"/>
          <w:lang w:eastAsia="zh-CN"/>
        </w:rPr>
      </w:pPr>
      <w:r>
        <w:rPr>
          <w:rStyle w:val="16"/>
          <w:rFonts w:hint="eastAsia" w:ascii="仿宋" w:hAnsi="仿宋" w:eastAsia="仿宋" w:cs="仿宋"/>
          <w:b/>
          <w:color w:val="auto"/>
          <w:sz w:val="31"/>
          <w:szCs w:val="31"/>
        </w:rPr>
        <w:t>   </w:t>
      </w:r>
      <w:r>
        <w:rPr>
          <w:rStyle w:val="16"/>
          <w:rFonts w:hint="eastAsia" w:ascii="仿宋" w:hAnsi="仿宋" w:eastAsia="仿宋" w:cs="仿宋"/>
          <w:b/>
          <w:color w:val="auto"/>
          <w:sz w:val="31"/>
          <w:szCs w:val="31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（一）加强组织领导，强化思想认识。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加快推进法治民航建设，任务艰巨、责任重大。民航全体干部职工要切实提高政治站位，坚持把法治民航建设摆上重要议事日程，形成一把手亲自抓，分管领导具体抓，中心各科室和机场公司依法履职、规范服务、密切配合抓落实的工作机制。中心成立主要负责人任组长、分管负责人任副组长、机场公司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中心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有关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科室负责人为成员的法治民航建设领导小组具体推进落实各项工作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，全面提高民航普法依法治理能力。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</w:pP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   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（二）强化工作责任，狠抓任务落实。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机场公司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中心各科室要对照标准要求，逐项逐条分析查找存在的突出问题和工作短板，研究提出改进工作的具体措施和办法，边查找补齐工作短板，边总结提升工作标准，边营造浓厚创建氛围，加快提升民航法治政府建设水平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   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（三）强化工作实效，建立长效机制。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要把法治建设作为一项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基础性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的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重要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工作长期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抓落实、保实效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，与民航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其他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重点工作同安排、同部署、同检查、同考核，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  <w:lang w:eastAsia="zh-CN"/>
        </w:rPr>
        <w:t>不断完善落实措施、不断强化督导考核办法，</w:t>
      </w:r>
      <w:r>
        <w:rPr>
          <w:rStyle w:val="16"/>
          <w:rFonts w:hint="eastAsia" w:ascii="方正仿宋简体" w:hAnsi="方正仿宋简体" w:eastAsia="方正仿宋简体" w:cs="方正仿宋简体"/>
          <w:b/>
          <w:color w:val="auto"/>
          <w:sz w:val="31"/>
          <w:szCs w:val="31"/>
        </w:rPr>
        <w:t>形成工作的长效机制。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544E"/>
    <w:multiLevelType w:val="singleLevel"/>
    <w:tmpl w:val="810D54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  <w:b w:val="0"/>
        <w:i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27690"/>
    <w:rsid w:val="00050986"/>
    <w:rsid w:val="00056365"/>
    <w:rsid w:val="000606EE"/>
    <w:rsid w:val="00076676"/>
    <w:rsid w:val="000D088C"/>
    <w:rsid w:val="000D3440"/>
    <w:rsid w:val="000F0E20"/>
    <w:rsid w:val="000F2F68"/>
    <w:rsid w:val="00156EB9"/>
    <w:rsid w:val="00186B97"/>
    <w:rsid w:val="001A555B"/>
    <w:rsid w:val="00246F2A"/>
    <w:rsid w:val="0025594E"/>
    <w:rsid w:val="00270089"/>
    <w:rsid w:val="002722F5"/>
    <w:rsid w:val="002800B6"/>
    <w:rsid w:val="0028377C"/>
    <w:rsid w:val="002B6C84"/>
    <w:rsid w:val="002C211C"/>
    <w:rsid w:val="00315089"/>
    <w:rsid w:val="00365629"/>
    <w:rsid w:val="0036578F"/>
    <w:rsid w:val="003B2C0A"/>
    <w:rsid w:val="003C7D01"/>
    <w:rsid w:val="003F03BC"/>
    <w:rsid w:val="003F67C4"/>
    <w:rsid w:val="0041522D"/>
    <w:rsid w:val="00415831"/>
    <w:rsid w:val="00416136"/>
    <w:rsid w:val="004863FB"/>
    <w:rsid w:val="004A06E1"/>
    <w:rsid w:val="004D38C9"/>
    <w:rsid w:val="00501640"/>
    <w:rsid w:val="00525BAD"/>
    <w:rsid w:val="00571092"/>
    <w:rsid w:val="005C2019"/>
    <w:rsid w:val="00600BB0"/>
    <w:rsid w:val="006269FC"/>
    <w:rsid w:val="00676895"/>
    <w:rsid w:val="0068568F"/>
    <w:rsid w:val="006C005C"/>
    <w:rsid w:val="006D441C"/>
    <w:rsid w:val="006D7A60"/>
    <w:rsid w:val="006F0DA9"/>
    <w:rsid w:val="006F11CE"/>
    <w:rsid w:val="006F3960"/>
    <w:rsid w:val="00786F71"/>
    <w:rsid w:val="007A0ED9"/>
    <w:rsid w:val="007D435D"/>
    <w:rsid w:val="007E04DF"/>
    <w:rsid w:val="007F023B"/>
    <w:rsid w:val="007F1D25"/>
    <w:rsid w:val="0080234C"/>
    <w:rsid w:val="00822BA4"/>
    <w:rsid w:val="00823A21"/>
    <w:rsid w:val="008B5449"/>
    <w:rsid w:val="008C2807"/>
    <w:rsid w:val="008D24C8"/>
    <w:rsid w:val="0091446C"/>
    <w:rsid w:val="00915A78"/>
    <w:rsid w:val="009753B3"/>
    <w:rsid w:val="009D6DE9"/>
    <w:rsid w:val="009E27C9"/>
    <w:rsid w:val="009F19C7"/>
    <w:rsid w:val="00A061DD"/>
    <w:rsid w:val="00A16684"/>
    <w:rsid w:val="00A458C1"/>
    <w:rsid w:val="00A710DA"/>
    <w:rsid w:val="00A77708"/>
    <w:rsid w:val="00A956A1"/>
    <w:rsid w:val="00AC0648"/>
    <w:rsid w:val="00AD67E4"/>
    <w:rsid w:val="00AF2993"/>
    <w:rsid w:val="00AF5A86"/>
    <w:rsid w:val="00B0526C"/>
    <w:rsid w:val="00B063FC"/>
    <w:rsid w:val="00B07284"/>
    <w:rsid w:val="00B16672"/>
    <w:rsid w:val="00B615C9"/>
    <w:rsid w:val="00B61C7A"/>
    <w:rsid w:val="00BA0A3D"/>
    <w:rsid w:val="00BE6A50"/>
    <w:rsid w:val="00C44C89"/>
    <w:rsid w:val="00C86F4B"/>
    <w:rsid w:val="00CB16EB"/>
    <w:rsid w:val="00CC6084"/>
    <w:rsid w:val="00D77145"/>
    <w:rsid w:val="00DA3E54"/>
    <w:rsid w:val="00DC1B35"/>
    <w:rsid w:val="00DD3E09"/>
    <w:rsid w:val="00DE3ECE"/>
    <w:rsid w:val="00E00FC2"/>
    <w:rsid w:val="00E5409D"/>
    <w:rsid w:val="00E57C0A"/>
    <w:rsid w:val="00E63A58"/>
    <w:rsid w:val="00EA214E"/>
    <w:rsid w:val="00ED2356"/>
    <w:rsid w:val="00F11670"/>
    <w:rsid w:val="00F2170B"/>
    <w:rsid w:val="00F52597"/>
    <w:rsid w:val="00F76EA2"/>
    <w:rsid w:val="00F836EB"/>
    <w:rsid w:val="00F97BB0"/>
    <w:rsid w:val="00FB5ECE"/>
    <w:rsid w:val="00FD39DC"/>
    <w:rsid w:val="015D535B"/>
    <w:rsid w:val="01C00A77"/>
    <w:rsid w:val="02732333"/>
    <w:rsid w:val="02B61572"/>
    <w:rsid w:val="02CC7C2D"/>
    <w:rsid w:val="03770A53"/>
    <w:rsid w:val="03A657A7"/>
    <w:rsid w:val="03ED1A9B"/>
    <w:rsid w:val="049B204D"/>
    <w:rsid w:val="0603393A"/>
    <w:rsid w:val="06BC1E18"/>
    <w:rsid w:val="082253DC"/>
    <w:rsid w:val="08E507E0"/>
    <w:rsid w:val="08E847D0"/>
    <w:rsid w:val="09EF4A0E"/>
    <w:rsid w:val="0A605186"/>
    <w:rsid w:val="0A73322C"/>
    <w:rsid w:val="0B733816"/>
    <w:rsid w:val="0B8D5027"/>
    <w:rsid w:val="0C0F1B9F"/>
    <w:rsid w:val="0CF526B6"/>
    <w:rsid w:val="0DE508B8"/>
    <w:rsid w:val="0E433B44"/>
    <w:rsid w:val="0E807329"/>
    <w:rsid w:val="0EAB7F82"/>
    <w:rsid w:val="0EB60C1F"/>
    <w:rsid w:val="0EC94076"/>
    <w:rsid w:val="0ED45114"/>
    <w:rsid w:val="0F4A6001"/>
    <w:rsid w:val="10A1599C"/>
    <w:rsid w:val="119D3CEE"/>
    <w:rsid w:val="11E0548D"/>
    <w:rsid w:val="142D0CBD"/>
    <w:rsid w:val="14373D23"/>
    <w:rsid w:val="1463538B"/>
    <w:rsid w:val="14717AB4"/>
    <w:rsid w:val="153411C2"/>
    <w:rsid w:val="16950E1C"/>
    <w:rsid w:val="16CD6319"/>
    <w:rsid w:val="16E154E6"/>
    <w:rsid w:val="16E475DF"/>
    <w:rsid w:val="17282E8C"/>
    <w:rsid w:val="18603D22"/>
    <w:rsid w:val="1B175993"/>
    <w:rsid w:val="1BB52EA2"/>
    <w:rsid w:val="1C550664"/>
    <w:rsid w:val="1CAE64E1"/>
    <w:rsid w:val="1CDF4190"/>
    <w:rsid w:val="1D064A21"/>
    <w:rsid w:val="1D6F38CA"/>
    <w:rsid w:val="1F290771"/>
    <w:rsid w:val="1F9C1AC3"/>
    <w:rsid w:val="20127A8A"/>
    <w:rsid w:val="2024566B"/>
    <w:rsid w:val="202F4D8A"/>
    <w:rsid w:val="20363F8C"/>
    <w:rsid w:val="203D3191"/>
    <w:rsid w:val="23692F84"/>
    <w:rsid w:val="23F86006"/>
    <w:rsid w:val="24353EF0"/>
    <w:rsid w:val="24927AF6"/>
    <w:rsid w:val="24C861FE"/>
    <w:rsid w:val="265B7E73"/>
    <w:rsid w:val="27035039"/>
    <w:rsid w:val="27C07A58"/>
    <w:rsid w:val="28362BF0"/>
    <w:rsid w:val="295E2E86"/>
    <w:rsid w:val="2A695023"/>
    <w:rsid w:val="2B452F8C"/>
    <w:rsid w:val="2B7C2DCC"/>
    <w:rsid w:val="2BB737F1"/>
    <w:rsid w:val="2BDE1789"/>
    <w:rsid w:val="2C1A3AAC"/>
    <w:rsid w:val="2C5F3513"/>
    <w:rsid w:val="2CE43533"/>
    <w:rsid w:val="2D070E6D"/>
    <w:rsid w:val="2D9142FF"/>
    <w:rsid w:val="2D9A14E4"/>
    <w:rsid w:val="2DDB48AF"/>
    <w:rsid w:val="2E0A5EA6"/>
    <w:rsid w:val="2E153666"/>
    <w:rsid w:val="2E6300B5"/>
    <w:rsid w:val="2E6A0A09"/>
    <w:rsid w:val="2EDC7166"/>
    <w:rsid w:val="2F1B410B"/>
    <w:rsid w:val="2F836CDD"/>
    <w:rsid w:val="2FBD6DD4"/>
    <w:rsid w:val="30F04650"/>
    <w:rsid w:val="30FF270E"/>
    <w:rsid w:val="31BF427F"/>
    <w:rsid w:val="33506A40"/>
    <w:rsid w:val="33760807"/>
    <w:rsid w:val="34DE0A2F"/>
    <w:rsid w:val="34E20BC9"/>
    <w:rsid w:val="350A5566"/>
    <w:rsid w:val="35714CB8"/>
    <w:rsid w:val="35B470E6"/>
    <w:rsid w:val="3611425C"/>
    <w:rsid w:val="36CC3934"/>
    <w:rsid w:val="37261B28"/>
    <w:rsid w:val="37614B7B"/>
    <w:rsid w:val="37BC486B"/>
    <w:rsid w:val="37C77366"/>
    <w:rsid w:val="39903F1F"/>
    <w:rsid w:val="39AB355B"/>
    <w:rsid w:val="39EA15A5"/>
    <w:rsid w:val="3A495B16"/>
    <w:rsid w:val="3B483FED"/>
    <w:rsid w:val="3B7E0F86"/>
    <w:rsid w:val="3D3C621F"/>
    <w:rsid w:val="3D6A12DA"/>
    <w:rsid w:val="3E0670B9"/>
    <w:rsid w:val="3E1B545F"/>
    <w:rsid w:val="3E25569F"/>
    <w:rsid w:val="3E2A13D3"/>
    <w:rsid w:val="3F49640F"/>
    <w:rsid w:val="40C559CA"/>
    <w:rsid w:val="417C1493"/>
    <w:rsid w:val="42A83D0E"/>
    <w:rsid w:val="42B102F2"/>
    <w:rsid w:val="43D17063"/>
    <w:rsid w:val="44261787"/>
    <w:rsid w:val="442C384E"/>
    <w:rsid w:val="45B24749"/>
    <w:rsid w:val="463A1540"/>
    <w:rsid w:val="46CA183B"/>
    <w:rsid w:val="47E81A6D"/>
    <w:rsid w:val="4A1E1D8D"/>
    <w:rsid w:val="4A8F73F5"/>
    <w:rsid w:val="4B0B6A32"/>
    <w:rsid w:val="4B406DF1"/>
    <w:rsid w:val="4CFE0659"/>
    <w:rsid w:val="4D0D44E6"/>
    <w:rsid w:val="4DFF4291"/>
    <w:rsid w:val="4EB4447A"/>
    <w:rsid w:val="4F0F525E"/>
    <w:rsid w:val="4F307B45"/>
    <w:rsid w:val="50E572BD"/>
    <w:rsid w:val="52540645"/>
    <w:rsid w:val="52A25336"/>
    <w:rsid w:val="52E93CA2"/>
    <w:rsid w:val="52EF2D6C"/>
    <w:rsid w:val="53A00805"/>
    <w:rsid w:val="54255485"/>
    <w:rsid w:val="54940D5C"/>
    <w:rsid w:val="550D0BEC"/>
    <w:rsid w:val="55103E9F"/>
    <w:rsid w:val="55A87F2C"/>
    <w:rsid w:val="589637BD"/>
    <w:rsid w:val="58FD48BE"/>
    <w:rsid w:val="596F05C9"/>
    <w:rsid w:val="5A864BD6"/>
    <w:rsid w:val="5B013355"/>
    <w:rsid w:val="5B1F5BE1"/>
    <w:rsid w:val="5BA35F04"/>
    <w:rsid w:val="5C431DCB"/>
    <w:rsid w:val="5D541B80"/>
    <w:rsid w:val="5DA16596"/>
    <w:rsid w:val="5DB263C1"/>
    <w:rsid w:val="613E460E"/>
    <w:rsid w:val="616B00AA"/>
    <w:rsid w:val="61824CE7"/>
    <w:rsid w:val="62D40E04"/>
    <w:rsid w:val="631A2CFD"/>
    <w:rsid w:val="636B08DA"/>
    <w:rsid w:val="63AD58AF"/>
    <w:rsid w:val="64431DBD"/>
    <w:rsid w:val="645056B2"/>
    <w:rsid w:val="647210A0"/>
    <w:rsid w:val="65FF41A4"/>
    <w:rsid w:val="67475536"/>
    <w:rsid w:val="67A40FE5"/>
    <w:rsid w:val="680442E3"/>
    <w:rsid w:val="684E4CDD"/>
    <w:rsid w:val="68525C57"/>
    <w:rsid w:val="687D5227"/>
    <w:rsid w:val="68962C94"/>
    <w:rsid w:val="68B220E1"/>
    <w:rsid w:val="68CC3ADF"/>
    <w:rsid w:val="68D84AC7"/>
    <w:rsid w:val="690E6946"/>
    <w:rsid w:val="69F7AA47"/>
    <w:rsid w:val="6D1434C4"/>
    <w:rsid w:val="70D25D76"/>
    <w:rsid w:val="71156BF5"/>
    <w:rsid w:val="71FB2F99"/>
    <w:rsid w:val="72156AE2"/>
    <w:rsid w:val="72647B0B"/>
    <w:rsid w:val="72840573"/>
    <w:rsid w:val="72B80690"/>
    <w:rsid w:val="72FC4BD5"/>
    <w:rsid w:val="74AB21CE"/>
    <w:rsid w:val="74FD7D8B"/>
    <w:rsid w:val="75270345"/>
    <w:rsid w:val="75E752FA"/>
    <w:rsid w:val="76025FB6"/>
    <w:rsid w:val="76CB15FA"/>
    <w:rsid w:val="786B4635"/>
    <w:rsid w:val="787F399B"/>
    <w:rsid w:val="788E538D"/>
    <w:rsid w:val="78D25C0A"/>
    <w:rsid w:val="795E76A7"/>
    <w:rsid w:val="797ED590"/>
    <w:rsid w:val="79B27720"/>
    <w:rsid w:val="7B4C33AD"/>
    <w:rsid w:val="7BA04488"/>
    <w:rsid w:val="7C0A3581"/>
    <w:rsid w:val="7C873272"/>
    <w:rsid w:val="7CB40E3C"/>
    <w:rsid w:val="7CF702D2"/>
    <w:rsid w:val="7D9F7F7C"/>
    <w:rsid w:val="7DAE506B"/>
    <w:rsid w:val="7DC13D15"/>
    <w:rsid w:val="7E092507"/>
    <w:rsid w:val="7E7304EF"/>
    <w:rsid w:val="7EDD3C07"/>
    <w:rsid w:val="7F88535D"/>
    <w:rsid w:val="7F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黑体" w:hAnsi="宋体" w:eastAsia="黑体"/>
      <w:bCs/>
      <w:kern w:val="44"/>
      <w:sz w:val="21"/>
      <w:szCs w:val="21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3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Body Text Indent"/>
    <w:basedOn w:val="1"/>
    <w:next w:val="4"/>
    <w:link w:val="2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8">
    <w:name w:val="Plain Text"/>
    <w:basedOn w:val="1"/>
    <w:qFormat/>
    <w:uiPriority w:val="0"/>
    <w:pPr>
      <w:widowControl w:val="0"/>
      <w:jc w:val="both"/>
    </w:pPr>
    <w:rPr>
      <w:rFonts w:hint="default" w:ascii="Calibri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none"/>
    </w:rPr>
  </w:style>
  <w:style w:type="character" w:styleId="19">
    <w:name w:val="Hyperlink"/>
    <w:basedOn w:val="15"/>
    <w:qFormat/>
    <w:uiPriority w:val="0"/>
    <w:rPr>
      <w:color w:val="0000FF"/>
      <w:u w:val="none"/>
    </w:rPr>
  </w:style>
  <w:style w:type="character" w:customStyle="1" w:styleId="20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2">
    <w:name w:val="正文文本缩进 Char"/>
    <w:basedOn w:val="15"/>
    <w:link w:val="3"/>
    <w:qFormat/>
    <w:uiPriority w:val="0"/>
    <w:rPr>
      <w:kern w:val="2"/>
      <w:sz w:val="21"/>
      <w:szCs w:val="24"/>
    </w:rPr>
  </w:style>
  <w:style w:type="character" w:customStyle="1" w:styleId="23">
    <w:name w:val="正文首行缩进 2 Char"/>
    <w:basedOn w:val="22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4">
    <w:name w:val="日期 Char"/>
    <w:basedOn w:val="15"/>
    <w:link w:val="9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5">
    <w:name w:val="文件格式"/>
    <w:basedOn w:val="1"/>
    <w:qFormat/>
    <w:uiPriority w:val="99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2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reader-word-layer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8">
    <w:name w:val="zwnr181"/>
    <w:basedOn w:val="15"/>
    <w:qFormat/>
    <w:uiPriority w:val="0"/>
    <w:rPr>
      <w:rFonts w:hint="eastAsia" w:ascii="华文仿宋" w:eastAsia="华文仿宋"/>
      <w:sz w:val="27"/>
      <w:szCs w:val="27"/>
    </w:rPr>
  </w:style>
  <w:style w:type="paragraph" w:customStyle="1" w:styleId="29">
    <w:name w:val="BodyTextIndent3"/>
    <w:basedOn w:val="1"/>
    <w:qFormat/>
    <w:uiPriority w:val="0"/>
    <w:pPr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character" w:customStyle="1" w:styleId="30">
    <w:name w:val="font191"/>
    <w:basedOn w:val="15"/>
    <w:qFormat/>
    <w:uiPriority w:val="0"/>
    <w:rPr>
      <w:rFonts w:ascii="方正黑体简体" w:hAnsi="方正黑体简体" w:eastAsia="方正黑体简体" w:cs="方正黑体简体"/>
      <w:b/>
      <w:color w:val="000000"/>
      <w:sz w:val="20"/>
      <w:szCs w:val="20"/>
      <w:u w:val="none"/>
    </w:rPr>
  </w:style>
  <w:style w:type="character" w:customStyle="1" w:styleId="31">
    <w:name w:val="font161"/>
    <w:basedOn w:val="1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1027</Words>
  <Characters>5860</Characters>
  <Lines>48</Lines>
  <Paragraphs>13</Paragraphs>
  <TotalTime>37</TotalTime>
  <ScaleCrop>false</ScaleCrop>
  <LinksUpToDate>false</LinksUpToDate>
  <CharactersWithSpaces>6874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11</dc:creator>
  <cp:lastModifiedBy>小石榴的麻麻</cp:lastModifiedBy>
  <cp:lastPrinted>2021-11-05T21:56:00Z</cp:lastPrinted>
  <dcterms:modified xsi:type="dcterms:W3CDTF">2022-03-24T01:22:15Z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243555089_btnclosed</vt:lpwstr>
  </property>
</Properties>
</file>