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900" w:lineRule="exact"/>
        <w:jc w:val="center"/>
        <w:rPr>
          <w:rFonts w:hint="eastAsia" w:ascii="方正小标宋简体" w:eastAsia="仿宋_GB2312"/>
          <w:b/>
          <w:color w:val="auto"/>
          <w:sz w:val="44"/>
          <w:szCs w:val="44"/>
          <w:lang w:eastAsia="zh-CN"/>
        </w:rPr>
      </w:pPr>
      <w:r>
        <w:rPr>
          <w:rFonts w:ascii="仿宋_GB2312" w:hAnsi="宋体" w:eastAsia="仿宋_GB2312" w:cs="宋体"/>
          <w:b/>
          <w:color w:val="auto"/>
          <w:kern w:val="0"/>
          <w:szCs w:val="21"/>
        </w:rPr>
        <mc:AlternateContent>
          <mc:Choice Requires="wps">
            <w:drawing>
              <wp:anchor distT="0" distB="0" distL="114300" distR="114300" simplePos="0" relativeHeight="251659264" behindDoc="0" locked="0" layoutInCell="1" allowOverlap="1">
                <wp:simplePos x="0" y="0"/>
                <wp:positionH relativeFrom="margin">
                  <wp:posOffset>-45085</wp:posOffset>
                </wp:positionH>
                <wp:positionV relativeFrom="paragraph">
                  <wp:posOffset>1299845</wp:posOffset>
                </wp:positionV>
                <wp:extent cx="5639435" cy="918210"/>
                <wp:effectExtent l="4445" t="4445" r="13970" b="10795"/>
                <wp:wrapNone/>
                <wp:docPr id="1" name="文本框 1"/>
                <wp:cNvGraphicFramePr/>
                <a:graphic xmlns:a="http://schemas.openxmlformats.org/drawingml/2006/main">
                  <a:graphicData uri="http://schemas.microsoft.com/office/word/2010/wordprocessingShape">
                    <wps:wsp>
                      <wps:cNvSpPr txBox="1"/>
                      <wps:spPr>
                        <a:xfrm>
                          <a:off x="0" y="0"/>
                          <a:ext cx="5639435" cy="91821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1600" w:lineRule="exact"/>
                              <w:jc w:val="center"/>
                              <w:rPr>
                                <w:rFonts w:ascii="方正小标宋简体" w:hAnsi="楷体" w:eastAsia="方正小标宋简体"/>
                                <w:bCs/>
                                <w:color w:val="FF0000"/>
                                <w:spacing w:val="-12"/>
                                <w:w w:val="42"/>
                                <w:sz w:val="140"/>
                                <w:szCs w:val="140"/>
                              </w:rPr>
                            </w:pPr>
                            <w:r>
                              <w:rPr>
                                <w:rFonts w:hint="eastAsia" w:ascii="方正小标宋简体" w:hAnsi="楷体" w:eastAsia="方正小标宋简体"/>
                                <w:bCs/>
                                <w:color w:val="FF0000"/>
                                <w:spacing w:val="-12"/>
                                <w:w w:val="42"/>
                                <w:sz w:val="140"/>
                                <w:szCs w:val="140"/>
                              </w:rPr>
                              <w:t>济宁市公共资源交易服务中心文件</w:t>
                            </w:r>
                          </w:p>
                        </w:txbxContent>
                      </wps:txbx>
                      <wps:bodyPr lIns="0" tIns="0" rIns="0" bIns="0" upright="1"/>
                    </wps:wsp>
                  </a:graphicData>
                </a:graphic>
              </wp:anchor>
            </w:drawing>
          </mc:Choice>
          <mc:Fallback>
            <w:pict>
              <v:shape id="_x0000_s1026" o:spid="_x0000_s1026" o:spt="202" type="#_x0000_t202" style="position:absolute;left:0pt;margin-left:-3.55pt;margin-top:102.35pt;height:72.3pt;width:444.05pt;mso-position-horizontal-relative:margin;z-index:251659264;mso-width-relative:page;mso-height-relative:page;" fillcolor="#FFFFFF" filled="t" stroked="t" coordsize="21600,21600" o:gfxdata="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xlFDdoAAAAKAQAA&#10;DwAAAAAAAAABACAAAAAiAAAAZHJzL2Rvd25yZXYueG1sUEsBAhQAFAAAAAgAh07iQJYYeK4XAgAA&#10;WgQAAA4AAAAAAAAAAQAgAAAAKQEAAGRycy9lMm9Eb2MueG1sUEsFBgAAAAAGAAYAWQEAALIFAAAA&#10;AA==&#10;">
                <v:fill on="t" focussize="0,0"/>
                <v:stroke color="#FFFFFF" joinstyle="miter"/>
                <v:imagedata o:title=""/>
                <o:lock v:ext="edit" aspectratio="f"/>
                <v:textbox inset="0mm,0mm,0mm,0mm">
                  <w:txbxContent>
                    <w:p>
                      <w:pPr>
                        <w:spacing w:line="1600" w:lineRule="exact"/>
                        <w:jc w:val="center"/>
                        <w:rPr>
                          <w:rFonts w:ascii="方正小标宋简体" w:hAnsi="楷体" w:eastAsia="方正小标宋简体"/>
                          <w:bCs/>
                          <w:color w:val="FF0000"/>
                          <w:spacing w:val="-12"/>
                          <w:w w:val="42"/>
                          <w:sz w:val="140"/>
                          <w:szCs w:val="140"/>
                        </w:rPr>
                      </w:pPr>
                      <w:r>
                        <w:rPr>
                          <w:rFonts w:hint="eastAsia" w:ascii="方正小标宋简体" w:hAnsi="楷体" w:eastAsia="方正小标宋简体"/>
                          <w:bCs/>
                          <w:color w:val="FF0000"/>
                          <w:spacing w:val="-12"/>
                          <w:w w:val="42"/>
                          <w:sz w:val="140"/>
                          <w:szCs w:val="140"/>
                        </w:rPr>
                        <w:t>济宁市公共资源交易服务中心文件</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b/>
          <w:color w:val="auto"/>
          <w:sz w:val="32"/>
          <w:szCs w:val="32"/>
        </w:rPr>
      </w:pPr>
    </w:p>
    <w:p>
      <w:pPr>
        <w:spacing w:line="640" w:lineRule="exact"/>
        <w:jc w:val="center"/>
        <w:outlineLvl w:val="9"/>
        <w:rPr>
          <w:rFonts w:ascii="方正小标宋简体" w:eastAsia="方正小标宋简体"/>
          <w:b/>
          <w:color w:val="auto"/>
          <w:sz w:val="44"/>
          <w:szCs w:val="44"/>
        </w:rPr>
      </w:pPr>
      <w:r>
        <w:rPr>
          <w:rFonts w:hint="eastAsia" w:ascii="仿宋_GB2312" w:eastAsia="仿宋_GB2312" w:hAnsiTheme="minorHAnsi" w:cstheme="minorBidi"/>
          <w:b/>
          <w:color w:val="auto"/>
          <w:sz w:val="32"/>
          <w:szCs w:val="32"/>
        </w:rPr>
        <w:t>济公资中心发〔202</w:t>
      </w:r>
      <w:r>
        <w:rPr>
          <w:rFonts w:hint="eastAsia" w:ascii="仿宋_GB2312" w:eastAsia="仿宋_GB2312" w:hAnsiTheme="minorHAnsi" w:cstheme="minorBidi"/>
          <w:b/>
          <w:color w:val="auto"/>
          <w:sz w:val="32"/>
          <w:szCs w:val="32"/>
          <w:lang w:val="en-US" w:eastAsia="zh-CN"/>
        </w:rPr>
        <w:t>3</w:t>
      </w:r>
      <w:r>
        <w:rPr>
          <w:rFonts w:hint="eastAsia" w:ascii="仿宋_GB2312" w:eastAsia="仿宋_GB2312" w:hAnsiTheme="minorHAnsi" w:cstheme="minorBidi"/>
          <w:b/>
          <w:color w:val="auto"/>
          <w:sz w:val="32"/>
          <w:szCs w:val="32"/>
        </w:rPr>
        <w:t>〕</w:t>
      </w:r>
      <w:r>
        <w:rPr>
          <w:rFonts w:hint="eastAsia" w:ascii="仿宋_GB2312" w:eastAsia="仿宋_GB2312" w:hAnsiTheme="minorHAnsi" w:cstheme="minorBidi"/>
          <w:b/>
          <w:color w:val="auto"/>
          <w:sz w:val="32"/>
          <w:szCs w:val="32"/>
          <w:lang w:val="en-US" w:eastAsia="zh-CN"/>
        </w:rPr>
        <w:t>5</w:t>
      </w:r>
      <w:r>
        <w:rPr>
          <w:rFonts w:hint="eastAsia" w:ascii="仿宋_GB2312" w:eastAsia="仿宋_GB2312" w:hAnsiTheme="minorHAnsi" w:cstheme="minorBidi"/>
          <w:b/>
          <w:color w:val="auto"/>
          <w:sz w:val="32"/>
          <w:szCs w:val="32"/>
        </w:rPr>
        <w:t>号</w:t>
      </w:r>
    </w:p>
    <w:p>
      <w:pPr>
        <w:spacing w:line="640" w:lineRule="exact"/>
        <w:jc w:val="center"/>
        <w:rPr>
          <w:rFonts w:ascii="仿宋_GB2312" w:hAnsi="宋体" w:eastAsia="仿宋_GB2312" w:cs="宋体"/>
          <w:b/>
          <w:color w:val="auto"/>
          <w:kern w:val="0"/>
          <w:szCs w:val="21"/>
        </w:rPr>
      </w:pPr>
      <w:r>
        <w:rPr>
          <w:rFonts w:ascii="仿宋_GB2312" w:hAnsi="宋体" w:eastAsia="仿宋_GB2312" w:cs="宋体"/>
          <w:b/>
          <w:color w:val="auto"/>
          <w:kern w:val="0"/>
          <w:szCs w:val="21"/>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177800</wp:posOffset>
                </wp:positionV>
                <wp:extent cx="554418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4418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5pt;margin-top:14pt;height:0pt;width:436.55pt;z-index:251660288;mso-width-relative:page;mso-height-relative:page;" filled="f" stroked="t" coordsize="21600,21600" o:gfxdata="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vzH8TWAAAABwEAAA8AAAAAAAAAAQAgAAAAIgAAAGRycy9kb3ducmV2LnhtbFBL&#10;AQIUABQAAAAIAIdO4kDmAffz+AEAAOUDAAAOAAAAAAAAAAEAIAAAACUBAABkcnMvZTJvRG9jLnht&#10;bFBLBQYAAAAABgAGAFkBAACPBQAAAAA=&#10;">
                <v:fill on="f" focussize="0,0"/>
                <v:stroke weight="1.5pt" color="#FF0000" joinstyle="round"/>
                <v:imagedata o:title=""/>
                <o:lock v:ext="edit" aspectratio="f"/>
              </v:line>
            </w:pict>
          </mc:Fallback>
        </mc:AlternateContent>
      </w:r>
    </w:p>
    <w:p>
      <w:pPr>
        <w:spacing w:line="640" w:lineRule="exact"/>
        <w:jc w:val="center"/>
        <w:rPr>
          <w:rFonts w:ascii="仿宋_GB2312" w:eastAsia="仿宋_GB2312" w:hAnsiTheme="minorHAnsi" w:cstheme="minorBidi"/>
          <w:b/>
          <w:color w:val="auto"/>
          <w:sz w:val="32"/>
          <w:szCs w:val="32"/>
        </w:rPr>
      </w:pPr>
      <w:r>
        <w:rPr>
          <w:rFonts w:hint="eastAsia" w:ascii="方正小标宋简体" w:hAnsi="方正小标宋简体" w:eastAsia="方正小标宋简体" w:cs="方正小标宋简体"/>
          <w:color w:val="333333"/>
          <w:kern w:val="0"/>
          <w:sz w:val="43"/>
          <w:szCs w:val="43"/>
          <w:lang w:val="en-US" w:eastAsia="zh-CN" w:bidi="ar"/>
        </w:rPr>
        <w:t>关于印发《济宁</w:t>
      </w:r>
      <w:r>
        <w:rPr>
          <w:rFonts w:ascii="方正小标宋简体" w:hAnsi="方正小标宋简体" w:eastAsia="方正小标宋简体" w:cs="方正小标宋简体"/>
          <w:color w:val="333333"/>
          <w:kern w:val="0"/>
          <w:sz w:val="43"/>
          <w:szCs w:val="43"/>
          <w:lang w:val="en-US" w:eastAsia="zh-CN" w:bidi="ar"/>
        </w:rPr>
        <w:t>市公共资源交易</w:t>
      </w:r>
      <w:r>
        <w:rPr>
          <w:rFonts w:hint="eastAsia" w:ascii="方正小标宋简体" w:hAnsi="方正小标宋简体" w:eastAsia="方正小标宋简体" w:cs="方正小标宋简体"/>
          <w:b w:val="0"/>
          <w:i w:val="0"/>
          <w:color w:val="000000"/>
          <w:sz w:val="44"/>
          <w:u w:val="none"/>
          <w:lang w:val="en-US" w:eastAsia="zh-CN"/>
        </w:rPr>
        <w:t>见证服务工作清单》的通知</w:t>
      </w:r>
    </w:p>
    <w:p>
      <w:pPr>
        <w:keepNext w:val="0"/>
        <w:keepLines w:val="0"/>
        <w:pageBreakBefore w:val="0"/>
        <w:widowControl/>
        <w:kinsoku/>
        <w:wordWrap/>
        <w:overflowPunct/>
        <w:topLinePunct w:val="0"/>
        <w:autoSpaceDE/>
        <w:autoSpaceDN/>
        <w:bidi w:val="0"/>
        <w:adjustRightInd/>
        <w:snapToGrid/>
        <w:textAlignment w:val="auto"/>
        <w:rPr>
          <w:rFonts w:hint="eastAsia" w:ascii="仿宋_GB2312" w:eastAsia="仿宋_GB2312" w:hAnsiTheme="minorHAnsi" w:cstheme="minorBidi"/>
          <w:b/>
          <w:color w:val="auto"/>
          <w:sz w:val="32"/>
          <w:szCs w:val="32"/>
        </w:rPr>
      </w:pPr>
    </w:p>
    <w:p>
      <w:pPr>
        <w:keepNext w:val="0"/>
        <w:keepLines w:val="0"/>
        <w:pageBreakBefore w:val="0"/>
        <w:widowControl/>
        <w:kinsoku/>
        <w:wordWrap/>
        <w:overflowPunct/>
        <w:topLinePunct w:val="0"/>
        <w:autoSpaceDE/>
        <w:autoSpaceDN/>
        <w:bidi w:val="0"/>
        <w:adjustRightInd/>
        <w:snapToGrid/>
        <w:textAlignment w:val="auto"/>
        <w:rPr>
          <w:rFonts w:hint="eastAsia" w:ascii="仿宋_GB2312" w:eastAsia="仿宋_GB2312" w:hAnsiTheme="minorHAnsi" w:cstheme="minorBidi"/>
          <w:b/>
          <w:color w:val="auto"/>
          <w:sz w:val="32"/>
          <w:szCs w:val="32"/>
        </w:rPr>
      </w:pPr>
      <w:r>
        <w:rPr>
          <w:rFonts w:hint="eastAsia" w:ascii="仿宋_GB2312" w:eastAsia="仿宋_GB2312" w:hAnsiTheme="minorHAnsi" w:cstheme="minorBidi"/>
          <w:b/>
          <w:color w:val="auto"/>
          <w:sz w:val="32"/>
          <w:szCs w:val="32"/>
        </w:rPr>
        <w:t>各科室、各县（市、区）分中心：</w:t>
      </w:r>
    </w:p>
    <w:p>
      <w:pPr>
        <w:keepNext w:val="0"/>
        <w:keepLines w:val="0"/>
        <w:widowControl/>
        <w:suppressLineNumbers w:val="0"/>
        <w:ind w:firstLine="643" w:firstLineChars="20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2"/>
          <w:szCs w:val="32"/>
          <w:lang w:val="en-US" w:eastAsia="zh-CN" w:bidi="ar"/>
        </w:rPr>
        <w:t>为进一步提升公共资源交易平台服务效能，规范见证服务流程，提高见证服务效率，结合中心工作实际，制定《济宁市公共资源交易见证服务工作清单》，现印发给你们，请认真遵照执行。</w:t>
      </w:r>
    </w:p>
    <w:p>
      <w:pPr>
        <w:widowControl/>
        <w:ind w:firstLine="642"/>
        <w:rPr>
          <w:rFonts w:hint="eastAsia" w:ascii="仿宋_GB2312" w:eastAsia="仿宋_GB2312" w:hAnsiTheme="minorHAnsi" w:cstheme="minorBidi"/>
          <w:b/>
          <w:color w:val="auto"/>
          <w:sz w:val="32"/>
          <w:szCs w:val="32"/>
          <w:lang w:val="en-US" w:eastAsia="zh-CN"/>
        </w:rPr>
      </w:pPr>
    </w:p>
    <w:p>
      <w:pPr>
        <w:widowControl/>
        <w:spacing w:line="600" w:lineRule="exact"/>
        <w:ind w:firstLine="643" w:firstLineChars="200"/>
        <w:rPr>
          <w:rFonts w:hint="eastAsia" w:ascii="仿宋_GB2312" w:eastAsia="仿宋_GB2312" w:hAnsiTheme="minorHAnsi" w:cstheme="minorBidi"/>
          <w:b/>
          <w:color w:val="auto"/>
          <w:sz w:val="32"/>
          <w:szCs w:val="32"/>
        </w:rPr>
      </w:pPr>
    </w:p>
    <w:p>
      <w:pPr>
        <w:widowControl/>
        <w:spacing w:line="600" w:lineRule="exact"/>
        <w:ind w:firstLine="964" w:firstLineChars="300"/>
        <w:jc w:val="center"/>
        <w:rPr>
          <w:rFonts w:ascii="仿宋_GB2312" w:eastAsia="仿宋_GB2312" w:hAnsiTheme="minorHAnsi" w:cstheme="minorBidi"/>
          <w:b/>
          <w:color w:val="auto"/>
          <w:sz w:val="32"/>
          <w:szCs w:val="32"/>
        </w:rPr>
      </w:pPr>
      <w:r>
        <w:rPr>
          <w:rFonts w:hint="eastAsia" w:ascii="仿宋_GB2312" w:eastAsia="仿宋_GB2312" w:hAnsiTheme="minorHAnsi" w:cstheme="minorBidi"/>
          <w:b/>
          <w:color w:val="auto"/>
          <w:sz w:val="32"/>
          <w:szCs w:val="32"/>
          <w:lang w:val="en-US" w:eastAsia="zh-CN"/>
        </w:rPr>
        <w:t xml:space="preserve">            </w:t>
      </w:r>
      <w:r>
        <w:rPr>
          <w:rFonts w:hint="eastAsia" w:ascii="仿宋_GB2312" w:eastAsia="仿宋_GB2312" w:hAnsiTheme="minorHAnsi" w:cstheme="minorBidi"/>
          <w:b/>
          <w:color w:val="auto"/>
          <w:sz w:val="32"/>
          <w:szCs w:val="32"/>
        </w:rPr>
        <w:t>济宁市公共资源交易服务中心</w:t>
      </w:r>
    </w:p>
    <w:p>
      <w:pPr>
        <w:keepNext w:val="0"/>
        <w:keepLines w:val="0"/>
        <w:pageBreakBefore w:val="0"/>
        <w:widowControl/>
        <w:kinsoku/>
        <w:wordWrap/>
        <w:overflowPunct/>
        <w:topLinePunct w:val="0"/>
        <w:autoSpaceDE/>
        <w:autoSpaceDN/>
        <w:bidi w:val="0"/>
        <w:adjustRightInd w:val="0"/>
        <w:snapToGrid/>
        <w:spacing w:line="240" w:lineRule="auto"/>
        <w:ind w:right="1680" w:rightChars="800" w:firstLine="0" w:firstLineChars="0"/>
        <w:jc w:val="right"/>
        <w:textAlignment w:val="auto"/>
        <w:rPr>
          <w:rFonts w:ascii="仿宋_GB2312" w:eastAsia="仿宋_GB2312" w:hAnsiTheme="minorHAnsi" w:cstheme="minorBidi"/>
          <w:b/>
          <w:color w:val="auto"/>
          <w:sz w:val="32"/>
          <w:szCs w:val="32"/>
        </w:rPr>
      </w:pPr>
      <w:r>
        <w:rPr>
          <w:rFonts w:hint="eastAsia" w:ascii="仿宋_GB2312" w:eastAsia="仿宋_GB2312" w:hAnsiTheme="minorHAnsi" w:cstheme="minorBidi"/>
          <w:b/>
          <w:color w:val="auto"/>
          <w:sz w:val="32"/>
          <w:szCs w:val="32"/>
        </w:rPr>
        <w:t>202</w:t>
      </w:r>
      <w:r>
        <w:rPr>
          <w:rFonts w:hint="eastAsia" w:ascii="仿宋_GB2312" w:eastAsia="仿宋_GB2312" w:hAnsiTheme="minorHAnsi" w:cstheme="minorBidi"/>
          <w:b/>
          <w:color w:val="auto"/>
          <w:sz w:val="32"/>
          <w:szCs w:val="32"/>
          <w:lang w:val="en-US" w:eastAsia="zh-CN"/>
        </w:rPr>
        <w:t>3</w:t>
      </w:r>
      <w:r>
        <w:rPr>
          <w:rFonts w:hint="eastAsia" w:ascii="仿宋_GB2312" w:eastAsia="仿宋_GB2312" w:hAnsiTheme="minorHAnsi" w:cstheme="minorBidi"/>
          <w:b/>
          <w:color w:val="auto"/>
          <w:sz w:val="32"/>
          <w:szCs w:val="32"/>
        </w:rPr>
        <w:t>年</w:t>
      </w:r>
      <w:r>
        <w:rPr>
          <w:rFonts w:hint="eastAsia" w:ascii="仿宋_GB2312" w:eastAsia="仿宋_GB2312" w:hAnsiTheme="minorHAnsi" w:cstheme="minorBidi"/>
          <w:b/>
          <w:color w:val="auto"/>
          <w:sz w:val="32"/>
          <w:szCs w:val="32"/>
          <w:lang w:val="en-US" w:eastAsia="zh-CN"/>
        </w:rPr>
        <w:t xml:space="preserve"> 6 </w:t>
      </w:r>
      <w:r>
        <w:rPr>
          <w:rFonts w:hint="eastAsia" w:ascii="仿宋_GB2312" w:eastAsia="仿宋_GB2312" w:hAnsiTheme="minorHAnsi" w:cstheme="minorBidi"/>
          <w:b/>
          <w:color w:val="auto"/>
          <w:sz w:val="32"/>
          <w:szCs w:val="32"/>
        </w:rPr>
        <w:t>月</w:t>
      </w:r>
      <w:r>
        <w:rPr>
          <w:rFonts w:hint="eastAsia" w:ascii="仿宋_GB2312" w:eastAsia="仿宋_GB2312" w:hAnsiTheme="minorHAnsi" w:cstheme="minorBidi"/>
          <w:b/>
          <w:color w:val="auto"/>
          <w:sz w:val="32"/>
          <w:szCs w:val="32"/>
          <w:lang w:val="en-US" w:eastAsia="zh-CN"/>
        </w:rPr>
        <w:t xml:space="preserve"> 9</w:t>
      </w:r>
      <w:r>
        <w:rPr>
          <w:rFonts w:hint="eastAsia" w:ascii="仿宋_GB2312" w:eastAsia="仿宋_GB2312" w:hAnsiTheme="minorHAnsi" w:cstheme="minorBidi"/>
          <w:b/>
          <w:color w:val="auto"/>
          <w:sz w:val="32"/>
          <w:szCs w:val="32"/>
        </w:rPr>
        <w:t>日</w:t>
      </w:r>
    </w:p>
    <w:p>
      <w:pPr>
        <w:widowControl w:val="0"/>
        <w:spacing w:line="579" w:lineRule="exact"/>
        <w:ind w:left="0" w:right="0" w:firstLine="0" w:firstLineChars="0"/>
        <w:jc w:val="center"/>
        <w:rPr>
          <w:rFonts w:hint="eastAsia" w:ascii="仿宋_GB2312" w:hAnsi="宋体" w:eastAsia="仿宋_GB2312" w:cs="仿宋_GB2312"/>
          <w:b/>
          <w:bCs/>
          <w:i w:val="0"/>
          <w:color w:val="000000"/>
          <w:kern w:val="0"/>
          <w:sz w:val="32"/>
          <w:szCs w:val="32"/>
          <w:u w:val="none"/>
          <w:lang w:val="en-US" w:eastAsia="zh-CN" w:bidi="ar"/>
        </w:rPr>
      </w:pPr>
      <w:bookmarkStart w:id="0" w:name="_GoBack"/>
      <w:r>
        <w:rPr>
          <w:rFonts w:hint="eastAsia" w:ascii="仿宋_GB2312" w:hAnsi="宋体" w:eastAsia="仿宋_GB2312" w:cs="仿宋_GB2312"/>
          <w:b/>
          <w:bCs/>
          <w:i w:val="0"/>
          <w:color w:val="000000"/>
          <w:kern w:val="0"/>
          <w:sz w:val="32"/>
          <w:szCs w:val="32"/>
          <w:u w:val="none"/>
          <w:lang w:val="en-US" w:eastAsia="zh-CN" w:bidi="ar"/>
        </w:rPr>
        <w:t>济宁市公共资源交易见证服务工作清单</w:t>
      </w:r>
    </w:p>
    <w:p>
      <w:pPr>
        <w:widowControl w:val="0"/>
        <w:spacing w:line="579" w:lineRule="exact"/>
        <w:ind w:left="0" w:right="0" w:firstLine="0" w:firstLineChars="0"/>
        <w:jc w:val="center"/>
        <w:rPr>
          <w:rFonts w:hint="eastAsia" w:ascii="方正小标宋简体" w:hAnsi="方正小标宋简体" w:eastAsia="方正小标宋简体" w:cs="方正小标宋简体"/>
          <w:b/>
          <w:bCs/>
          <w:i w:val="0"/>
          <w:color w:val="000000"/>
          <w:sz w:val="32"/>
          <w:szCs w:val="32"/>
          <w:u w:val="none"/>
          <w:lang w:val="en-US" w:eastAsia="zh-CN"/>
        </w:rPr>
      </w:pPr>
      <w:r>
        <w:rPr>
          <w:rFonts w:hint="eastAsia" w:ascii="仿宋_GB2312" w:hAnsi="宋体" w:eastAsia="仿宋_GB2312" w:cs="仿宋_GB2312"/>
          <w:b/>
          <w:bCs/>
          <w:i w:val="0"/>
          <w:color w:val="000000"/>
          <w:kern w:val="0"/>
          <w:sz w:val="32"/>
          <w:szCs w:val="32"/>
          <w:u w:val="none"/>
          <w:lang w:val="en-US" w:eastAsia="zh-CN" w:bidi="ar"/>
        </w:rPr>
        <w:t>工程建设项目见证工作清单</w:t>
      </w:r>
    </w:p>
    <w:tbl>
      <w:tblPr>
        <w:tblStyle w:val="11"/>
        <w:tblW w:w="9383" w:type="dxa"/>
        <w:jc w:val="center"/>
        <w:shd w:val="clear" w:color="auto" w:fill="auto"/>
        <w:tblLayout w:type="fixed"/>
        <w:tblCellMar>
          <w:top w:w="0" w:type="dxa"/>
          <w:left w:w="0" w:type="dxa"/>
          <w:bottom w:w="0" w:type="dxa"/>
          <w:right w:w="0" w:type="dxa"/>
        </w:tblCellMar>
      </w:tblPr>
      <w:tblGrid>
        <w:gridCol w:w="1313"/>
        <w:gridCol w:w="8070"/>
      </w:tblGrid>
      <w:tr>
        <w:tblPrEx>
          <w:shd w:val="clear" w:color="auto" w:fill="auto"/>
          <w:tblCellMar>
            <w:top w:w="0" w:type="dxa"/>
            <w:left w:w="0" w:type="dxa"/>
            <w:bottom w:w="0" w:type="dxa"/>
            <w:right w:w="0" w:type="dxa"/>
          </w:tblCellMar>
        </w:tblPrEx>
        <w:trPr>
          <w:trHeight w:val="624" w:hRule="atLeast"/>
          <w:jc w:val="center"/>
        </w:trPr>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见证工作</w:t>
            </w:r>
          </w:p>
          <w:p>
            <w:pPr>
              <w:keepNext w:val="0"/>
              <w:keepLines w:val="0"/>
              <w:pageBreakBefore w:val="0"/>
              <w:widowControl w:val="0"/>
              <w:suppressLineNumbers w:val="0"/>
              <w:kinsoku/>
              <w:wordWrap/>
              <w:overflowPunct/>
              <w:topLinePunct w:val="0"/>
              <w:autoSpaceDE/>
              <w:autoSpaceDN/>
              <w:bidi w:val="0"/>
              <w:adjustRightInd/>
              <w:snapToGrid/>
              <w:spacing w:line="300" w:lineRule="exact"/>
              <w:ind w:right="0" w:rightChars="0" w:firstLine="0" w:firstLineChars="0"/>
              <w:jc w:val="center"/>
              <w:textAlignment w:val="center"/>
              <w:rPr>
                <w:rFonts w:hint="eastAsia" w:ascii="黑体" w:hAnsi="宋体" w:eastAsia="黑体" w:cs="黑体"/>
                <w:i w:val="0"/>
                <w:color w:val="000000"/>
                <w:sz w:val="28"/>
                <w:szCs w:val="28"/>
                <w:u w:val="none"/>
              </w:rPr>
            </w:pPr>
            <w:r>
              <w:rPr>
                <w:rFonts w:hint="eastAsia" w:ascii="黑体" w:hAnsi="黑体" w:eastAsia="黑体" w:cs="黑体"/>
                <w:b w:val="0"/>
                <w:i w:val="0"/>
                <w:color w:val="000000"/>
                <w:sz w:val="24"/>
                <w:szCs w:val="24"/>
                <w:u w:val="none"/>
                <w:lang w:val="en-US" w:eastAsia="zh-CN"/>
              </w:rPr>
              <w:t>阶段</w:t>
            </w: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right="0" w:rightChars="0"/>
              <w:jc w:val="center"/>
              <w:textAlignment w:val="center"/>
              <w:rPr>
                <w:rFonts w:hint="eastAsia" w:ascii="黑体" w:hAnsi="宋体" w:eastAsia="黑体" w:cs="黑体"/>
                <w:i w:val="0"/>
                <w:color w:val="000000"/>
                <w:sz w:val="28"/>
                <w:szCs w:val="28"/>
                <w:u w:val="none"/>
              </w:rPr>
            </w:pPr>
            <w:r>
              <w:rPr>
                <w:rFonts w:hint="eastAsia" w:ascii="黑体" w:hAnsi="黑体" w:eastAsia="黑体" w:cs="黑体"/>
                <w:b w:val="0"/>
                <w:i w:val="0"/>
                <w:color w:val="000000"/>
                <w:sz w:val="24"/>
                <w:szCs w:val="24"/>
                <w:u w:val="none"/>
                <w:lang w:val="en-US" w:eastAsia="zh-CN"/>
              </w:rPr>
              <w:t>见证内容</w:t>
            </w:r>
          </w:p>
        </w:tc>
      </w:tr>
      <w:tr>
        <w:tblPrEx>
          <w:tblCellMar>
            <w:top w:w="0" w:type="dxa"/>
            <w:left w:w="0" w:type="dxa"/>
            <w:bottom w:w="0" w:type="dxa"/>
            <w:right w:w="0" w:type="dxa"/>
          </w:tblCellMar>
        </w:tblPrEx>
        <w:trPr>
          <w:trHeight w:val="510" w:hRule="atLeast"/>
          <w:jc w:val="center"/>
        </w:trPr>
        <w:tc>
          <w:tcPr>
            <w:tcW w:w="131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项目进场</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阶段</w:t>
            </w: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1.工程项目是否发布招标计划。</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2.项目信息是否填写准确、完整。</w:t>
            </w:r>
          </w:p>
        </w:tc>
      </w:tr>
      <w:tr>
        <w:tblPrEx>
          <w:shd w:val="clear" w:color="auto" w:fill="auto"/>
          <w:tblCellMar>
            <w:top w:w="0" w:type="dxa"/>
            <w:left w:w="0" w:type="dxa"/>
            <w:bottom w:w="0" w:type="dxa"/>
            <w:right w:w="0" w:type="dxa"/>
          </w:tblCellMar>
        </w:tblPrEx>
        <w:trPr>
          <w:trHeight w:val="510" w:hRule="atLeast"/>
          <w:jc w:val="center"/>
        </w:trPr>
        <w:tc>
          <w:tcPr>
            <w:tcW w:w="131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公告信息及招标文件</w:t>
            </w:r>
          </w:p>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r>
              <w:rPr>
                <w:rFonts w:hint="eastAsia" w:ascii="黑体" w:hAnsi="黑体" w:eastAsia="黑体" w:cs="黑体"/>
                <w:b w:val="0"/>
                <w:i w:val="0"/>
                <w:color w:val="000000"/>
                <w:sz w:val="24"/>
                <w:szCs w:val="24"/>
                <w:u w:val="none"/>
                <w:lang w:val="en-US" w:eastAsia="zh-CN"/>
              </w:rPr>
              <w:t>发布阶段</w:t>
            </w: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3.项目行业分类是否按照山东省公共资源交易目录进行选择。</w:t>
            </w:r>
          </w:p>
        </w:tc>
      </w:tr>
      <w:tr>
        <w:tblPrEx>
          <w:tblCellMar>
            <w:top w:w="0" w:type="dxa"/>
            <w:left w:w="0" w:type="dxa"/>
            <w:bottom w:w="0" w:type="dxa"/>
            <w:right w:w="0" w:type="dxa"/>
          </w:tblCellMar>
        </w:tblPrEx>
        <w:trPr>
          <w:trHeight w:val="510" w:hRule="atLeast"/>
          <w:jc w:val="center"/>
        </w:trPr>
        <w:tc>
          <w:tcPr>
            <w:tcW w:w="13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4.标段数量是否与招标公告、招标文件要求一致。</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5.场地选择是否满足项目实际需求。</w:t>
            </w:r>
          </w:p>
        </w:tc>
      </w:tr>
      <w:tr>
        <w:tblPrEx>
          <w:tblCellMar>
            <w:top w:w="0" w:type="dxa"/>
            <w:left w:w="0" w:type="dxa"/>
            <w:bottom w:w="0" w:type="dxa"/>
            <w:right w:w="0" w:type="dxa"/>
          </w:tblCellMar>
        </w:tblPrEx>
        <w:trPr>
          <w:trHeight w:val="510" w:hRule="atLeast"/>
          <w:jc w:val="center"/>
        </w:trPr>
        <w:tc>
          <w:tcPr>
            <w:tcW w:w="13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6.招标公告格式是否严格按照示范文本标准格式执行。</w:t>
            </w:r>
          </w:p>
        </w:tc>
      </w:tr>
      <w:tr>
        <w:tblPrEx>
          <w:tblCellMar>
            <w:top w:w="0" w:type="dxa"/>
            <w:left w:w="0" w:type="dxa"/>
            <w:bottom w:w="0" w:type="dxa"/>
            <w:right w:w="0" w:type="dxa"/>
          </w:tblCellMar>
        </w:tblPrEx>
        <w:trPr>
          <w:trHeight w:val="510" w:hRule="atLeast"/>
          <w:jc w:val="center"/>
        </w:trPr>
        <w:tc>
          <w:tcPr>
            <w:tcW w:w="13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7.招标公告字体、字号、间距等应统一，不能出现添字、漏字、错别字等。</w:t>
            </w:r>
          </w:p>
        </w:tc>
      </w:tr>
      <w:tr>
        <w:tblPrEx>
          <w:tblCellMar>
            <w:top w:w="0" w:type="dxa"/>
            <w:left w:w="0" w:type="dxa"/>
            <w:bottom w:w="0" w:type="dxa"/>
            <w:right w:w="0" w:type="dxa"/>
          </w:tblCellMar>
        </w:tblPrEx>
        <w:trPr>
          <w:trHeight w:val="510" w:hRule="atLeast"/>
          <w:jc w:val="center"/>
        </w:trPr>
        <w:tc>
          <w:tcPr>
            <w:tcW w:w="13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8.招标项目名称是否与项目进场登记名称一致。</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9.招标公告是否明确获取招标文件的方式，发售期最后一天应当回避节假日，且招标文件开始发出之日起至投标人提交投标文件截止之日止不得少于20日。</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10.招标公告中的开标时间和地点应与系统中预约的时间、地点一致。</w:t>
            </w:r>
          </w:p>
        </w:tc>
      </w:tr>
      <w:tr>
        <w:tblPrEx>
          <w:tblCellMar>
            <w:top w:w="0" w:type="dxa"/>
            <w:left w:w="0" w:type="dxa"/>
            <w:bottom w:w="0" w:type="dxa"/>
            <w:right w:w="0" w:type="dxa"/>
          </w:tblCellMar>
        </w:tblPrEx>
        <w:trPr>
          <w:trHeight w:val="510" w:hRule="atLeast"/>
          <w:jc w:val="center"/>
        </w:trPr>
        <w:tc>
          <w:tcPr>
            <w:tcW w:w="13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11.招标公告是否在济宁市公共资源交易网上发布，同步到山东省公共资源交易网、中国招投标公共服务平台。</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12.招标公告中招标文件获取的开始、截止时间是否与上传至交易系统中的获取开始、截止时间一致。</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13.招标文件格式是否严格按照示范文本标准执行。</w:t>
            </w:r>
          </w:p>
        </w:tc>
      </w:tr>
      <w:tr>
        <w:tblPrEx>
          <w:tblCellMar>
            <w:top w:w="0" w:type="dxa"/>
            <w:left w:w="0" w:type="dxa"/>
            <w:bottom w:w="0" w:type="dxa"/>
            <w:right w:w="0" w:type="dxa"/>
          </w:tblCellMar>
        </w:tblPrEx>
        <w:trPr>
          <w:trHeight w:val="510" w:hRule="atLeast"/>
          <w:jc w:val="center"/>
        </w:trPr>
        <w:tc>
          <w:tcPr>
            <w:tcW w:w="13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14.招标文件是否明确投标保证金缴纳方式及减免优惠政策。</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15.递交投标文件方式、开标时间和地点是否与交易系统中的一致。</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16.提醒代理机构仔细核对评分办法，重点核对商务标得分计算公式选择是否正确；技术标汇总方式和打分分值是否按照文件要求设定。</w:t>
            </w:r>
          </w:p>
        </w:tc>
      </w:tr>
      <w:tr>
        <w:tblPrEx>
          <w:tblCellMar>
            <w:top w:w="0" w:type="dxa"/>
            <w:left w:w="0" w:type="dxa"/>
            <w:bottom w:w="0" w:type="dxa"/>
            <w:right w:w="0" w:type="dxa"/>
          </w:tblCellMar>
        </w:tblPrEx>
        <w:trPr>
          <w:trHeight w:val="510" w:hRule="atLeast"/>
          <w:jc w:val="center"/>
        </w:trPr>
        <w:tc>
          <w:tcPr>
            <w:tcW w:w="13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17.系统设置答疑澄清截止时间是否与招标文件一致。</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18.交易系统中招标文件发放时间设置是否与招标公告中招标文件获取的开始、截止时间一致。</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pStyle w:val="2"/>
              <w:ind w:left="0" w:leftChars="0" w:firstLine="0" w:firstLineChars="0"/>
              <w:jc w:val="both"/>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19.变更时间设置是否与变更公告内容一致。</w:t>
            </w:r>
          </w:p>
        </w:tc>
      </w:tr>
      <w:tr>
        <w:tblPrEx>
          <w:tblCellMar>
            <w:top w:w="0" w:type="dxa"/>
            <w:left w:w="0" w:type="dxa"/>
            <w:bottom w:w="0" w:type="dxa"/>
            <w:right w:w="0" w:type="dxa"/>
          </w:tblCellMar>
        </w:tblPrEx>
        <w:trPr>
          <w:trHeight w:val="510" w:hRule="atLeast"/>
          <w:jc w:val="center"/>
        </w:trPr>
        <w:tc>
          <w:tcPr>
            <w:tcW w:w="131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20.变更公告内容是否载明原公告内容及变更后内容。</w:t>
            </w:r>
          </w:p>
        </w:tc>
      </w:tr>
      <w:tr>
        <w:tblPrEx>
          <w:shd w:val="clear" w:color="auto" w:fill="auto"/>
          <w:tblCellMar>
            <w:top w:w="0" w:type="dxa"/>
            <w:left w:w="0" w:type="dxa"/>
            <w:bottom w:w="0" w:type="dxa"/>
            <w:right w:w="0" w:type="dxa"/>
          </w:tblCellMar>
        </w:tblPrEx>
        <w:trPr>
          <w:trHeight w:val="510" w:hRule="atLeast"/>
          <w:jc w:val="center"/>
        </w:trPr>
        <w:tc>
          <w:tcPr>
            <w:tcW w:w="13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公告信息及招标文件</w:t>
            </w:r>
          </w:p>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r>
              <w:rPr>
                <w:rFonts w:hint="eastAsia" w:ascii="黑体" w:hAnsi="黑体" w:eastAsia="黑体" w:cs="黑体"/>
                <w:b w:val="0"/>
                <w:i w:val="0"/>
                <w:color w:val="000000"/>
                <w:sz w:val="24"/>
                <w:szCs w:val="24"/>
                <w:u w:val="none"/>
                <w:lang w:val="en-US" w:eastAsia="zh-CN"/>
              </w:rPr>
              <w:t>发布阶段</w:t>
            </w: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21.答疑补疑文件澄清或者修改的内容可能影响资格预审申请文件或者投标文件编制的，招标人应当在提交资格预审申请文件截止时间至少3日前，或者投标截止时间至少15日前在平台发布。不足3日或者15日的应当顺延截止时间。</w:t>
            </w:r>
          </w:p>
        </w:tc>
      </w:tr>
      <w:tr>
        <w:tblPrEx>
          <w:tblCellMar>
            <w:top w:w="0" w:type="dxa"/>
            <w:left w:w="0" w:type="dxa"/>
            <w:bottom w:w="0" w:type="dxa"/>
            <w:right w:w="0" w:type="dxa"/>
          </w:tblCellMar>
        </w:tblPrEx>
        <w:trPr>
          <w:trHeight w:val="510" w:hRule="atLeast"/>
          <w:jc w:val="center"/>
        </w:trPr>
        <w:tc>
          <w:tcPr>
            <w:tcW w:w="1313"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 xml:space="preserve">专家抽取 </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阶段</w:t>
            </w: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22.抽取专业与《专家抽取登记表》是否一致。</w:t>
            </w:r>
          </w:p>
        </w:tc>
      </w:tr>
      <w:tr>
        <w:tblPrEx>
          <w:tblCellMar>
            <w:top w:w="0" w:type="dxa"/>
            <w:left w:w="0" w:type="dxa"/>
            <w:bottom w:w="0" w:type="dxa"/>
            <w:right w:w="0" w:type="dxa"/>
          </w:tblCellMar>
        </w:tblPrEx>
        <w:trPr>
          <w:trHeight w:val="510" w:hRule="atLeast"/>
          <w:jc w:val="center"/>
        </w:trPr>
        <w:tc>
          <w:tcPr>
            <w:tcW w:w="131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23.是否准确填写《专家抽取登记表》并加盖公章。</w:t>
            </w:r>
          </w:p>
        </w:tc>
      </w:tr>
      <w:tr>
        <w:tblPrEx>
          <w:tblCellMar>
            <w:top w:w="0" w:type="dxa"/>
            <w:left w:w="0" w:type="dxa"/>
            <w:bottom w:w="0" w:type="dxa"/>
            <w:right w:w="0" w:type="dxa"/>
          </w:tblCellMar>
        </w:tblPrEx>
        <w:trPr>
          <w:trHeight w:val="510" w:hRule="atLeast"/>
          <w:jc w:val="center"/>
        </w:trPr>
        <w:tc>
          <w:tcPr>
            <w:tcW w:w="131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24.建设工程项目专家抽取时招标人、代理机构、监督部门、中心见证人员是否到齐。</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25.填报回避单位和专家原因是否提供依据。</w:t>
            </w:r>
          </w:p>
        </w:tc>
      </w:tr>
      <w:tr>
        <w:tblPrEx>
          <w:tblCellMar>
            <w:top w:w="0" w:type="dxa"/>
            <w:left w:w="0" w:type="dxa"/>
            <w:bottom w:w="0" w:type="dxa"/>
            <w:right w:w="0" w:type="dxa"/>
          </w:tblCellMar>
        </w:tblPrEx>
        <w:trPr>
          <w:trHeight w:val="510" w:hRule="atLeast"/>
          <w:jc w:val="center"/>
        </w:trPr>
        <w:tc>
          <w:tcPr>
            <w:tcW w:w="1313"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开标阶段</w:t>
            </w: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26.代理机构工作人员是否按招标文件规定有序组织开标活动。</w:t>
            </w:r>
          </w:p>
        </w:tc>
      </w:tr>
      <w:tr>
        <w:tblPrEx>
          <w:tblCellMar>
            <w:top w:w="0" w:type="dxa"/>
            <w:left w:w="0" w:type="dxa"/>
            <w:bottom w:w="0" w:type="dxa"/>
            <w:right w:w="0" w:type="dxa"/>
          </w:tblCellMar>
        </w:tblPrEx>
        <w:trPr>
          <w:trHeight w:val="510" w:hRule="atLeast"/>
          <w:jc w:val="center"/>
        </w:trPr>
        <w:tc>
          <w:tcPr>
            <w:tcW w:w="131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27.代理机构工作人员在开标室内是否有串岗聊天等与开标工作无关的行为。</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28.监督人员应遵守监督工作纪律、交易场所管理规定。</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29.招标文件中需要抽取系数的，明确系数抽取范围，确保系数抽取准确无误。</w:t>
            </w:r>
          </w:p>
        </w:tc>
      </w:tr>
      <w:tr>
        <w:tblPrEx>
          <w:tblCellMar>
            <w:top w:w="0" w:type="dxa"/>
            <w:left w:w="0" w:type="dxa"/>
            <w:bottom w:w="0" w:type="dxa"/>
            <w:right w:w="0" w:type="dxa"/>
          </w:tblCellMar>
        </w:tblPrEx>
        <w:trPr>
          <w:trHeight w:val="510" w:hRule="atLeast"/>
          <w:jc w:val="center"/>
        </w:trPr>
        <w:tc>
          <w:tcPr>
            <w:tcW w:w="131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30.唱标后，由投标人对开标过程进行确认。</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31.开标结束后，由招标人、代理机构对开标情况记录表进行确认。</w:t>
            </w:r>
          </w:p>
        </w:tc>
      </w:tr>
      <w:tr>
        <w:tblPrEx>
          <w:shd w:val="clear" w:color="auto" w:fill="auto"/>
          <w:tblCellMar>
            <w:top w:w="0" w:type="dxa"/>
            <w:left w:w="0" w:type="dxa"/>
            <w:bottom w:w="0" w:type="dxa"/>
            <w:right w:w="0" w:type="dxa"/>
          </w:tblCellMar>
        </w:tblPrEx>
        <w:trPr>
          <w:trHeight w:val="510" w:hRule="atLeast"/>
          <w:jc w:val="center"/>
        </w:trPr>
        <w:tc>
          <w:tcPr>
            <w:tcW w:w="1313"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评标阶段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32.应核验评标评审专家身份证、邀请评标短信。</w:t>
            </w:r>
          </w:p>
        </w:tc>
      </w:tr>
      <w:tr>
        <w:tblPrEx>
          <w:tblCellMar>
            <w:top w:w="0" w:type="dxa"/>
            <w:left w:w="0" w:type="dxa"/>
            <w:bottom w:w="0" w:type="dxa"/>
            <w:right w:w="0" w:type="dxa"/>
          </w:tblCellMar>
        </w:tblPrEx>
        <w:trPr>
          <w:trHeight w:val="510" w:hRule="atLeast"/>
          <w:jc w:val="center"/>
        </w:trPr>
        <w:tc>
          <w:tcPr>
            <w:tcW w:w="131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33.招标人代表是否与《法定代表人授权委托书》一致。</w:t>
            </w:r>
          </w:p>
        </w:tc>
      </w:tr>
      <w:tr>
        <w:tblPrEx>
          <w:tblCellMar>
            <w:top w:w="0" w:type="dxa"/>
            <w:left w:w="0" w:type="dxa"/>
            <w:bottom w:w="0" w:type="dxa"/>
            <w:right w:w="0" w:type="dxa"/>
          </w:tblCellMar>
        </w:tblPrEx>
        <w:trPr>
          <w:trHeight w:val="510" w:hRule="atLeast"/>
          <w:jc w:val="center"/>
        </w:trPr>
        <w:tc>
          <w:tcPr>
            <w:tcW w:w="131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34.进场人员是否按规定存放通讯设备。</w:t>
            </w:r>
          </w:p>
        </w:tc>
      </w:tr>
      <w:tr>
        <w:tblPrEx>
          <w:tblCellMar>
            <w:top w:w="0" w:type="dxa"/>
            <w:left w:w="0" w:type="dxa"/>
            <w:bottom w:w="0" w:type="dxa"/>
            <w:right w:w="0" w:type="dxa"/>
          </w:tblCellMar>
        </w:tblPrEx>
        <w:trPr>
          <w:trHeight w:val="510" w:hRule="atLeast"/>
          <w:jc w:val="center"/>
        </w:trPr>
        <w:tc>
          <w:tcPr>
            <w:tcW w:w="131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35.核验到场专家与《山东省公共资源交易综合评标评审专家库系统随机抽取专家名单打印表》是否一致。</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36.是否携带手机、手提电脑、其他通讯设备或录像设备进入评标室。</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37.评标室内监督和工作人员应遵守评标纪律，不得干扰评委评标。</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38.发现违规违法情况的，先中止开评标程序，再告知监督人员。若发现监督人员违法违规的，向所在单位或纪检监察机关反馈。</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39.对于交易过程中存在招标异常等情况，应及时告知监督单位和招标人。</w:t>
            </w:r>
          </w:p>
        </w:tc>
      </w:tr>
      <w:tr>
        <w:tblPrEx>
          <w:shd w:val="clear" w:color="auto" w:fill="auto"/>
          <w:tblCellMar>
            <w:top w:w="0" w:type="dxa"/>
            <w:left w:w="0" w:type="dxa"/>
            <w:bottom w:w="0" w:type="dxa"/>
            <w:right w:w="0" w:type="dxa"/>
          </w:tblCellMar>
        </w:tblPrEx>
        <w:trPr>
          <w:trHeight w:val="510" w:hRule="atLeast"/>
          <w:jc w:val="center"/>
        </w:trPr>
        <w:tc>
          <w:tcPr>
            <w:tcW w:w="131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40.评标报告推荐入围家数是否符合招标文件要求。</w:t>
            </w:r>
          </w:p>
        </w:tc>
      </w:tr>
      <w:tr>
        <w:tblPrEx>
          <w:shd w:val="clear" w:color="auto" w:fill="auto"/>
          <w:tblCellMar>
            <w:top w:w="0" w:type="dxa"/>
            <w:left w:w="0" w:type="dxa"/>
            <w:bottom w:w="0" w:type="dxa"/>
            <w:right w:w="0" w:type="dxa"/>
          </w:tblCellMar>
        </w:tblPrEx>
        <w:trPr>
          <w:trHeight w:val="510" w:hRule="atLeast"/>
          <w:jc w:val="center"/>
        </w:trPr>
        <w:tc>
          <w:tcPr>
            <w:tcW w:w="131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交易结果</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000000"/>
                <w:sz w:val="24"/>
                <w:szCs w:val="24"/>
                <w:u w:val="none"/>
              </w:rPr>
            </w:pPr>
            <w:r>
              <w:rPr>
                <w:rFonts w:hint="eastAsia" w:ascii="黑体" w:hAnsi="黑体" w:eastAsia="黑体" w:cs="黑体"/>
                <w:b w:val="0"/>
                <w:i w:val="0"/>
                <w:color w:val="000000"/>
                <w:sz w:val="24"/>
                <w:szCs w:val="24"/>
                <w:u w:val="none"/>
                <w:lang w:val="en-US" w:eastAsia="zh-CN"/>
              </w:rPr>
              <w:t>确认阶段</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tabs>
                <w:tab w:val="left" w:pos="670"/>
              </w:tabs>
              <w:kinsoku/>
              <w:wordWrap/>
              <w:overflowPunct/>
              <w:topLinePunct w:val="0"/>
              <w:autoSpaceDE/>
              <w:autoSpaceDN/>
              <w:bidi w:val="0"/>
              <w:adjustRightInd/>
              <w:snapToGrid/>
              <w:spacing w:line="300" w:lineRule="exact"/>
              <w:ind w:firstLine="480" w:firstLineChars="20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41.中标（定标）候选人公示、中标结果公示等信息是否按《关于规范工程建设项目招投标公告、公示信息发布的通知》(济公资中心发〔2021〕14号)文件要求及时、准确发布。</w:t>
            </w:r>
          </w:p>
        </w:tc>
      </w:tr>
      <w:tr>
        <w:tblPrEx>
          <w:tblCellMar>
            <w:top w:w="0" w:type="dxa"/>
            <w:left w:w="0" w:type="dxa"/>
            <w:bottom w:w="0" w:type="dxa"/>
            <w:right w:w="0" w:type="dxa"/>
          </w:tblCellMar>
        </w:tblPrEx>
        <w:trPr>
          <w:trHeight w:val="510" w:hRule="atLeast"/>
          <w:jc w:val="center"/>
        </w:trPr>
        <w:tc>
          <w:tcPr>
            <w:tcW w:w="13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42.交易双方是否通过济宁市公共资源交易平台办理在线合同签订。</w:t>
            </w:r>
          </w:p>
        </w:tc>
      </w:tr>
      <w:tr>
        <w:tblPrEx>
          <w:tblCellMar>
            <w:top w:w="0" w:type="dxa"/>
            <w:left w:w="0" w:type="dxa"/>
            <w:bottom w:w="0" w:type="dxa"/>
            <w:right w:w="0" w:type="dxa"/>
          </w:tblCellMar>
        </w:tblPrEx>
        <w:trPr>
          <w:trHeight w:val="510" w:hRule="atLeast"/>
          <w:jc w:val="center"/>
        </w:trPr>
        <w:tc>
          <w:tcPr>
            <w:tcW w:w="131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sz w:val="24"/>
                <w:szCs w:val="24"/>
                <w:u w:val="none"/>
              </w:rPr>
            </w:pPr>
          </w:p>
        </w:tc>
        <w:tc>
          <w:tcPr>
            <w:tcW w:w="80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43.代理机构是否完成电子资料归档。</w:t>
            </w:r>
          </w:p>
        </w:tc>
      </w:tr>
      <w:tr>
        <w:tblPrEx>
          <w:shd w:val="clear" w:color="auto" w:fill="auto"/>
          <w:tblCellMar>
            <w:top w:w="0" w:type="dxa"/>
            <w:left w:w="0" w:type="dxa"/>
            <w:bottom w:w="0" w:type="dxa"/>
            <w:right w:w="0" w:type="dxa"/>
          </w:tblCellMar>
        </w:tblPrEx>
        <w:trPr>
          <w:trHeight w:val="9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重新评审</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000000"/>
                <w:sz w:val="24"/>
                <w:szCs w:val="24"/>
                <w:u w:val="none"/>
              </w:rPr>
            </w:pPr>
            <w:r>
              <w:rPr>
                <w:rFonts w:hint="eastAsia" w:ascii="黑体" w:hAnsi="黑体" w:eastAsia="黑体" w:cs="黑体"/>
                <w:b w:val="0"/>
                <w:i w:val="0"/>
                <w:color w:val="000000"/>
                <w:sz w:val="24"/>
                <w:szCs w:val="24"/>
                <w:u w:val="none"/>
                <w:lang w:val="en-US" w:eastAsia="zh-CN"/>
              </w:rPr>
              <w:t>阶段</w:t>
            </w:r>
          </w:p>
        </w:tc>
        <w:tc>
          <w:tcPr>
            <w:tcW w:w="80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44.代理机构递交的重新评审或配合协助答复材料是否齐全。</w:t>
            </w:r>
          </w:p>
        </w:tc>
      </w:tr>
    </w:tbl>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宋体" w:eastAsia="仿宋_GB2312" w:cs="仿宋_GB2312"/>
          <w:b/>
          <w:bCs/>
          <w:i w:val="0"/>
          <w:color w:val="000000"/>
          <w:kern w:val="0"/>
          <w:sz w:val="30"/>
          <w:szCs w:val="3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宋体" w:eastAsia="仿宋_GB2312" w:cs="仿宋_GB2312"/>
          <w:b/>
          <w:bCs/>
          <w:i w:val="0"/>
          <w:color w:val="000000"/>
          <w:kern w:val="0"/>
          <w:sz w:val="30"/>
          <w:szCs w:val="3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宋体" w:eastAsia="仿宋_GB2312" w:cs="仿宋_GB2312"/>
          <w:b/>
          <w:bCs/>
          <w:i w:val="0"/>
          <w:color w:val="000000"/>
          <w:kern w:val="0"/>
          <w:sz w:val="30"/>
          <w:szCs w:val="30"/>
          <w:u w:val="none"/>
          <w:lang w:val="en-US" w:eastAsia="zh-CN" w:bidi="ar"/>
        </w:rPr>
      </w:pPr>
      <w:r>
        <w:rPr>
          <w:rFonts w:hint="eastAsia" w:ascii="仿宋_GB2312" w:hAnsi="宋体" w:eastAsia="仿宋_GB2312" w:cs="仿宋_GB2312"/>
          <w:b/>
          <w:bCs/>
          <w:i w:val="0"/>
          <w:color w:val="000000"/>
          <w:kern w:val="0"/>
          <w:sz w:val="30"/>
          <w:szCs w:val="30"/>
          <w:u w:val="none"/>
          <w:lang w:val="en-US" w:eastAsia="zh-CN" w:bidi="ar"/>
        </w:rPr>
        <w:t>政府采购项目见证工作清单</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bl>
      <w:tblPr>
        <w:tblStyle w:val="11"/>
        <w:tblW w:w="9620" w:type="dxa"/>
        <w:jc w:val="center"/>
        <w:shd w:val="clear" w:color="auto" w:fill="auto"/>
        <w:tblLayout w:type="fixed"/>
        <w:tblCellMar>
          <w:top w:w="0" w:type="dxa"/>
          <w:left w:w="0" w:type="dxa"/>
          <w:bottom w:w="0" w:type="dxa"/>
          <w:right w:w="0" w:type="dxa"/>
        </w:tblCellMar>
      </w:tblPr>
      <w:tblGrid>
        <w:gridCol w:w="1309"/>
        <w:gridCol w:w="8311"/>
      </w:tblGrid>
      <w:tr>
        <w:tblPrEx>
          <w:tblCellMar>
            <w:top w:w="0" w:type="dxa"/>
            <w:left w:w="0" w:type="dxa"/>
            <w:bottom w:w="0" w:type="dxa"/>
            <w:right w:w="0" w:type="dxa"/>
          </w:tblCellMar>
        </w:tblPrEx>
        <w:trPr>
          <w:trHeight w:val="68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见证工作</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kern w:val="0"/>
                <w:sz w:val="24"/>
                <w:szCs w:val="21"/>
                <w:u w:val="none"/>
                <w:lang w:val="en-US" w:eastAsia="zh-CN" w:bidi="ar"/>
              </w:rPr>
            </w:pPr>
            <w:r>
              <w:rPr>
                <w:rFonts w:hint="eastAsia" w:ascii="黑体" w:hAnsi="黑体" w:eastAsia="黑体" w:cs="黑体"/>
                <w:b w:val="0"/>
                <w:i w:val="0"/>
                <w:color w:val="000000"/>
                <w:sz w:val="24"/>
                <w:szCs w:val="24"/>
                <w:u w:val="none"/>
                <w:lang w:val="en-US" w:eastAsia="zh-CN"/>
              </w:rPr>
              <w:t>阶段</w:t>
            </w: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right="0"/>
              <w:jc w:val="center"/>
              <w:textAlignment w:val="center"/>
              <w:rPr>
                <w:rFonts w:hint="eastAsia" w:ascii="黑体" w:hAnsi="黑体" w:eastAsia="黑体" w:cs="黑体"/>
                <w:b w:val="0"/>
                <w:i w:val="0"/>
                <w:color w:val="000000"/>
                <w:kern w:val="0"/>
                <w:sz w:val="24"/>
                <w:szCs w:val="21"/>
                <w:u w:val="none"/>
                <w:lang w:val="en-US" w:eastAsia="zh-CN" w:bidi="ar"/>
              </w:rPr>
            </w:pPr>
            <w:r>
              <w:rPr>
                <w:rFonts w:hint="eastAsia" w:ascii="黑体" w:hAnsi="黑体" w:eastAsia="黑体" w:cs="黑体"/>
                <w:b w:val="0"/>
                <w:i w:val="0"/>
                <w:color w:val="000000"/>
                <w:kern w:val="0"/>
                <w:sz w:val="24"/>
                <w:szCs w:val="21"/>
                <w:u w:val="none"/>
                <w:lang w:val="en-US" w:eastAsia="zh-CN" w:bidi="ar"/>
              </w:rPr>
              <w:t>见证内容</w:t>
            </w:r>
          </w:p>
        </w:tc>
      </w:tr>
      <w:tr>
        <w:tblPrEx>
          <w:tblCellMar>
            <w:top w:w="0" w:type="dxa"/>
            <w:left w:w="0" w:type="dxa"/>
            <w:bottom w:w="0" w:type="dxa"/>
            <w:right w:w="0" w:type="dxa"/>
          </w:tblCellMar>
        </w:tblPrEx>
        <w:trPr>
          <w:trHeight w:val="510" w:hRule="atLeast"/>
          <w:jc w:val="center"/>
        </w:trPr>
        <w:tc>
          <w:tcPr>
            <w:tcW w:w="130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项目进场</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黑体" w:hAnsi="黑体" w:eastAsia="黑体" w:cs="黑体"/>
                <w:b w:val="0"/>
                <w:i w:val="0"/>
                <w:color w:val="000000"/>
                <w:sz w:val="24"/>
                <w:szCs w:val="24"/>
                <w:u w:val="none"/>
                <w:lang w:val="en-US" w:eastAsia="zh-CN"/>
              </w:rPr>
              <w:t>阶段</w:t>
            </w: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1.交易采购预算、资金落实情况、交易方式是否与政府采购计划备案一致。</w:t>
            </w:r>
          </w:p>
        </w:tc>
      </w:tr>
      <w:tr>
        <w:tblPrEx>
          <w:shd w:val="clear" w:color="auto" w:fill="auto"/>
          <w:tblCellMar>
            <w:top w:w="0" w:type="dxa"/>
            <w:left w:w="0" w:type="dxa"/>
            <w:bottom w:w="0" w:type="dxa"/>
            <w:right w:w="0" w:type="dxa"/>
          </w:tblCellMar>
        </w:tblPrEx>
        <w:trPr>
          <w:trHeight w:val="45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2.系统填写项目信息是否填写准确、完整。</w:t>
            </w:r>
          </w:p>
        </w:tc>
      </w:tr>
      <w:tr>
        <w:tblPrEx>
          <w:shd w:val="clear" w:color="auto" w:fill="auto"/>
          <w:tblCellMar>
            <w:top w:w="0" w:type="dxa"/>
            <w:left w:w="0" w:type="dxa"/>
            <w:bottom w:w="0" w:type="dxa"/>
            <w:right w:w="0" w:type="dxa"/>
          </w:tblCellMar>
        </w:tblPrEx>
        <w:trPr>
          <w:trHeight w:val="510" w:hRule="atLeast"/>
          <w:jc w:val="center"/>
        </w:trPr>
        <w:tc>
          <w:tcPr>
            <w:tcW w:w="130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公告信息及招标（采购）  文件发布</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黑体" w:hAnsi="黑体" w:eastAsia="黑体" w:cs="黑体"/>
                <w:b w:val="0"/>
                <w:i w:val="0"/>
                <w:color w:val="000000"/>
                <w:sz w:val="24"/>
                <w:szCs w:val="24"/>
                <w:u w:val="none"/>
                <w:lang w:val="en-US" w:eastAsia="zh-CN"/>
              </w:rPr>
              <w:t>阶段</w:t>
            </w: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3.采购人和代理机构的名称、地址是否填写完整。</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4.采购需求相关内容是否充分体现（内容包括但不限于标的的名称 、数量、质量、安全、技术需求或服务要求等）。</w:t>
            </w:r>
          </w:p>
        </w:tc>
      </w:tr>
      <w:tr>
        <w:tblPrEx>
          <w:shd w:val="clear" w:color="auto" w:fill="auto"/>
          <w:tblCellMar>
            <w:top w:w="0" w:type="dxa"/>
            <w:left w:w="0" w:type="dxa"/>
            <w:bottom w:w="0" w:type="dxa"/>
            <w:right w:w="0" w:type="dxa"/>
          </w:tblCellMar>
        </w:tblPrEx>
        <w:trPr>
          <w:trHeight w:val="449"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6.采购项目预算金额是否与政府采购计划表、计划备案表一致。</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7.采购项目是否填写落实政府采购政策。</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8.专门面向中小企业采购项目的供应商，是否为中小微企业、监狱企业、残疾人福利性单位。</w:t>
            </w:r>
          </w:p>
        </w:tc>
      </w:tr>
      <w:tr>
        <w:tblPrEx>
          <w:tblCellMar>
            <w:top w:w="0" w:type="dxa"/>
            <w:left w:w="0" w:type="dxa"/>
            <w:bottom w:w="0" w:type="dxa"/>
            <w:right w:w="0" w:type="dxa"/>
          </w:tblCellMar>
        </w:tblPrEx>
        <w:trPr>
          <w:trHeight w:val="2087"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供应商的资格要求是否存在以不合理条件对供应商实行差别待遇或者歧视待遇（具体包括但不限于是否限定供应商所有制形式及组织形式；是否限定供应商注册地在某行政区域；是否设置注册资本、资产总额、营业收入、从业人员、利润、纳税额等规模条件；是否设置企业股权结构、经营年限、经营规模和财务指标等方面的条件；是否设定特定金额的业绩作为资格条件；是否设定的供应商资质等级超出项目所需的资质等级要求；是否将特定行政区域或者特定行业的业绩、奖项作为资格条件）。</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10.从招标（采购）文件获取到投标截止时间是否符合法定时间（公开招标不少于20日，竞争性磋商不少于10日，竞争性谈判和询价不少于3个工作日）。</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11.采购项目联系人姓名和电话是否违规涉及个人隐私信息。</w:t>
            </w:r>
          </w:p>
        </w:tc>
      </w:tr>
      <w:tr>
        <w:tblPrEx>
          <w:tblCellMar>
            <w:top w:w="0" w:type="dxa"/>
            <w:left w:w="0" w:type="dxa"/>
            <w:bottom w:w="0" w:type="dxa"/>
            <w:right w:w="0" w:type="dxa"/>
          </w:tblCellMar>
        </w:tblPrEx>
        <w:trPr>
          <w:trHeight w:val="389"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12.招标（采购）的公告期是否符合法定时限（公开招标为5个工作日，竞争性磋商、竞争性谈判和询价为3个工作日）。</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13.招标（采购）公告格式是否按照示范文本标准格式执行。</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14.更正公告内容是否违规涉及采购标的和资格条件的变动。</w:t>
            </w:r>
          </w:p>
        </w:tc>
      </w:tr>
      <w:tr>
        <w:tblPrEx>
          <w:shd w:val="clear" w:color="auto" w:fill="auto"/>
          <w:tblCellMar>
            <w:top w:w="0" w:type="dxa"/>
            <w:left w:w="0" w:type="dxa"/>
            <w:bottom w:w="0" w:type="dxa"/>
            <w:right w:w="0" w:type="dxa"/>
          </w:tblCellMar>
        </w:tblPrEx>
        <w:trPr>
          <w:trHeight w:val="1610" w:hRule="atLeast"/>
          <w:jc w:val="center"/>
        </w:trPr>
        <w:tc>
          <w:tcPr>
            <w:tcW w:w="1309"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公告信息及招标（采购）文件发布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黑体" w:hAnsi="黑体" w:eastAsia="黑体" w:cs="黑体"/>
                <w:b w:val="0"/>
                <w:i w:val="0"/>
                <w:color w:val="000000"/>
                <w:sz w:val="24"/>
                <w:szCs w:val="24"/>
                <w:u w:val="none"/>
                <w:lang w:val="en-US" w:eastAsia="zh-CN"/>
              </w:rPr>
              <w:t>阶段</w:t>
            </w: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 xml:space="preserve">15.更正公告中澄清或者修改的内容可能影响投标文件编制的时间是否顺延。公开招标应当在投标截止时间至少15日前，不足15日，需顺延提交投标文件截止时间；竞争性磋商应当在提交首次响应文件截止时间至少5日前，不足5日，需顺延提交响应文件截止时间；竞争性谈判、询价应当在提交首次响应文件截止时间至少3个工作日前，不足3个工作日，需顺延提交响应文件截止时间。 </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16.招标（采购）文件资格条件设置是否与公告一致。</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17.是否违规收取投标保证金。</w:t>
            </w:r>
          </w:p>
        </w:tc>
      </w:tr>
      <w:tr>
        <w:tblPrEx>
          <w:tblCellMar>
            <w:top w:w="0" w:type="dxa"/>
            <w:left w:w="0" w:type="dxa"/>
            <w:bottom w:w="0" w:type="dxa"/>
            <w:right w:w="0" w:type="dxa"/>
          </w:tblCellMar>
        </w:tblPrEx>
        <w:trPr>
          <w:trHeight w:val="102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18.招标（采购）文件是否收取履约保证金，如收取，履约保证金数额不得超过政府采购合同金额的10%且应当以支票、汇票、本票、或者金融机构、担保机构出具的保函等非现金形式提交。</w:t>
            </w:r>
          </w:p>
        </w:tc>
      </w:tr>
      <w:tr>
        <w:tblPrEx>
          <w:tblCellMar>
            <w:top w:w="0" w:type="dxa"/>
            <w:left w:w="0" w:type="dxa"/>
            <w:bottom w:w="0" w:type="dxa"/>
            <w:right w:w="0" w:type="dxa"/>
          </w:tblCellMar>
        </w:tblPrEx>
        <w:trPr>
          <w:trHeight w:val="1733"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 xml:space="preserve">19.招标（采购）文件是否执行政府采购政策，绿色采购、创新采购、中小企业（评审价格扣除优惠：货物和服务10%—20%；工程3%—5%）、监狱企业、残疾人福利企业政策。其中，绿色采购采用最低评标价法时，对节能、环保产品分别给予5%-10%评审价格扣除优惠；采用综合评分法时，增加节能、环保产品评审因素，对技术和价格分别给予技术评标总分值和价格评标总分值的4%-8%幅度不等的加分。 </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20.强制采购节能产品是否在招标（采购）文件中明确表述。</w:t>
            </w:r>
          </w:p>
        </w:tc>
      </w:tr>
      <w:tr>
        <w:tblPrEx>
          <w:shd w:val="clear" w:color="auto" w:fill="auto"/>
          <w:tblCellMar>
            <w:top w:w="0" w:type="dxa"/>
            <w:left w:w="0" w:type="dxa"/>
            <w:bottom w:w="0" w:type="dxa"/>
            <w:right w:w="0" w:type="dxa"/>
          </w:tblCellMar>
        </w:tblPrEx>
        <w:trPr>
          <w:trHeight w:val="1191"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21.招标（采购）文件是否存在违规要求提供样品。对仅凭书面方式不能准确描述采购需求或者需要对样品进行主观判断以确认是否满足采购需求等特殊情况除外），如需要提供样品，是否在招标（采购）文件中明确规定样品制作的标准和要求。</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22.是否对不允许偏离的实质性要求和条件在招标（采购）文件中以“★”号等醒目方式标明。</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23.招标（采购）文件是否将资格条件作为评审因素。</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24.招标（采购）文件是否违规将供应商的注册地、注册资本、资产总额、营业收入、从业人员、利润、纳税额等规模条件设定为评审因素。</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25.招标（采购）文件是否将未在采购需求中列明的技术参数、产品功能作为评审因素。</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26.采用招标方式的政务信息系统项目，招标（采购）文件是否采用综合评分法。</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27.招标（采购）文件是否违规将以特定行政区域或者特定行业的业绩、奖项作为加分条件或评审因素。</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28.招标（采购）文件是否违规将与采购项目的具体特点和实际需要不相适应或者合同履行无关的供应商业绩、资信、荣誉等作为评分条件。</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29.招标（采购）文件是否违规将与采购货物服务质量无关的技术指标或服务要求设定为评审因素。</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30.招标（采购）文件评审分值设定是否违规存在评审因素未量化的情况。</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31.招标（采购）文件评审分值设定是否与评审因素指标相对应。</w:t>
            </w:r>
          </w:p>
        </w:tc>
      </w:tr>
      <w:tr>
        <w:tblPrEx>
          <w:tblCellMar>
            <w:top w:w="0" w:type="dxa"/>
            <w:left w:w="0" w:type="dxa"/>
            <w:bottom w:w="0" w:type="dxa"/>
            <w:right w:w="0" w:type="dxa"/>
          </w:tblCellMar>
        </w:tblPrEx>
        <w:trPr>
          <w:trHeight w:val="510" w:hRule="atLeast"/>
          <w:jc w:val="center"/>
        </w:trPr>
        <w:tc>
          <w:tcPr>
            <w:tcW w:w="1309"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公告信息及招标（采购）文件发布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阶段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32.招标（采购）文件是否违规存在将先进性、优、良、中、差等没有具体明确判断标准的表述作为评审因素。</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33.招标（采购）文件是否违规将价格分设定去掉最后报价中的最高报价或最低报价。</w:t>
            </w:r>
          </w:p>
        </w:tc>
      </w:tr>
      <w:tr>
        <w:tblPrEx>
          <w:shd w:val="clear" w:color="auto" w:fill="auto"/>
          <w:tblCellMar>
            <w:top w:w="0" w:type="dxa"/>
            <w:left w:w="0" w:type="dxa"/>
            <w:bottom w:w="0" w:type="dxa"/>
            <w:right w:w="0" w:type="dxa"/>
          </w:tblCellMar>
        </w:tblPrEx>
        <w:trPr>
          <w:trHeight w:val="964"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34.公开招标的综合评分办法的分值设置是否合理。货物项目的价格分值占总分值的比重（权重）不得低于30%，服务项目的价格分值占总分值的比重（权重）不得低于10%的（执行统一价格标准的项目除外）。</w:t>
            </w:r>
          </w:p>
        </w:tc>
      </w:tr>
      <w:tr>
        <w:tblPrEx>
          <w:tblCellMar>
            <w:top w:w="0" w:type="dxa"/>
            <w:left w:w="0" w:type="dxa"/>
            <w:bottom w:w="0" w:type="dxa"/>
            <w:right w:w="0" w:type="dxa"/>
          </w:tblCellMar>
        </w:tblPrEx>
        <w:trPr>
          <w:trHeight w:val="964"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35.竞争性磋商的分值设置是否合理。货物项目的价格分值占总分值的比重（即权值）不得低于30%或超过60%，服务项目的价格分值占总分值的比重（即权值）不得低于10%或超过30%。</w:t>
            </w:r>
          </w:p>
        </w:tc>
      </w:tr>
      <w:tr>
        <w:tblPrEx>
          <w:tblCellMar>
            <w:top w:w="0" w:type="dxa"/>
            <w:left w:w="0" w:type="dxa"/>
            <w:bottom w:w="0" w:type="dxa"/>
            <w:right w:w="0" w:type="dxa"/>
          </w:tblCellMar>
        </w:tblPrEx>
        <w:trPr>
          <w:trHeight w:val="964"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36.政务信息系统项目的分值设置是否合理。货物项目的价格分值占总分值的比重未设置为30%，服务项目的价格分值占总分值比重未设置为10%（单一来源除外）。</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37.招标（采购）文件是否违规设定最低限价（国家或地方有强制最低价格标准的除外）。</w:t>
            </w:r>
          </w:p>
        </w:tc>
      </w:tr>
      <w:tr>
        <w:tblPrEx>
          <w:shd w:val="clear" w:color="auto" w:fill="auto"/>
          <w:tblCellMar>
            <w:top w:w="0" w:type="dxa"/>
            <w:left w:w="0" w:type="dxa"/>
            <w:bottom w:w="0" w:type="dxa"/>
            <w:right w:w="0" w:type="dxa"/>
          </w:tblCellMar>
        </w:tblPrEx>
        <w:trPr>
          <w:trHeight w:val="510" w:hRule="atLeast"/>
          <w:jc w:val="center"/>
        </w:trPr>
        <w:tc>
          <w:tcPr>
            <w:tcW w:w="1309"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专家抽取</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C00000"/>
                <w:kern w:val="0"/>
                <w:sz w:val="24"/>
                <w:szCs w:val="24"/>
                <w:u w:val="none"/>
                <w:lang w:val="en-US" w:eastAsia="zh-CN" w:bidi="ar"/>
              </w:rPr>
            </w:pPr>
            <w:r>
              <w:rPr>
                <w:rFonts w:hint="eastAsia" w:ascii="黑体" w:hAnsi="黑体" w:eastAsia="黑体" w:cs="黑体"/>
                <w:b w:val="0"/>
                <w:i w:val="0"/>
                <w:color w:val="000000"/>
                <w:sz w:val="24"/>
                <w:szCs w:val="24"/>
                <w:u w:val="none"/>
                <w:lang w:val="en-US" w:eastAsia="zh-CN"/>
              </w:rPr>
              <w:t>阶段</w:t>
            </w: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38.抽取专业与《专家抽取登记表》是否一致。</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C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39.是否准确填写《专家抽取登记表》并加盖公章。</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C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40.填报回避单位和专家原因是否合理并提供依据。</w:t>
            </w:r>
          </w:p>
        </w:tc>
      </w:tr>
      <w:tr>
        <w:tblPrEx>
          <w:shd w:val="clear" w:color="auto" w:fill="auto"/>
          <w:tblCellMar>
            <w:top w:w="0" w:type="dxa"/>
            <w:left w:w="0" w:type="dxa"/>
            <w:bottom w:w="0" w:type="dxa"/>
            <w:right w:w="0" w:type="dxa"/>
          </w:tblCellMar>
        </w:tblPrEx>
        <w:trPr>
          <w:trHeight w:val="510" w:hRule="atLeast"/>
          <w:jc w:val="center"/>
        </w:trPr>
        <w:tc>
          <w:tcPr>
            <w:tcW w:w="1309"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黑体" w:hAnsi="黑体" w:eastAsia="黑体" w:cs="黑体"/>
                <w:b w:val="0"/>
                <w:i w:val="0"/>
                <w:color w:val="000000"/>
                <w:sz w:val="24"/>
                <w:szCs w:val="24"/>
                <w:u w:val="none"/>
                <w:lang w:val="en-US" w:eastAsia="zh-CN"/>
              </w:rPr>
              <w:t>开标阶段</w:t>
            </w: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41.见证人员应当提前5分钟到达开标现场。</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42.采购人或代理机构是否按照招标/谈判磋商/采购文件规定的程序主持开标会议。</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43.是否公布在规定时间内提交投标/响应文件的供应商名单。</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44.是否按照采购文件规定的时间、地点、流程、参加人员等组织开标，维持开标秩序，并做好信用信息记录。</w:t>
            </w:r>
          </w:p>
        </w:tc>
      </w:tr>
      <w:tr>
        <w:tblPrEx>
          <w:shd w:val="clear" w:color="auto" w:fill="auto"/>
          <w:tblCellMar>
            <w:top w:w="0" w:type="dxa"/>
            <w:left w:w="0" w:type="dxa"/>
            <w:bottom w:w="0" w:type="dxa"/>
            <w:right w:w="0" w:type="dxa"/>
          </w:tblCellMar>
        </w:tblPrEx>
        <w:trPr>
          <w:trHeight w:val="964" w:hRule="atLeast"/>
          <w:jc w:val="center"/>
        </w:trPr>
        <w:tc>
          <w:tcPr>
            <w:tcW w:w="130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45.采购人或代理机构是否通过“信用中国”和“中国政府采购网”对供应商的失信被执行人、重大税收违法案件当事人名单、严重违法失信行为等信息进行现场查询确认。</w:t>
            </w:r>
          </w:p>
        </w:tc>
      </w:tr>
      <w:tr>
        <w:tblPrEx>
          <w:shd w:val="clear" w:color="auto" w:fill="auto"/>
          <w:tblCellMar>
            <w:top w:w="0" w:type="dxa"/>
            <w:left w:w="0" w:type="dxa"/>
            <w:bottom w:w="0" w:type="dxa"/>
            <w:right w:w="0" w:type="dxa"/>
          </w:tblCellMar>
        </w:tblPrEx>
        <w:trPr>
          <w:trHeight w:val="510" w:hRule="atLeast"/>
          <w:jc w:val="center"/>
        </w:trPr>
        <w:tc>
          <w:tcPr>
            <w:tcW w:w="1309"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default" w:ascii="仿宋_GB2312" w:hAnsi="宋体" w:eastAsia="仿宋_GB2312" w:cs="仿宋_GB2312"/>
                <w:i w:val="0"/>
                <w:color w:val="000000"/>
                <w:kern w:val="0"/>
                <w:sz w:val="24"/>
                <w:szCs w:val="24"/>
                <w:u w:val="none"/>
                <w:lang w:val="en-US" w:eastAsia="zh-CN" w:bidi="ar"/>
              </w:rPr>
            </w:pPr>
            <w:r>
              <w:rPr>
                <w:rFonts w:hint="eastAsia" w:ascii="黑体" w:hAnsi="黑体" w:eastAsia="黑体" w:cs="黑体"/>
                <w:b w:val="0"/>
                <w:i w:val="0"/>
                <w:color w:val="000000"/>
                <w:sz w:val="24"/>
                <w:szCs w:val="24"/>
                <w:u w:val="none"/>
                <w:lang w:val="en-US" w:eastAsia="zh-CN"/>
              </w:rPr>
              <w:t xml:space="preserve">评标阶段  </w:t>
            </w: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46.采购人或代理机构是否对投标供应商的资格条件进行审查并在资格审查表签字确认。</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47.未经允许，进入评标区代理机构工作人员的数量原则上不超过1人。代理机构工作人员是否存在串岗聊天、做与评标无关的行为。</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48.代理机构、评标委员会（磋商小组、谈判小组、询价小组、单一来源采购人员小组）成员是否违规将通讯工具带入评标室。</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49.采购人代表是否出具《项目授权委托书》及身份证。</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50.采购人代表、评审专家是否阅读并签署《评标(评审)专家廉洁信用承诺书》。</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51.代理机构是否核实评审委员会成员身份，告知回避要求，宣布评审工作纪律和程序。</w:t>
            </w:r>
          </w:p>
        </w:tc>
      </w:tr>
      <w:tr>
        <w:tblPrEx>
          <w:tblCellMar>
            <w:top w:w="0" w:type="dxa"/>
            <w:left w:w="0" w:type="dxa"/>
            <w:bottom w:w="0" w:type="dxa"/>
            <w:right w:w="0" w:type="dxa"/>
          </w:tblCellMar>
        </w:tblPrEx>
        <w:trPr>
          <w:trHeight w:val="624" w:hRule="atLeast"/>
          <w:jc w:val="center"/>
        </w:trPr>
        <w:tc>
          <w:tcPr>
            <w:tcW w:w="1309"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评标阶段</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52.代理机构、评标委员会（磋商小组、谈判小组、询价小组、单一来源采购人员小组）成员是否执行有关回避制度和保密制度。如有回避，及时做好补抽工作。</w:t>
            </w:r>
          </w:p>
        </w:tc>
      </w:tr>
      <w:tr>
        <w:tblPrEx>
          <w:shd w:val="clear" w:color="auto" w:fill="auto"/>
          <w:tblCellMar>
            <w:top w:w="0" w:type="dxa"/>
            <w:left w:w="0" w:type="dxa"/>
            <w:bottom w:w="0" w:type="dxa"/>
            <w:right w:w="0" w:type="dxa"/>
          </w:tblCellMar>
        </w:tblPrEx>
        <w:trPr>
          <w:trHeight w:val="1622"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53.评标委员会（磋商小组、谈判小组、询价小组）成员人数是否符合法定人数（公开招标至少5人以上单数，采购预算金额在1000万元以上、技术复杂、社会影响较大的至少7人以上单数；竞争性谈判、询价应当3人以上单数组成，达到公开招标数额标准的货物或者服务采购项目应当由5人以上单数组成；竞争性磋商和单一来源参照竞争性谈判、询价执行）。</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54.评标委员会（磋商小组、谈判小组、询价小组）是否履职尽责，独立评审。</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55.评标委员会是否在未完成评审工作的前提下擅自离开评审现场并获取劳动报酬和报销异地评审差旅费。</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56.采购人代表如需在评标前说明项目背景和采购需求，说明内容是否含有歧视性、倾向性意见；是否超出招标文件所述范围；是否提交书面说明材料。</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57.评标委员会（磋商小组、谈判小组、询价小组）成员是否独立、自愿推选评标组组长。</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58.代理机构、评标委员会（磋商小组、谈判小组、询价小组）是否发表倾向性、误导性等不当言论，影响公开、公平、公正的情形。</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59.评标委员会（磋商小组、谈判小组、询价小组）是否按照招标（采购）文件规定的评审程序、评审办法评审标准进行独立评审。</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60.评标委员会（磋商小组、谈判小组、询价小组）是否违反评标纪律发表倾向性意见或者征询采购人代表的倾向性意见。</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61.评标委员会（磋商小组、谈判小组、询价小组）是否违规记录、复制或者带走任何评标资料。</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62.在招标、询价过程中评标委员会、询价小组是否违规与供应商进行协商谈判。</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63.评标委员会（磋商小组、谈判小组、询价小组）是否违规省略磋商、谈判环节。</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64.采购人代表是否违规收取评审专家劳务报酬。</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65.评审专家是否违反《山东省政府采购评审劳务报酬标准》规定超标准索要劳务报酬。</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66.代理机构、评标委员会是否擅自改变评审结果或在不符合重新评审的情况下强制要求重评。</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67.代理机构是否按照评审委员会的要求解释招标（采购）文件，组织供应商澄清。</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68.评审专家、代理机构是否在系统评审结果汇总前对评审数据进行校对、核验。</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69.评审专家是否违规要求供应商（除投标文件中含义不明确、同类问题表述不一致或者有明显文字和计算错误的内容以外）作出澄清、说明或者补正。</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70.代理机构、评标委员会是否违规通过评标系统质询功能、网上开标大厅等渠道对供应商业绩进行确认。</w:t>
            </w:r>
          </w:p>
        </w:tc>
      </w:tr>
      <w:tr>
        <w:tblPrEx>
          <w:shd w:val="clear" w:color="auto" w:fill="auto"/>
          <w:tblCellMar>
            <w:top w:w="0" w:type="dxa"/>
            <w:left w:w="0" w:type="dxa"/>
            <w:bottom w:w="0" w:type="dxa"/>
            <w:right w:w="0" w:type="dxa"/>
          </w:tblCellMar>
        </w:tblPrEx>
        <w:trPr>
          <w:trHeight w:val="510" w:hRule="atLeast"/>
          <w:jc w:val="center"/>
        </w:trPr>
        <w:tc>
          <w:tcPr>
            <w:tcW w:w="1309"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评标阶段</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71.代理机构是否在评审专家录入时勾选采购人代表。</w:t>
            </w:r>
          </w:p>
        </w:tc>
      </w:tr>
      <w:tr>
        <w:tblPrEx>
          <w:tblCellMar>
            <w:top w:w="0" w:type="dxa"/>
            <w:left w:w="0" w:type="dxa"/>
            <w:bottom w:w="0" w:type="dxa"/>
            <w:right w:w="0" w:type="dxa"/>
          </w:tblCellMar>
        </w:tblPrEx>
        <w:trPr>
          <w:trHeight w:val="510" w:hRule="atLeast"/>
          <w:jc w:val="center"/>
        </w:trPr>
        <w:tc>
          <w:tcPr>
            <w:tcW w:w="130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72.代理机构工作人员是否私自与评委交流，随意进出评标室。</w:t>
            </w:r>
          </w:p>
        </w:tc>
      </w:tr>
      <w:tr>
        <w:tblPrEx>
          <w:tblCellMar>
            <w:top w:w="0" w:type="dxa"/>
            <w:left w:w="0" w:type="dxa"/>
            <w:bottom w:w="0" w:type="dxa"/>
            <w:right w:w="0" w:type="dxa"/>
          </w:tblCellMar>
        </w:tblPrEx>
        <w:trPr>
          <w:trHeight w:val="510" w:hRule="atLeast"/>
          <w:jc w:val="center"/>
        </w:trPr>
        <w:tc>
          <w:tcPr>
            <w:tcW w:w="130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73.代理机构是否违规在发布中标（成交）公告之前通过网上开标大厅、电话等形式公布评审结果。</w:t>
            </w:r>
          </w:p>
        </w:tc>
      </w:tr>
      <w:tr>
        <w:tblPrEx>
          <w:tblCellMar>
            <w:top w:w="0" w:type="dxa"/>
            <w:left w:w="0" w:type="dxa"/>
            <w:bottom w:w="0" w:type="dxa"/>
            <w:right w:w="0" w:type="dxa"/>
          </w:tblCellMar>
        </w:tblPrEx>
        <w:trPr>
          <w:trHeight w:val="510" w:hRule="atLeast"/>
          <w:jc w:val="center"/>
        </w:trPr>
        <w:tc>
          <w:tcPr>
            <w:tcW w:w="130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74.对作废标处理的应认真记录废标原因。</w:t>
            </w:r>
          </w:p>
        </w:tc>
      </w:tr>
      <w:tr>
        <w:tblPrEx>
          <w:tblCellMar>
            <w:top w:w="0" w:type="dxa"/>
            <w:left w:w="0" w:type="dxa"/>
            <w:bottom w:w="0" w:type="dxa"/>
            <w:right w:w="0" w:type="dxa"/>
          </w:tblCellMar>
        </w:tblPrEx>
        <w:trPr>
          <w:trHeight w:val="510" w:hRule="atLeast"/>
          <w:jc w:val="center"/>
        </w:trPr>
        <w:tc>
          <w:tcPr>
            <w:tcW w:w="1309"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交易结果</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确认阶段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75.采购人和代理机构的名称、地址是否填写完整。</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76.采购项目联系人姓名和电话是否违规涉及个人隐私信息。</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77.项目名称、项目编号、中标或者成交供应商名称、地址和中标（成交）金额公示是否完整、准确。</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78.主要中标（成交）标的的名称、规格型号、数量、单价、服务要求或者标的的基本概况是否完整公示。</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79.评审专家名单是否标识采购人代表。</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80.中标（成交）公告是否公示未中标供应商的未中标理由。</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81.公开招标方式的中标公告是否公示供应商的资格审查结果。</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82.评审结果是否与专家打分结果一致，是否完整、准确公示。</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83.是否公示山东省政府采购评审劳务报酬支付表，是否违规涉及专家身份证、电话等个人信息。</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84.是否公示代理服务费情况，收费标准及金额是否填写完整。</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85.中标（成交）结果是否在中标、成交供应商确定之日起2个工作日内公示。</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86.中标（成交）结果公示期限是否为1个工作日。</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87.在邀请招标、竞争性谈判、询价、竞争性磋商交易方式中，采用书面推荐方式产生符合资格条件的潜在供应商的是否公示被推荐供应商名单和推荐理由。</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88.中标（成交）供应商为中小企业的是否公示《中小企业声明函》。</w:t>
            </w:r>
          </w:p>
        </w:tc>
      </w:tr>
      <w:tr>
        <w:tblPrEx>
          <w:shd w:val="clear" w:color="auto" w:fill="auto"/>
          <w:tblCellMar>
            <w:top w:w="0" w:type="dxa"/>
            <w:left w:w="0" w:type="dxa"/>
            <w:bottom w:w="0" w:type="dxa"/>
            <w:right w:w="0" w:type="dxa"/>
          </w:tblCellMar>
        </w:tblPrEx>
        <w:trPr>
          <w:trHeight w:val="510" w:hRule="atLeast"/>
          <w:jc w:val="center"/>
        </w:trPr>
        <w:tc>
          <w:tcPr>
            <w:tcW w:w="1309"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89.中标（成交）供应商为残疾人福利性单位的是否公示《残疾人福利性单位声明函》。</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90.中标（成交）供应商注册地在国家级贫困县域内物业公司的是否公示注册所在县扶贫部门出具的聘用建档立卡贫困人员具体数量的证明。</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91.将业绩作为评审因素的是否同时公示中标、成交供应商投标（响应）文件里提报的业绩情况，只发布项目名称、合同相对方单位名称、标的。</w:t>
            </w:r>
          </w:p>
        </w:tc>
      </w:tr>
      <w:tr>
        <w:tblPrEx>
          <w:tblCellMar>
            <w:top w:w="0" w:type="dxa"/>
            <w:left w:w="0" w:type="dxa"/>
            <w:bottom w:w="0" w:type="dxa"/>
            <w:right w:w="0" w:type="dxa"/>
          </w:tblCellMar>
        </w:tblPrEx>
        <w:trPr>
          <w:trHeight w:val="510" w:hRule="atLeast"/>
          <w:jc w:val="center"/>
        </w:trPr>
        <w:tc>
          <w:tcPr>
            <w:tcW w:w="1309"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92.中标（成交）结果更正公告如改变中标（成交）供应商的，是否公示理由。</w:t>
            </w:r>
          </w:p>
        </w:tc>
      </w:tr>
      <w:tr>
        <w:tblPrEx>
          <w:shd w:val="clear" w:color="auto" w:fill="auto"/>
          <w:tblCellMar>
            <w:top w:w="0" w:type="dxa"/>
            <w:left w:w="0" w:type="dxa"/>
            <w:bottom w:w="0" w:type="dxa"/>
            <w:right w:w="0" w:type="dxa"/>
          </w:tblCellMar>
        </w:tblPrEx>
        <w:trPr>
          <w:trHeight w:val="510" w:hRule="atLeast"/>
          <w:jc w:val="center"/>
        </w:trPr>
        <w:tc>
          <w:tcPr>
            <w:tcW w:w="1309"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交易结果</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黑体" w:hAnsi="黑体" w:eastAsia="黑体" w:cs="黑体"/>
                <w:b w:val="0"/>
                <w:i w:val="0"/>
                <w:color w:val="000000"/>
                <w:sz w:val="24"/>
                <w:szCs w:val="24"/>
                <w:u w:val="none"/>
                <w:lang w:val="en-US" w:eastAsia="zh-CN"/>
              </w:rPr>
              <w:t>确认阶段</w:t>
            </w: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93.中标（成交）供应商是否从评标委员会（磋商小组、谈判小组、询价小组）中标或者成交候选人中确定。</w:t>
            </w:r>
          </w:p>
        </w:tc>
      </w:tr>
      <w:tr>
        <w:tblPrEx>
          <w:shd w:val="clear" w:color="auto" w:fill="auto"/>
          <w:tblCellMar>
            <w:top w:w="0" w:type="dxa"/>
            <w:left w:w="0" w:type="dxa"/>
            <w:bottom w:w="0" w:type="dxa"/>
            <w:right w:w="0" w:type="dxa"/>
          </w:tblCellMar>
        </w:tblPrEx>
        <w:trPr>
          <w:trHeight w:val="510" w:hRule="atLeast"/>
          <w:jc w:val="center"/>
        </w:trPr>
        <w:tc>
          <w:tcPr>
            <w:tcW w:w="1309"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黑体" w:hAnsi="黑体" w:eastAsia="黑体" w:cs="黑体"/>
                <w:b w:val="0"/>
                <w:i w:val="0"/>
                <w:color w:val="000000"/>
                <w:sz w:val="24"/>
                <w:szCs w:val="24"/>
                <w:u w:val="none"/>
                <w:lang w:val="en-US" w:eastAsia="zh-CN"/>
              </w:rPr>
              <w:t>中标（成交）公告发布后重新评审或配合协助答复阶段</w:t>
            </w: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94.重新评审项目是否符合法定情形。</w:t>
            </w:r>
          </w:p>
        </w:tc>
      </w:tr>
      <w:tr>
        <w:tblPrEx>
          <w:shd w:val="clear" w:color="auto" w:fill="auto"/>
          <w:tblCellMar>
            <w:top w:w="0" w:type="dxa"/>
            <w:left w:w="0" w:type="dxa"/>
            <w:bottom w:w="0" w:type="dxa"/>
            <w:right w:w="0" w:type="dxa"/>
          </w:tblCellMar>
        </w:tblPrEx>
        <w:trPr>
          <w:trHeight w:val="1262" w:hRule="atLeast"/>
          <w:jc w:val="center"/>
        </w:trPr>
        <w:tc>
          <w:tcPr>
            <w:tcW w:w="130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8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95.代理机构递交的重新评审或配合协助答复材料是否齐全。</w:t>
            </w:r>
          </w:p>
        </w:tc>
      </w:tr>
    </w:tbl>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rPr>
          <w:rFonts w:hint="eastAsia" w:ascii="仿宋_GB2312" w:hAnsi="宋体" w:eastAsia="仿宋_GB2312" w:cs="仿宋_GB2312"/>
          <w:b/>
          <w:bCs/>
          <w:i w:val="0"/>
          <w:color w:val="000000"/>
          <w:kern w:val="0"/>
          <w:sz w:val="30"/>
          <w:szCs w:val="30"/>
          <w:u w:val="none"/>
          <w:lang w:val="en-US" w:eastAsia="zh-CN" w:bidi="ar"/>
        </w:rPr>
      </w:pPr>
    </w:p>
    <w:p>
      <w:pPr>
        <w:pStyle w:val="2"/>
        <w:jc w:val="center"/>
        <w:rPr>
          <w:rFonts w:hint="eastAsia" w:ascii="仿宋_GB2312" w:hAnsi="宋体" w:eastAsia="仿宋_GB2312" w:cs="仿宋_GB2312"/>
          <w:b/>
          <w:bCs/>
          <w:i w:val="0"/>
          <w:color w:val="000000"/>
          <w:kern w:val="0"/>
          <w:sz w:val="30"/>
          <w:szCs w:val="30"/>
          <w:u w:val="none"/>
          <w:lang w:val="en-US" w:eastAsia="zh-CN" w:bidi="ar"/>
        </w:rPr>
      </w:pPr>
      <w:r>
        <w:rPr>
          <w:rFonts w:hint="eastAsia" w:ascii="仿宋_GB2312" w:hAnsi="宋体" w:eastAsia="仿宋_GB2312" w:cs="仿宋_GB2312"/>
          <w:b/>
          <w:bCs/>
          <w:i w:val="0"/>
          <w:color w:val="000000"/>
          <w:kern w:val="0"/>
          <w:sz w:val="30"/>
          <w:szCs w:val="30"/>
          <w:u w:val="none"/>
          <w:lang w:val="en-US" w:eastAsia="zh-CN" w:bidi="ar"/>
        </w:rPr>
        <w:t>自然资源项目见证工作清单</w:t>
      </w:r>
    </w:p>
    <w:p>
      <w:pPr>
        <w:pStyle w:val="2"/>
        <w:ind w:left="0" w:leftChars="0" w:firstLine="0" w:firstLineChars="0"/>
        <w:rPr>
          <w:rFonts w:hint="eastAsia" w:ascii="仿宋_GB2312" w:hAnsi="宋体" w:eastAsia="仿宋_GB2312" w:cs="仿宋_GB2312"/>
          <w:b/>
          <w:bCs/>
          <w:i w:val="0"/>
          <w:color w:val="000000"/>
          <w:kern w:val="0"/>
          <w:sz w:val="30"/>
          <w:szCs w:val="30"/>
          <w:u w:val="none"/>
          <w:lang w:val="en-US" w:eastAsia="zh-CN" w:bidi="ar"/>
        </w:rPr>
      </w:pPr>
    </w:p>
    <w:tbl>
      <w:tblPr>
        <w:tblStyle w:val="11"/>
        <w:tblW w:w="9634" w:type="dxa"/>
        <w:jc w:val="center"/>
        <w:shd w:val="clear" w:color="auto" w:fill="auto"/>
        <w:tblLayout w:type="fixed"/>
        <w:tblCellMar>
          <w:top w:w="0" w:type="dxa"/>
          <w:left w:w="0" w:type="dxa"/>
          <w:bottom w:w="0" w:type="dxa"/>
          <w:right w:w="0" w:type="dxa"/>
        </w:tblCellMar>
      </w:tblPr>
      <w:tblGrid>
        <w:gridCol w:w="1284"/>
        <w:gridCol w:w="8350"/>
      </w:tblGrid>
      <w:tr>
        <w:tblPrEx>
          <w:shd w:val="clear" w:color="auto" w:fill="auto"/>
          <w:tblCellMar>
            <w:top w:w="0" w:type="dxa"/>
            <w:left w:w="0" w:type="dxa"/>
            <w:bottom w:w="0" w:type="dxa"/>
            <w:right w:w="0" w:type="dxa"/>
          </w:tblCellMar>
        </w:tblPrEx>
        <w:trPr>
          <w:trHeight w:val="68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见证工作</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b w:val="0"/>
                <w:i w:val="0"/>
                <w:color w:val="000000"/>
                <w:sz w:val="24"/>
                <w:szCs w:val="24"/>
                <w:u w:val="none"/>
                <w:lang w:val="en-US" w:eastAsia="zh-CN"/>
              </w:rPr>
              <w:t>阶段</w:t>
            </w:r>
          </w:p>
        </w:tc>
        <w:tc>
          <w:tcPr>
            <w:tcW w:w="8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见证内容</w:t>
            </w:r>
          </w:p>
        </w:tc>
      </w:tr>
      <w:tr>
        <w:tblPrEx>
          <w:shd w:val="clear" w:color="auto" w:fill="auto"/>
          <w:tblCellMar>
            <w:top w:w="0" w:type="dxa"/>
            <w:left w:w="0" w:type="dxa"/>
            <w:bottom w:w="0" w:type="dxa"/>
            <w:right w:w="0" w:type="dxa"/>
          </w:tblCellMar>
        </w:tblPrEx>
        <w:trPr>
          <w:trHeight w:val="1051" w:hRule="atLeast"/>
          <w:jc w:val="center"/>
        </w:trPr>
        <w:tc>
          <w:tcPr>
            <w:tcW w:w="128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进场受理</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黑体" w:hAnsi="黑体" w:eastAsia="黑体" w:cs="黑体"/>
                <w:b w:val="0"/>
                <w:i w:val="0"/>
                <w:color w:val="000000"/>
                <w:sz w:val="24"/>
                <w:szCs w:val="24"/>
                <w:u w:val="none"/>
                <w:lang w:val="en-US" w:eastAsia="zh-CN"/>
              </w:rPr>
              <w:t>阶段</w:t>
            </w:r>
          </w:p>
        </w:tc>
        <w:tc>
          <w:tcPr>
            <w:tcW w:w="8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出让公告中宗地基本情况与出让方案、规划条件、宗地图等宗地信息是否保持一致，出让公告中说明事项与出让方案中说明事项中内容是否保持一致。出让公告的起始价、保证金与出让方案中的起始价、保证金是否保持一致。</w:t>
            </w:r>
          </w:p>
        </w:tc>
      </w:tr>
      <w:tr>
        <w:tblPrEx>
          <w:shd w:val="clear" w:color="auto" w:fill="auto"/>
          <w:tblCellMar>
            <w:top w:w="0" w:type="dxa"/>
            <w:left w:w="0" w:type="dxa"/>
            <w:bottom w:w="0" w:type="dxa"/>
            <w:right w:w="0" w:type="dxa"/>
          </w:tblCellMar>
        </w:tblPrEx>
        <w:trPr>
          <w:trHeight w:val="51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公告发布</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黑体" w:hAnsi="黑体" w:eastAsia="黑体" w:cs="黑体"/>
                <w:b w:val="0"/>
                <w:i w:val="0"/>
                <w:color w:val="000000"/>
                <w:sz w:val="24"/>
                <w:szCs w:val="24"/>
                <w:u w:val="none"/>
                <w:lang w:val="en-US" w:eastAsia="zh-CN"/>
              </w:rPr>
              <w:t>阶段</w:t>
            </w:r>
          </w:p>
        </w:tc>
        <w:tc>
          <w:tcPr>
            <w:tcW w:w="8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2.公告期间，项目出现变更、中止、终止等异常情况，出让（转让）主体是否出具关于公告变更、中止及终止说明事由的书面文件。</w:t>
            </w:r>
          </w:p>
        </w:tc>
      </w:tr>
      <w:tr>
        <w:tblPrEx>
          <w:tblCellMar>
            <w:top w:w="0" w:type="dxa"/>
            <w:left w:w="0" w:type="dxa"/>
            <w:bottom w:w="0" w:type="dxa"/>
            <w:right w:w="0" w:type="dxa"/>
          </w:tblCellMar>
        </w:tblPrEx>
        <w:trPr>
          <w:trHeight w:val="510" w:hRule="atLeast"/>
          <w:jc w:val="center"/>
        </w:trPr>
        <w:tc>
          <w:tcPr>
            <w:tcW w:w="128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交易实施</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黑体" w:hAnsi="黑体" w:eastAsia="黑体" w:cs="黑体"/>
                <w:b w:val="0"/>
                <w:i w:val="0"/>
                <w:color w:val="000000"/>
                <w:sz w:val="24"/>
                <w:szCs w:val="24"/>
                <w:u w:val="none"/>
                <w:lang w:val="en-US" w:eastAsia="zh-CN"/>
              </w:rPr>
              <w:t>阶段</w:t>
            </w:r>
          </w:p>
        </w:tc>
        <w:tc>
          <w:tcPr>
            <w:tcW w:w="8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3.交易场所设备、平台系统运行是否正常，若出现问题，及时反馈维修。</w:t>
            </w:r>
          </w:p>
        </w:tc>
      </w:tr>
      <w:tr>
        <w:tblPrEx>
          <w:shd w:val="clear" w:color="auto" w:fill="auto"/>
          <w:tblCellMar>
            <w:top w:w="0" w:type="dxa"/>
            <w:left w:w="0" w:type="dxa"/>
            <w:bottom w:w="0" w:type="dxa"/>
            <w:right w:w="0" w:type="dxa"/>
          </w:tblCellMar>
        </w:tblPrEx>
        <w:trPr>
          <w:trHeight w:val="510" w:hRule="atLeast"/>
          <w:jc w:val="center"/>
        </w:trPr>
        <w:tc>
          <w:tcPr>
            <w:tcW w:w="128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4.交易系统是否及时由常规报价转入限时竞价环节。</w:t>
            </w:r>
          </w:p>
        </w:tc>
      </w:tr>
      <w:tr>
        <w:tblPrEx>
          <w:tblCellMar>
            <w:top w:w="0" w:type="dxa"/>
            <w:left w:w="0" w:type="dxa"/>
            <w:bottom w:w="0" w:type="dxa"/>
            <w:right w:w="0" w:type="dxa"/>
          </w:tblCellMar>
        </w:tblPrEx>
        <w:trPr>
          <w:trHeight w:val="510" w:hRule="atLeast"/>
          <w:jc w:val="center"/>
        </w:trPr>
        <w:tc>
          <w:tcPr>
            <w:tcW w:w="128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结果确认</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黑体" w:hAnsi="黑体" w:eastAsia="黑体" w:cs="黑体"/>
                <w:b w:val="0"/>
                <w:i w:val="0"/>
                <w:color w:val="000000"/>
                <w:sz w:val="24"/>
                <w:szCs w:val="24"/>
                <w:u w:val="none"/>
                <w:lang w:val="en-US" w:eastAsia="zh-CN"/>
              </w:rPr>
              <w:t>阶段</w:t>
            </w:r>
          </w:p>
        </w:tc>
        <w:tc>
          <w:tcPr>
            <w:tcW w:w="8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5.交易完成后，见证出让结果签订确认书的。</w:t>
            </w:r>
          </w:p>
        </w:tc>
      </w:tr>
      <w:tr>
        <w:tblPrEx>
          <w:shd w:val="clear" w:color="auto" w:fill="auto"/>
          <w:tblCellMar>
            <w:top w:w="0" w:type="dxa"/>
            <w:left w:w="0" w:type="dxa"/>
            <w:bottom w:w="0" w:type="dxa"/>
            <w:right w:w="0" w:type="dxa"/>
          </w:tblCellMar>
        </w:tblPrEx>
        <w:trPr>
          <w:trHeight w:val="51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保证金划转</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黑体" w:hAnsi="黑体" w:eastAsia="黑体" w:cs="黑体"/>
                <w:b w:val="0"/>
                <w:i w:val="0"/>
                <w:color w:val="000000"/>
                <w:sz w:val="24"/>
                <w:szCs w:val="24"/>
                <w:u w:val="none"/>
                <w:lang w:val="en-US" w:eastAsia="zh-CN"/>
              </w:rPr>
              <w:t>阶段</w:t>
            </w:r>
          </w:p>
        </w:tc>
        <w:tc>
          <w:tcPr>
            <w:tcW w:w="8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竞得方签订完合同后，由地块所在地国土资源局在电子税务局系统内填报推送合同信息，税务局在接到推送信息后做税种核定、维护完资料，通知公共资源交易服务中心登陆电子税务局申报代缴，打印银行查询交款凭证到银行对公窗口办理。</w:t>
            </w:r>
          </w:p>
        </w:tc>
      </w:tr>
    </w:tbl>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0"/>
          <w:sz w:val="24"/>
          <w:szCs w:val="24"/>
          <w:u w:val="none"/>
          <w:lang w:val="en-US" w:eastAsia="zh-CN" w:bidi="ar"/>
        </w:rPr>
      </w:pPr>
    </w:p>
    <w:p>
      <w:pPr>
        <w:pStyle w:val="2"/>
        <w:rPr>
          <w:rFonts w:hint="eastAsia" w:ascii="仿宋_GB2312" w:hAnsi="宋体" w:eastAsia="仿宋_GB2312" w:cs="仿宋_GB2312"/>
          <w:i w:val="0"/>
          <w:color w:val="000000"/>
          <w:kern w:val="0"/>
          <w:sz w:val="24"/>
          <w:szCs w:val="24"/>
          <w:u w:val="none"/>
          <w:lang w:val="en-US" w:eastAsia="zh-CN" w:bidi="ar"/>
        </w:rPr>
      </w:pPr>
    </w:p>
    <w:p>
      <w:pPr>
        <w:pStyle w:val="2"/>
        <w:rPr>
          <w:rFonts w:hint="eastAsia" w:ascii="仿宋_GB2312" w:hAnsi="宋体" w:eastAsia="仿宋_GB2312" w:cs="仿宋_GB2312"/>
          <w:i w:val="0"/>
          <w:color w:val="000000"/>
          <w:kern w:val="0"/>
          <w:sz w:val="24"/>
          <w:szCs w:val="24"/>
          <w:u w:val="none"/>
          <w:lang w:val="en-US" w:eastAsia="zh-CN" w:bidi="ar"/>
        </w:rPr>
      </w:pPr>
    </w:p>
    <w:p>
      <w:pPr>
        <w:pStyle w:val="2"/>
        <w:rPr>
          <w:rFonts w:hint="eastAsia" w:ascii="仿宋_GB2312" w:hAnsi="宋体" w:eastAsia="仿宋_GB2312" w:cs="仿宋_GB2312"/>
          <w:i w:val="0"/>
          <w:color w:val="000000"/>
          <w:kern w:val="0"/>
          <w:sz w:val="24"/>
          <w:szCs w:val="24"/>
          <w:u w:val="none"/>
          <w:lang w:val="en-US" w:eastAsia="zh-CN" w:bidi="ar"/>
        </w:rPr>
      </w:pPr>
    </w:p>
    <w:p>
      <w:pPr>
        <w:pStyle w:val="2"/>
        <w:rPr>
          <w:rFonts w:hint="eastAsia" w:ascii="仿宋_GB2312" w:hAnsi="宋体" w:eastAsia="仿宋_GB2312" w:cs="仿宋_GB2312"/>
          <w:i w:val="0"/>
          <w:color w:val="000000"/>
          <w:kern w:val="0"/>
          <w:sz w:val="24"/>
          <w:szCs w:val="24"/>
          <w:u w:val="none"/>
          <w:lang w:val="en-US" w:eastAsia="zh-CN" w:bidi="ar"/>
        </w:rPr>
      </w:pPr>
    </w:p>
    <w:p>
      <w:pPr>
        <w:pStyle w:val="2"/>
        <w:rPr>
          <w:rFonts w:hint="eastAsia" w:ascii="仿宋_GB2312" w:hAnsi="宋体" w:eastAsia="仿宋_GB2312" w:cs="仿宋_GB2312"/>
          <w:i w:val="0"/>
          <w:color w:val="000000"/>
          <w:kern w:val="0"/>
          <w:sz w:val="24"/>
          <w:szCs w:val="24"/>
          <w:u w:val="none"/>
          <w:lang w:val="en-US" w:eastAsia="zh-CN" w:bidi="ar"/>
        </w:rPr>
      </w:pPr>
    </w:p>
    <w:p>
      <w:pPr>
        <w:pStyle w:val="2"/>
        <w:rPr>
          <w:rFonts w:hint="eastAsia" w:ascii="仿宋_GB2312" w:hAnsi="宋体" w:eastAsia="仿宋_GB2312" w:cs="仿宋_GB2312"/>
          <w:i w:val="0"/>
          <w:color w:val="000000"/>
          <w:kern w:val="0"/>
          <w:sz w:val="24"/>
          <w:szCs w:val="24"/>
          <w:u w:val="none"/>
          <w:lang w:val="en-US" w:eastAsia="zh-CN" w:bidi="ar"/>
        </w:rPr>
      </w:pPr>
    </w:p>
    <w:p>
      <w:pPr>
        <w:pStyle w:val="2"/>
        <w:rPr>
          <w:rFonts w:hint="eastAsia" w:ascii="仿宋_GB2312" w:hAnsi="宋体" w:eastAsia="仿宋_GB2312" w:cs="仿宋_GB2312"/>
          <w:i w:val="0"/>
          <w:color w:val="000000"/>
          <w:kern w:val="0"/>
          <w:sz w:val="24"/>
          <w:szCs w:val="24"/>
          <w:u w:val="none"/>
          <w:lang w:val="en-US" w:eastAsia="zh-CN" w:bidi="ar"/>
        </w:rPr>
      </w:pPr>
    </w:p>
    <w:p>
      <w:pPr>
        <w:pStyle w:val="2"/>
        <w:rPr>
          <w:rFonts w:hint="eastAsia" w:ascii="仿宋_GB2312" w:hAnsi="宋体" w:eastAsia="仿宋_GB2312" w:cs="仿宋_GB2312"/>
          <w:i w:val="0"/>
          <w:color w:val="000000"/>
          <w:kern w:val="0"/>
          <w:sz w:val="24"/>
          <w:szCs w:val="24"/>
          <w:u w:val="none"/>
          <w:lang w:val="en-US" w:eastAsia="zh-CN" w:bidi="ar"/>
        </w:rPr>
      </w:pPr>
    </w:p>
    <w:p>
      <w:pPr>
        <w:pStyle w:val="2"/>
        <w:rPr>
          <w:rFonts w:hint="eastAsia" w:ascii="仿宋_GB2312" w:hAnsi="宋体" w:eastAsia="仿宋_GB2312" w:cs="仿宋_GB2312"/>
          <w:i w:val="0"/>
          <w:color w:val="000000"/>
          <w:kern w:val="0"/>
          <w:sz w:val="24"/>
          <w:szCs w:val="24"/>
          <w:u w:val="none"/>
          <w:lang w:val="en-US" w:eastAsia="zh-CN" w:bidi="ar"/>
        </w:rPr>
      </w:pPr>
    </w:p>
    <w:p>
      <w:pPr>
        <w:pStyle w:val="2"/>
        <w:rPr>
          <w:rFonts w:hint="eastAsia" w:ascii="仿宋_GB2312" w:hAnsi="宋体" w:eastAsia="仿宋_GB2312" w:cs="仿宋_GB2312"/>
          <w:i w:val="0"/>
          <w:color w:val="000000"/>
          <w:kern w:val="0"/>
          <w:sz w:val="24"/>
          <w:szCs w:val="24"/>
          <w:u w:val="none"/>
          <w:lang w:val="en-US" w:eastAsia="zh-CN" w:bidi="ar"/>
        </w:rPr>
      </w:pPr>
    </w:p>
    <w:p>
      <w:pPr>
        <w:pStyle w:val="2"/>
        <w:rPr>
          <w:rFonts w:hint="eastAsia" w:ascii="仿宋_GB2312" w:hAnsi="宋体" w:eastAsia="仿宋_GB2312" w:cs="仿宋_GB2312"/>
          <w:i w:val="0"/>
          <w:color w:val="000000"/>
          <w:kern w:val="0"/>
          <w:sz w:val="24"/>
          <w:szCs w:val="24"/>
          <w:u w:val="none"/>
          <w:lang w:val="en-US" w:eastAsia="zh-CN" w:bidi="ar"/>
        </w:rPr>
      </w:pPr>
    </w:p>
    <w:p>
      <w:pPr>
        <w:pStyle w:val="2"/>
        <w:rPr>
          <w:rFonts w:hint="eastAsia" w:ascii="仿宋_GB2312" w:hAnsi="宋体" w:eastAsia="仿宋_GB2312" w:cs="仿宋_GB2312"/>
          <w:i w:val="0"/>
          <w:color w:val="000000"/>
          <w:kern w:val="0"/>
          <w:sz w:val="24"/>
          <w:szCs w:val="24"/>
          <w:u w:val="none"/>
          <w:lang w:val="en-US" w:eastAsia="zh-CN" w:bidi="ar"/>
        </w:rPr>
      </w:pPr>
    </w:p>
    <w:p>
      <w:pPr>
        <w:pStyle w:val="2"/>
        <w:rPr>
          <w:rFonts w:hint="eastAsia" w:ascii="仿宋_GB2312" w:hAnsi="宋体" w:eastAsia="仿宋_GB2312" w:cs="仿宋_GB2312"/>
          <w:i w:val="0"/>
          <w:color w:val="000000"/>
          <w:kern w:val="0"/>
          <w:sz w:val="24"/>
          <w:szCs w:val="24"/>
          <w:u w:val="none"/>
          <w:lang w:val="en-US" w:eastAsia="zh-CN" w:bidi="ar"/>
        </w:rPr>
      </w:pPr>
    </w:p>
    <w:p>
      <w:pPr>
        <w:pStyle w:val="2"/>
        <w:rPr>
          <w:rFonts w:hint="eastAsia" w:ascii="仿宋_GB2312" w:hAnsi="宋体" w:eastAsia="仿宋_GB2312" w:cs="仿宋_GB2312"/>
          <w:i w:val="0"/>
          <w:color w:val="000000"/>
          <w:kern w:val="0"/>
          <w:sz w:val="24"/>
          <w:szCs w:val="24"/>
          <w:u w:val="none"/>
          <w:lang w:val="en-US" w:eastAsia="zh-CN" w:bidi="ar"/>
        </w:rPr>
      </w:pPr>
    </w:p>
    <w:p>
      <w:pPr>
        <w:pStyle w:val="2"/>
        <w:rPr>
          <w:rFonts w:hint="eastAsia" w:ascii="仿宋_GB2312" w:hAnsi="宋体" w:eastAsia="仿宋_GB2312" w:cs="仿宋_GB2312"/>
          <w:i w:val="0"/>
          <w:color w:val="000000"/>
          <w:kern w:val="0"/>
          <w:sz w:val="24"/>
          <w:szCs w:val="24"/>
          <w:u w:val="none"/>
          <w:lang w:val="en-US" w:eastAsia="zh-CN" w:bidi="ar"/>
        </w:rPr>
      </w:pPr>
    </w:p>
    <w:p>
      <w:pPr>
        <w:pStyle w:val="2"/>
        <w:rPr>
          <w:rFonts w:hint="eastAsia" w:ascii="仿宋_GB2312" w:hAnsi="宋体" w:eastAsia="仿宋_GB2312" w:cs="仿宋_GB2312"/>
          <w:i w:val="0"/>
          <w:color w:val="000000"/>
          <w:kern w:val="0"/>
          <w:sz w:val="24"/>
          <w:szCs w:val="24"/>
          <w:u w:val="none"/>
          <w:lang w:val="en-US" w:eastAsia="zh-CN" w:bidi="ar"/>
        </w:rPr>
      </w:pPr>
    </w:p>
    <w:p>
      <w:pPr>
        <w:pStyle w:val="2"/>
        <w:rPr>
          <w:rFonts w:hint="eastAsia" w:ascii="仿宋_GB2312" w:hAnsi="宋体" w:eastAsia="仿宋_GB2312" w:cs="仿宋_GB2312"/>
          <w:i w:val="0"/>
          <w:color w:val="000000"/>
          <w:kern w:val="0"/>
          <w:sz w:val="24"/>
          <w:szCs w:val="24"/>
          <w:u w:val="none"/>
          <w:lang w:val="en-US" w:eastAsia="zh-CN" w:bidi="ar"/>
        </w:rPr>
      </w:pPr>
    </w:p>
    <w:p>
      <w:pPr>
        <w:pStyle w:val="2"/>
        <w:jc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b/>
          <w:bCs/>
          <w:i w:val="0"/>
          <w:color w:val="000000"/>
          <w:kern w:val="0"/>
          <w:sz w:val="30"/>
          <w:szCs w:val="30"/>
          <w:u w:val="none"/>
          <w:lang w:val="en-US" w:eastAsia="zh-CN" w:bidi="ar"/>
        </w:rPr>
        <w:t>产权项目见证工作清单</w:t>
      </w:r>
    </w:p>
    <w:tbl>
      <w:tblPr>
        <w:tblStyle w:val="11"/>
        <w:tblpPr w:leftFromText="180" w:rightFromText="180" w:vertAnchor="text" w:horzAnchor="page" w:tblpX="1163" w:tblpY="403"/>
        <w:tblOverlap w:val="never"/>
        <w:tblW w:w="9609" w:type="dxa"/>
        <w:tblInd w:w="0" w:type="dxa"/>
        <w:shd w:val="clear" w:color="auto" w:fill="auto"/>
        <w:tblLayout w:type="fixed"/>
        <w:tblCellMar>
          <w:top w:w="0" w:type="dxa"/>
          <w:left w:w="0" w:type="dxa"/>
          <w:bottom w:w="0" w:type="dxa"/>
          <w:right w:w="0" w:type="dxa"/>
        </w:tblCellMar>
      </w:tblPr>
      <w:tblGrid>
        <w:gridCol w:w="1299"/>
        <w:gridCol w:w="8310"/>
      </w:tblGrid>
      <w:tr>
        <w:tblPrEx>
          <w:shd w:val="clear" w:color="auto" w:fill="auto"/>
          <w:tblCellMar>
            <w:top w:w="0" w:type="dxa"/>
            <w:left w:w="0" w:type="dxa"/>
            <w:bottom w:w="0" w:type="dxa"/>
            <w:right w:w="0" w:type="dxa"/>
          </w:tblCellMar>
        </w:tblPrEx>
        <w:trPr>
          <w:trHeight w:val="678"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见证工作</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阶段</w:t>
            </w:r>
          </w:p>
        </w:tc>
        <w:tc>
          <w:tcPr>
            <w:tcW w:w="8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见证内容</w:t>
            </w:r>
          </w:p>
        </w:tc>
      </w:tr>
      <w:tr>
        <w:tblPrEx>
          <w:shd w:val="clear" w:color="auto" w:fill="auto"/>
          <w:tblCellMar>
            <w:top w:w="0" w:type="dxa"/>
            <w:left w:w="0" w:type="dxa"/>
            <w:bottom w:w="0" w:type="dxa"/>
            <w:right w:w="0" w:type="dxa"/>
          </w:tblCellMar>
        </w:tblPrEx>
        <w:trPr>
          <w:trHeight w:val="510" w:hRule="atLeast"/>
        </w:trPr>
        <w:tc>
          <w:tcPr>
            <w:tcW w:w="129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进场资料</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查验阶段</w:t>
            </w:r>
          </w:p>
        </w:tc>
        <w:tc>
          <w:tcPr>
            <w:tcW w:w="8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1.项目登记材料是否齐全。</w:t>
            </w:r>
          </w:p>
        </w:tc>
      </w:tr>
      <w:tr>
        <w:tblPrEx>
          <w:shd w:val="clear" w:color="auto" w:fill="auto"/>
          <w:tblCellMar>
            <w:top w:w="0" w:type="dxa"/>
            <w:left w:w="0" w:type="dxa"/>
            <w:bottom w:w="0" w:type="dxa"/>
            <w:right w:w="0" w:type="dxa"/>
          </w:tblCellMar>
        </w:tblPrEx>
        <w:trPr>
          <w:trHeight w:val="822" w:hRule="atLeast"/>
        </w:trPr>
        <w:tc>
          <w:tcPr>
            <w:tcW w:w="129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公告公示信息发布</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阶段</w:t>
            </w:r>
          </w:p>
        </w:tc>
        <w:tc>
          <w:tcPr>
            <w:tcW w:w="83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2.拍卖人应当于拍卖日七日前发布拍卖公告。拍卖公告应当载明下列事项：</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拍卖的时间、地点；拍卖标的；拍卖标的展示时间、地点；拍卖公告应当通过报纸或者其他新闻媒介发布。</w:t>
            </w:r>
          </w:p>
        </w:tc>
      </w:tr>
      <w:tr>
        <w:tblPrEx>
          <w:shd w:val="clear" w:color="auto" w:fill="auto"/>
          <w:tblCellMar>
            <w:top w:w="0" w:type="dxa"/>
            <w:left w:w="0" w:type="dxa"/>
            <w:bottom w:w="0" w:type="dxa"/>
            <w:right w:w="0" w:type="dxa"/>
          </w:tblCellMar>
        </w:tblPrEx>
        <w:trPr>
          <w:trHeight w:val="51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p>
        </w:tc>
        <w:tc>
          <w:tcPr>
            <w:tcW w:w="83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3.相关时间设定是否准确，各时间点是否与拍卖公告一致，若时间不当，项目退回，联系拍卖人按要求重新设定时间。</w:t>
            </w:r>
          </w:p>
        </w:tc>
      </w:tr>
      <w:tr>
        <w:tblPrEx>
          <w:shd w:val="clear" w:color="auto" w:fill="auto"/>
          <w:tblCellMar>
            <w:top w:w="0" w:type="dxa"/>
            <w:left w:w="0" w:type="dxa"/>
            <w:bottom w:w="0" w:type="dxa"/>
            <w:right w:w="0" w:type="dxa"/>
          </w:tblCellMar>
        </w:tblPrEx>
        <w:trPr>
          <w:trHeight w:val="312"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p>
        </w:tc>
        <w:tc>
          <w:tcPr>
            <w:tcW w:w="8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1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p>
        </w:tc>
        <w:tc>
          <w:tcPr>
            <w:tcW w:w="8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4.如出现需变更、延期、中止恢复拍卖、终止等的情况，拍卖人是否按要求发布变更、延期、中止恢复拍卖、终止公告。</w:t>
            </w:r>
          </w:p>
        </w:tc>
      </w:tr>
      <w:tr>
        <w:tblPrEx>
          <w:shd w:val="clear" w:color="auto" w:fill="auto"/>
          <w:tblCellMar>
            <w:top w:w="0" w:type="dxa"/>
            <w:left w:w="0" w:type="dxa"/>
            <w:bottom w:w="0" w:type="dxa"/>
            <w:right w:w="0" w:type="dxa"/>
          </w:tblCellMar>
        </w:tblPrEx>
        <w:trPr>
          <w:trHeight w:val="51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p>
        </w:tc>
        <w:tc>
          <w:tcPr>
            <w:tcW w:w="8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5.公告公示期间是否出现投诉异议事项，根据投诉异议内容，联系委托人、拍卖人，依法依规处理投诉事项。</w:t>
            </w:r>
          </w:p>
        </w:tc>
      </w:tr>
      <w:tr>
        <w:tblPrEx>
          <w:shd w:val="clear" w:color="auto" w:fill="auto"/>
          <w:tblCellMar>
            <w:top w:w="0" w:type="dxa"/>
            <w:left w:w="0" w:type="dxa"/>
            <w:bottom w:w="0" w:type="dxa"/>
            <w:right w:w="0" w:type="dxa"/>
          </w:tblCellMar>
        </w:tblPrEx>
        <w:trPr>
          <w:trHeight w:val="510" w:hRule="atLeast"/>
        </w:trPr>
        <w:tc>
          <w:tcPr>
            <w:tcW w:w="129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交易过程</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保障</w:t>
            </w:r>
          </w:p>
        </w:tc>
        <w:tc>
          <w:tcPr>
            <w:tcW w:w="8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6.平台系统运行是否正常，若出现问题，及时反馈维修。</w:t>
            </w:r>
          </w:p>
        </w:tc>
      </w:tr>
      <w:tr>
        <w:tblPrEx>
          <w:shd w:val="clear" w:color="auto" w:fill="auto"/>
          <w:tblCellMar>
            <w:top w:w="0" w:type="dxa"/>
            <w:left w:w="0" w:type="dxa"/>
            <w:bottom w:w="0" w:type="dxa"/>
            <w:right w:w="0" w:type="dxa"/>
          </w:tblCellMar>
        </w:tblPrEx>
        <w:trPr>
          <w:trHeight w:val="510" w:hRule="atLeast"/>
        </w:trPr>
        <w:tc>
          <w:tcPr>
            <w:tcW w:w="1299" w:type="dxa"/>
            <w:vMerge w:val="continue"/>
            <w:tcBorders>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31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7.见证竞价规则是否合理；竞价阶梯是否准确。</w:t>
            </w:r>
          </w:p>
        </w:tc>
      </w:tr>
      <w:tr>
        <w:tblPrEx>
          <w:shd w:val="clear" w:color="auto" w:fill="auto"/>
          <w:tblCellMar>
            <w:top w:w="0" w:type="dxa"/>
            <w:left w:w="0" w:type="dxa"/>
            <w:bottom w:w="0" w:type="dxa"/>
            <w:right w:w="0" w:type="dxa"/>
          </w:tblCellMar>
        </w:tblPrEx>
        <w:trPr>
          <w:trHeight w:val="510" w:hRule="atLeast"/>
        </w:trPr>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成交公示  阶段</w:t>
            </w:r>
          </w:p>
        </w:tc>
        <w:tc>
          <w:tcPr>
            <w:tcW w:w="8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8.项目竞价结束后及时发布成交公示。</w:t>
            </w:r>
          </w:p>
        </w:tc>
      </w:tr>
      <w:tr>
        <w:tblPrEx>
          <w:shd w:val="clear" w:color="auto" w:fill="auto"/>
          <w:tblCellMar>
            <w:top w:w="0" w:type="dxa"/>
            <w:left w:w="0" w:type="dxa"/>
            <w:bottom w:w="0" w:type="dxa"/>
            <w:right w:w="0" w:type="dxa"/>
          </w:tblCellMar>
        </w:tblPrEx>
        <w:trPr>
          <w:trHeight w:val="51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p>
        </w:tc>
        <w:tc>
          <w:tcPr>
            <w:tcW w:w="8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9.未成交和成交保证金应及时退付，成交公示结束后，系统自动退付未成交保证金；待委托人、买受人签订合同并上传中心系统后及时退付成交保证金。</w:t>
            </w:r>
          </w:p>
        </w:tc>
      </w:tr>
      <w:tr>
        <w:tblPrEx>
          <w:tblCellMar>
            <w:top w:w="0" w:type="dxa"/>
            <w:left w:w="0" w:type="dxa"/>
            <w:bottom w:w="0" w:type="dxa"/>
            <w:right w:w="0" w:type="dxa"/>
          </w:tblCellMar>
        </w:tblPrEx>
        <w:trPr>
          <w:trHeight w:val="510"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资料归档</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阶段</w:t>
            </w:r>
          </w:p>
        </w:tc>
        <w:tc>
          <w:tcPr>
            <w:tcW w:w="8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10.交易项目全过程相关资料系统留存。</w:t>
            </w:r>
          </w:p>
        </w:tc>
      </w:tr>
      <w:tr>
        <w:tblPrEx>
          <w:shd w:val="clear" w:color="auto" w:fill="auto"/>
          <w:tblCellMar>
            <w:top w:w="0" w:type="dxa"/>
            <w:left w:w="0" w:type="dxa"/>
            <w:bottom w:w="0" w:type="dxa"/>
            <w:right w:w="0" w:type="dxa"/>
          </w:tblCellMar>
        </w:tblPrEx>
        <w:trPr>
          <w:trHeight w:val="510"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特殊情况</w:t>
            </w:r>
          </w:p>
          <w:p>
            <w:pPr>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黑体" w:hAnsi="黑体" w:eastAsia="黑体" w:cs="黑体"/>
                <w:b w:val="0"/>
                <w:i w:val="0"/>
                <w:color w:val="000000"/>
                <w:sz w:val="24"/>
                <w:szCs w:val="24"/>
                <w:u w:val="none"/>
                <w:lang w:val="en-US" w:eastAsia="zh-CN"/>
              </w:rPr>
            </w:pPr>
            <w:r>
              <w:rPr>
                <w:rFonts w:hint="eastAsia" w:ascii="黑体" w:hAnsi="黑体" w:eastAsia="黑体" w:cs="黑体"/>
                <w:b w:val="0"/>
                <w:i w:val="0"/>
                <w:color w:val="000000"/>
                <w:sz w:val="24"/>
                <w:szCs w:val="24"/>
                <w:u w:val="none"/>
                <w:lang w:val="en-US" w:eastAsia="zh-CN"/>
              </w:rPr>
              <w:t>处置</w:t>
            </w:r>
          </w:p>
        </w:tc>
        <w:tc>
          <w:tcPr>
            <w:tcW w:w="8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11.优先购买权项目出让人，需要提供优先购买权人确认书及原出让合同方可在交易系统设置为优先购买权人，否则不认可有优先购买权行为。</w:t>
            </w:r>
          </w:p>
        </w:tc>
      </w:tr>
    </w:tbl>
    <w:p>
      <w:pPr>
        <w:pageBreakBefore w:val="0"/>
        <w:kinsoku/>
        <w:wordWrap/>
        <w:overflowPunct/>
        <w:topLinePunct w:val="0"/>
        <w:autoSpaceDE/>
        <w:autoSpaceDN/>
        <w:bidi w:val="0"/>
        <w:adjustRightInd/>
        <w:snapToGrid/>
        <w:spacing w:line="240" w:lineRule="auto"/>
        <w:ind w:firstLine="883" w:firstLineChars="200"/>
        <w:textAlignment w:val="auto"/>
        <w:rPr>
          <w:rFonts w:ascii="方正小标宋简体" w:hAnsi="仿宋" w:eastAsia="方正小标宋简体"/>
          <w:b/>
          <w:color w:val="auto"/>
          <w:sz w:val="44"/>
          <w:szCs w:val="44"/>
        </w:rPr>
      </w:pPr>
    </w:p>
    <w:p>
      <w:pPr>
        <w:pageBreakBefore w:val="0"/>
        <w:kinsoku/>
        <w:wordWrap/>
        <w:overflowPunct/>
        <w:topLinePunct w:val="0"/>
        <w:autoSpaceDE/>
        <w:autoSpaceDN/>
        <w:bidi w:val="0"/>
        <w:adjustRightInd/>
        <w:snapToGrid/>
        <w:spacing w:line="240" w:lineRule="auto"/>
        <w:ind w:firstLine="883" w:firstLineChars="200"/>
        <w:textAlignment w:val="auto"/>
        <w:rPr>
          <w:rFonts w:ascii="方正小标宋简体" w:hAnsi="仿宋" w:eastAsia="方正小标宋简体"/>
          <w:b/>
          <w:color w:val="auto"/>
          <w:sz w:val="44"/>
          <w:szCs w:val="44"/>
        </w:rPr>
      </w:pPr>
    </w:p>
    <w:p>
      <w:pPr>
        <w:pageBreakBefore w:val="0"/>
        <w:kinsoku/>
        <w:wordWrap/>
        <w:overflowPunct/>
        <w:topLinePunct w:val="0"/>
        <w:autoSpaceDE/>
        <w:autoSpaceDN/>
        <w:bidi w:val="0"/>
        <w:adjustRightInd/>
        <w:snapToGrid/>
        <w:spacing w:line="240" w:lineRule="auto"/>
        <w:ind w:firstLine="883" w:firstLineChars="200"/>
        <w:textAlignment w:val="auto"/>
        <w:rPr>
          <w:rFonts w:ascii="方正小标宋简体" w:hAnsi="仿宋" w:eastAsia="方正小标宋简体"/>
          <w:b/>
          <w:color w:val="auto"/>
          <w:sz w:val="44"/>
          <w:szCs w:val="44"/>
        </w:rPr>
      </w:pPr>
    </w:p>
    <w:p>
      <w:pPr>
        <w:spacing w:line="640" w:lineRule="exact"/>
        <w:ind w:firstLine="643" w:firstLineChars="200"/>
        <w:rPr>
          <w:rFonts w:hint="eastAsia" w:ascii="仿宋_GB2312" w:hAnsi="仿宋" w:eastAsia="仿宋_GB2312"/>
          <w:b/>
          <w:bCs/>
          <w:color w:val="auto"/>
          <w:sz w:val="32"/>
          <w:szCs w:val="32"/>
        </w:rPr>
      </w:pPr>
    </w:p>
    <w:p>
      <w:pPr>
        <w:pStyle w:val="2"/>
        <w:ind w:left="0" w:leftChars="0" w:firstLine="0" w:firstLineChars="0"/>
        <w:rPr>
          <w:rFonts w:hint="eastAsia" w:ascii="黑体" w:hAnsi="黑体" w:eastAsia="黑体"/>
          <w:b/>
          <w:color w:val="auto"/>
          <w:spacing w:val="-10"/>
          <w:sz w:val="32"/>
          <w:szCs w:val="32"/>
        </w:rPr>
      </w:pPr>
    </w:p>
    <w:p>
      <w:pPr>
        <w:spacing w:line="560" w:lineRule="exact"/>
        <w:ind w:firstLine="148" w:firstLineChars="49"/>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bookmarkEnd w:id="0"/>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pStyle w:val="2"/>
        <w:rPr>
          <w:rFonts w:hint="eastAsia" w:ascii="黑体" w:hAnsi="黑体" w:eastAsia="黑体"/>
          <w:b/>
          <w:color w:val="auto"/>
          <w:spacing w:val="-10"/>
          <w:sz w:val="32"/>
          <w:szCs w:val="32"/>
        </w:rPr>
      </w:pPr>
    </w:p>
    <w:p>
      <w:pPr>
        <w:spacing w:line="560" w:lineRule="exact"/>
        <w:ind w:firstLine="148" w:firstLineChars="49"/>
        <w:rPr>
          <w:rFonts w:ascii="黑体" w:hAnsi="黑体" w:eastAsia="黑体"/>
          <w:b/>
          <w:color w:val="auto"/>
          <w:spacing w:val="-10"/>
          <w:sz w:val="32"/>
          <w:szCs w:val="32"/>
        </w:rPr>
      </w:pPr>
      <w:r>
        <w:rPr>
          <w:rFonts w:hint="eastAsia" w:ascii="黑体" w:hAnsi="黑体" w:eastAsia="黑体"/>
          <w:b/>
          <w:color w:val="auto"/>
          <w:spacing w:val="-10"/>
          <w:sz w:val="32"/>
          <w:szCs w:val="32"/>
        </w:rPr>
        <w:t>政府信息公开选项：主动公开</w:t>
      </w:r>
    </w:p>
    <w:p>
      <w:pPr>
        <w:spacing w:line="560" w:lineRule="exact"/>
        <w:ind w:firstLine="102" w:firstLineChars="49"/>
        <w:rPr>
          <w:color w:val="auto"/>
        </w:rPr>
      </w:pPr>
      <w:r>
        <w:rPr>
          <w:rFonts w:ascii="Times New Roman"/>
          <w:color w:val="auto"/>
          <w:szCs w:val="24"/>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344805</wp:posOffset>
                </wp:positionV>
                <wp:extent cx="5803265" cy="381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80326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7.15pt;height:0.3pt;width:456.95pt;z-index:251661312;mso-width-relative:page;mso-height-relative:page;" filled="f" stroked="t" coordsize="21600,21600" o:gfxdata="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DVL8zXAAAACAEAAA8AAAAAAAAAAQAgAAAAIgAAAGRycy9kb3du&#10;cmV2LnhtbFBLAQIUABQAAAAIAIdO4kDgB7TIAAIAAPEDAAAOAAAAAAAAAAEAIAAAACYBAABkcnMv&#10;ZTJvRG9jLnhtbFBLBQYAAAAABgAGAFkBAACYBQAAAAA=&#10;">
                <v:fill on="f" focussize="0,0"/>
                <v:stroke color="#000000" joinstyle="round"/>
                <v:imagedata o:title=""/>
                <o:lock v:ext="edit" aspectratio="f"/>
              </v:line>
            </w:pict>
          </mc:Fallback>
        </mc:AlternateContent>
      </w:r>
      <w:r>
        <w:rPr>
          <w:rFonts w:ascii="Times New Roman"/>
          <w:color w:val="auto"/>
          <w:szCs w:val="24"/>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5080</wp:posOffset>
                </wp:positionV>
                <wp:extent cx="5751195" cy="381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5119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5pt;margin-top:0.4pt;height:0.3pt;width:452.85pt;z-index:251661312;mso-width-relative:page;mso-height-relative:page;" filled="f" stroked="t" coordsize="21600,21600" o:gfxdata="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vrEXnSAAAABQEAAA8AAAAAAAAAAQAgAAAAIgAAAGRycy9kb3ducmV2LnhtbFBLAQIU&#10;ABQAAAAIAIdO4kDYyjPz+QEAAOcDAAAOAAAAAAAAAAEAIAAAACEBAABkcnMvZTJvRG9jLnhtbFBL&#10;BQYAAAAABgAGAFkBAACMBQAAAAA=&#10;">
                <v:fill on="f" focussize="0,0"/>
                <v:stroke color="#000000" joinstyle="round"/>
                <v:imagedata o:title=""/>
                <o:lock v:ext="edit" aspectratio="f"/>
              </v:line>
            </w:pict>
          </mc:Fallback>
        </mc:AlternateContent>
      </w:r>
      <w:r>
        <w:rPr>
          <w:rFonts w:hint="eastAsia" w:ascii="仿宋_GB2312" w:eastAsia="仿宋_GB2312"/>
          <w:b/>
          <w:color w:val="auto"/>
          <w:spacing w:val="-10"/>
          <w:sz w:val="32"/>
          <w:szCs w:val="32"/>
        </w:rPr>
        <w:t>济宁市公共资源交易服务中心综合科</w:t>
      </w:r>
      <w:r>
        <w:rPr>
          <w:rFonts w:hint="eastAsia" w:ascii="仿宋_GB2312" w:eastAsia="仿宋_GB2312"/>
          <w:b/>
          <w:color w:val="auto"/>
          <w:spacing w:val="-10"/>
          <w:sz w:val="32"/>
          <w:szCs w:val="32"/>
          <w:lang w:val="en-US" w:eastAsia="zh-CN"/>
        </w:rPr>
        <w:t xml:space="preserve">        </w:t>
      </w:r>
      <w:r>
        <w:rPr>
          <w:rFonts w:hint="eastAsia" w:ascii="仿宋_GB2312" w:eastAsia="仿宋_GB2312"/>
          <w:b/>
          <w:color w:val="auto"/>
          <w:spacing w:val="-10"/>
          <w:sz w:val="32"/>
          <w:szCs w:val="32"/>
        </w:rPr>
        <w:t>202</w:t>
      </w:r>
      <w:r>
        <w:rPr>
          <w:rFonts w:hint="eastAsia" w:ascii="仿宋_GB2312" w:eastAsia="仿宋_GB2312"/>
          <w:b/>
          <w:color w:val="auto"/>
          <w:spacing w:val="-10"/>
          <w:sz w:val="32"/>
          <w:szCs w:val="32"/>
          <w:lang w:val="en-US" w:eastAsia="zh-CN"/>
        </w:rPr>
        <w:t>3</w:t>
      </w:r>
      <w:r>
        <w:rPr>
          <w:rFonts w:hint="eastAsia" w:ascii="仿宋_GB2312" w:eastAsia="仿宋_GB2312"/>
          <w:b/>
          <w:color w:val="auto"/>
          <w:spacing w:val="-10"/>
          <w:sz w:val="32"/>
          <w:szCs w:val="32"/>
        </w:rPr>
        <w:t>年</w:t>
      </w:r>
      <w:r>
        <w:rPr>
          <w:rFonts w:hint="eastAsia" w:ascii="仿宋_GB2312" w:eastAsia="仿宋_GB2312"/>
          <w:b/>
          <w:color w:val="auto"/>
          <w:spacing w:val="-10"/>
          <w:sz w:val="32"/>
          <w:szCs w:val="32"/>
          <w:lang w:val="en-US" w:eastAsia="zh-CN"/>
        </w:rPr>
        <w:t>6</w:t>
      </w:r>
      <w:r>
        <w:rPr>
          <w:rFonts w:hint="eastAsia" w:ascii="仿宋_GB2312" w:eastAsia="仿宋_GB2312"/>
          <w:b/>
          <w:color w:val="auto"/>
          <w:spacing w:val="-10"/>
          <w:sz w:val="32"/>
          <w:szCs w:val="32"/>
        </w:rPr>
        <w:t>月</w:t>
      </w:r>
      <w:r>
        <w:rPr>
          <w:rFonts w:hint="eastAsia" w:ascii="仿宋_GB2312" w:eastAsia="仿宋_GB2312"/>
          <w:b/>
          <w:color w:val="auto"/>
          <w:spacing w:val="-10"/>
          <w:sz w:val="32"/>
          <w:szCs w:val="32"/>
          <w:lang w:val="en-US" w:eastAsia="zh-CN"/>
        </w:rPr>
        <w:t>9</w:t>
      </w:r>
      <w:r>
        <w:rPr>
          <w:rFonts w:hint="eastAsia" w:ascii="仿宋_GB2312" w:eastAsia="仿宋_GB2312"/>
          <w:b/>
          <w:color w:val="auto"/>
          <w:spacing w:val="-10"/>
          <w:sz w:val="32"/>
          <w:szCs w:val="32"/>
        </w:rPr>
        <w:t>日印发</w:t>
      </w:r>
    </w:p>
    <w:sectPr>
      <w:footerReference r:id="rId3" w:type="default"/>
      <w:pgSz w:w="11906" w:h="16838"/>
      <w:pgMar w:top="1894" w:right="1576" w:bottom="1440" w:left="1576"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1D99D9-119D-4094-A072-1EB72A3891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4E59C32-1464-4E02-B4A4-D84E31F34869}"/>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embedRegular r:id="rId3" w:fontKey="{EBCE9F83-3453-458F-AFF3-8E7F33567824}"/>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F1B5EFE6-A8E6-4B90-811F-21B5A42FC561}"/>
  </w:font>
  <w:font w:name="楷体">
    <w:panose1 w:val="02010609060101010101"/>
    <w:charset w:val="86"/>
    <w:family w:val="auto"/>
    <w:pitch w:val="default"/>
    <w:sig w:usb0="800002BF" w:usb1="38CF7CFA" w:usb2="00000016" w:usb3="00000000" w:csb0="00040001" w:csb1="00000000"/>
    <w:embedRegular r:id="rId5" w:fontKey="{573E2DA3-03AA-4934-9C73-D3FB0EDB7D3B}"/>
  </w:font>
  <w:font w:name="仿宋">
    <w:panose1 w:val="02010609060101010101"/>
    <w:charset w:val="86"/>
    <w:family w:val="auto"/>
    <w:pitch w:val="default"/>
    <w:sig w:usb0="800002BF" w:usb1="38CF7CFA" w:usb2="00000016" w:usb3="00000000" w:csb0="00040001" w:csb1="00000000"/>
    <w:embedRegular r:id="rId6" w:fontKey="{E80E537B-27D1-48BD-93F3-BBC7E91D2A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YTE2ZjRjNDY2MGMzZDY5N2ZhOWI3ODc4YjE5NGEifQ=="/>
  </w:docVars>
  <w:rsids>
    <w:rsidRoot w:val="73753BF1"/>
    <w:rsid w:val="00B250E5"/>
    <w:rsid w:val="00DA5B92"/>
    <w:rsid w:val="01583748"/>
    <w:rsid w:val="022E26FA"/>
    <w:rsid w:val="02A05280"/>
    <w:rsid w:val="02F70D3E"/>
    <w:rsid w:val="03681C3C"/>
    <w:rsid w:val="039B52F5"/>
    <w:rsid w:val="09C13063"/>
    <w:rsid w:val="09CB10A3"/>
    <w:rsid w:val="09FD196B"/>
    <w:rsid w:val="0A692B1B"/>
    <w:rsid w:val="0CD143AE"/>
    <w:rsid w:val="0D9D2B94"/>
    <w:rsid w:val="0E565F93"/>
    <w:rsid w:val="0E884F40"/>
    <w:rsid w:val="0FFD3D29"/>
    <w:rsid w:val="111B3A42"/>
    <w:rsid w:val="11C24C0D"/>
    <w:rsid w:val="12126CB4"/>
    <w:rsid w:val="124044EF"/>
    <w:rsid w:val="124B075F"/>
    <w:rsid w:val="12B02CB8"/>
    <w:rsid w:val="12D70244"/>
    <w:rsid w:val="13251FF4"/>
    <w:rsid w:val="132D4108"/>
    <w:rsid w:val="1347361C"/>
    <w:rsid w:val="134E7957"/>
    <w:rsid w:val="153F1441"/>
    <w:rsid w:val="17542787"/>
    <w:rsid w:val="191C10A7"/>
    <w:rsid w:val="194505FE"/>
    <w:rsid w:val="194B494F"/>
    <w:rsid w:val="1A6E76E0"/>
    <w:rsid w:val="1B06308E"/>
    <w:rsid w:val="1BB27184"/>
    <w:rsid w:val="1C0A2DEF"/>
    <w:rsid w:val="1DFA2A25"/>
    <w:rsid w:val="1ED57EC8"/>
    <w:rsid w:val="1F857AC5"/>
    <w:rsid w:val="1FF93EF0"/>
    <w:rsid w:val="201553A4"/>
    <w:rsid w:val="22D842CC"/>
    <w:rsid w:val="249B00B7"/>
    <w:rsid w:val="26BB07D6"/>
    <w:rsid w:val="280C3C5C"/>
    <w:rsid w:val="28606C11"/>
    <w:rsid w:val="28B5297E"/>
    <w:rsid w:val="28FB65E3"/>
    <w:rsid w:val="29EF68DE"/>
    <w:rsid w:val="2B495ACD"/>
    <w:rsid w:val="2CB615FD"/>
    <w:rsid w:val="2D774536"/>
    <w:rsid w:val="2EBE1883"/>
    <w:rsid w:val="2FBA4017"/>
    <w:rsid w:val="30704094"/>
    <w:rsid w:val="309F25E6"/>
    <w:rsid w:val="30D51E0F"/>
    <w:rsid w:val="316450AF"/>
    <w:rsid w:val="31766370"/>
    <w:rsid w:val="33072028"/>
    <w:rsid w:val="33423060"/>
    <w:rsid w:val="343C46A9"/>
    <w:rsid w:val="34C44320"/>
    <w:rsid w:val="34FD7C69"/>
    <w:rsid w:val="35541FFC"/>
    <w:rsid w:val="35B46497"/>
    <w:rsid w:val="372907BF"/>
    <w:rsid w:val="37500442"/>
    <w:rsid w:val="378A790E"/>
    <w:rsid w:val="378B76CC"/>
    <w:rsid w:val="38DD3F57"/>
    <w:rsid w:val="393C0F58"/>
    <w:rsid w:val="3AEB7A38"/>
    <w:rsid w:val="3C856991"/>
    <w:rsid w:val="3DFF227A"/>
    <w:rsid w:val="3F780536"/>
    <w:rsid w:val="3F83257B"/>
    <w:rsid w:val="41772D04"/>
    <w:rsid w:val="42E83444"/>
    <w:rsid w:val="43B6072B"/>
    <w:rsid w:val="43EC2B7A"/>
    <w:rsid w:val="44502EFA"/>
    <w:rsid w:val="45390767"/>
    <w:rsid w:val="454B3FF6"/>
    <w:rsid w:val="47E0437A"/>
    <w:rsid w:val="49457FFD"/>
    <w:rsid w:val="49F55CBB"/>
    <w:rsid w:val="4B6B05C2"/>
    <w:rsid w:val="4C8F1016"/>
    <w:rsid w:val="4C9646F1"/>
    <w:rsid w:val="4D2A39E6"/>
    <w:rsid w:val="4E5F7CCC"/>
    <w:rsid w:val="4E7F6455"/>
    <w:rsid w:val="4EBD41B7"/>
    <w:rsid w:val="4EC00A0C"/>
    <w:rsid w:val="4EFF0734"/>
    <w:rsid w:val="4F322CE4"/>
    <w:rsid w:val="4F9B283F"/>
    <w:rsid w:val="4FBF68D5"/>
    <w:rsid w:val="50E84DEF"/>
    <w:rsid w:val="514E559A"/>
    <w:rsid w:val="5181382D"/>
    <w:rsid w:val="52587D6E"/>
    <w:rsid w:val="52842DED"/>
    <w:rsid w:val="558A46C7"/>
    <w:rsid w:val="56564ECA"/>
    <w:rsid w:val="566A39C3"/>
    <w:rsid w:val="56BE7FA5"/>
    <w:rsid w:val="57680A38"/>
    <w:rsid w:val="582708F3"/>
    <w:rsid w:val="59011144"/>
    <w:rsid w:val="59B61F2F"/>
    <w:rsid w:val="5A4808C9"/>
    <w:rsid w:val="5B4377F2"/>
    <w:rsid w:val="5B5C5B6E"/>
    <w:rsid w:val="5B8404C5"/>
    <w:rsid w:val="5BF022B6"/>
    <w:rsid w:val="5CEE5E83"/>
    <w:rsid w:val="5D526412"/>
    <w:rsid w:val="5E03770C"/>
    <w:rsid w:val="5F04141A"/>
    <w:rsid w:val="611D0AE5"/>
    <w:rsid w:val="62E315E0"/>
    <w:rsid w:val="62E814A7"/>
    <w:rsid w:val="63844E4C"/>
    <w:rsid w:val="644256A7"/>
    <w:rsid w:val="655C1BF0"/>
    <w:rsid w:val="67874F0A"/>
    <w:rsid w:val="67A21691"/>
    <w:rsid w:val="67DD4B2A"/>
    <w:rsid w:val="67E1247B"/>
    <w:rsid w:val="684150B9"/>
    <w:rsid w:val="687A0A2C"/>
    <w:rsid w:val="68DF6E35"/>
    <w:rsid w:val="6ABA1153"/>
    <w:rsid w:val="6B4E656C"/>
    <w:rsid w:val="6C9A1FED"/>
    <w:rsid w:val="6CA030D3"/>
    <w:rsid w:val="6CA43E69"/>
    <w:rsid w:val="6CCD7863"/>
    <w:rsid w:val="6DBA386F"/>
    <w:rsid w:val="6DF10F75"/>
    <w:rsid w:val="6E701D0F"/>
    <w:rsid w:val="71434E50"/>
    <w:rsid w:val="71867FE1"/>
    <w:rsid w:val="73753BF1"/>
    <w:rsid w:val="756643B1"/>
    <w:rsid w:val="759B4CA8"/>
    <w:rsid w:val="7803186B"/>
    <w:rsid w:val="7875365F"/>
    <w:rsid w:val="78760DAF"/>
    <w:rsid w:val="79261AA5"/>
    <w:rsid w:val="79D264B9"/>
    <w:rsid w:val="7B5C3128"/>
    <w:rsid w:val="7BDF7034"/>
    <w:rsid w:val="7C3756CF"/>
    <w:rsid w:val="7CA12173"/>
    <w:rsid w:val="7E634ACA"/>
    <w:rsid w:val="7F725A36"/>
    <w:rsid w:val="7F7E7D1F"/>
    <w:rsid w:val="7FEB183E"/>
    <w:rsid w:val="9DBF7617"/>
    <w:rsid w:val="F97F683E"/>
    <w:rsid w:val="FF934529"/>
    <w:rsid w:val="FFE50C47"/>
    <w:rsid w:val="FFEF6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tabs>
        <w:tab w:val="right" w:leader="dot" w:pos="8720"/>
      </w:tabs>
    </w:pPr>
    <w:rPr>
      <w:rFonts w:ascii="黑体" w:hAnsi="黑体" w:eastAsia="黑体"/>
      <w:b/>
      <w:sz w:val="28"/>
      <w:szCs w:val="28"/>
    </w:rPr>
  </w:style>
  <w:style w:type="paragraph" w:styleId="8">
    <w:name w:val="toc 2"/>
    <w:basedOn w:val="1"/>
    <w:next w:val="1"/>
    <w:unhideWhenUsed/>
    <w:qFormat/>
    <w:uiPriority w:val="39"/>
    <w:pPr>
      <w:ind w:left="420" w:leftChars="200"/>
    </w:p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16">
    <w:name w:val="Body text|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paragraph" w:customStyle="1" w:styleId="17">
    <w:name w:val="Header or footer|1"/>
    <w:basedOn w:val="1"/>
    <w:qFormat/>
    <w:uiPriority w:val="0"/>
    <w:pPr>
      <w:widowControl w:val="0"/>
      <w:shd w:val="clear" w:color="auto" w:fill="auto"/>
    </w:pPr>
    <w:rPr>
      <w:sz w:val="32"/>
      <w:szCs w:val="32"/>
      <w:u w:val="none"/>
      <w:shd w:val="clear" w:color="auto" w:fill="auto"/>
      <w:lang w:val="zh-TW" w:eastAsia="zh-TW" w:bidi="zh-TW"/>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7076</Words>
  <Characters>7410</Characters>
  <Lines>0</Lines>
  <Paragraphs>0</Paragraphs>
  <TotalTime>6</TotalTime>
  <ScaleCrop>false</ScaleCrop>
  <LinksUpToDate>false</LinksUpToDate>
  <CharactersWithSpaces>7443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2022-09-21T09:23:00Z</dcterms:created>
  <dc:creator>hp</dc:creator>
  <cp:lastModifiedBy>微信用户</cp:lastModifiedBy>
  <cp:lastPrinted>2023-06-12T02:44:00Z</cp:lastPrinted>
  <dcterms:modified xsi:type="dcterms:W3CDTF">2023-12-11T01:41:07Z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92513D9D327A467B95CDC269EA09B0D4_13</vt:lpwstr>
  </property>
</Properties>
</file>