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3"/>
        <w:numPr>
          <w:ilvl w:val="0"/>
          <w:numId w:val="0"/>
        </w:numPr>
        <w:ind w:leftChars="0"/>
      </w:pPr>
    </w:p>
    <w:p/>
    <w:p>
      <w:pPr>
        <w:ind w:firstLine="321" w:firstLineChars="10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济民航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号</w:t>
      </w:r>
    </w:p>
    <w:p>
      <w:pPr>
        <w:ind w:firstLine="320" w:firstLineChars="100"/>
        <w:jc w:val="left"/>
        <w:rPr>
          <w:rFonts w:ascii="楷体_GB2312" w:hAnsi="方正小标宋简体" w:eastAsia="楷体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rPr>
          <w:rFonts w:hint="eastAsia" w:ascii="方正大标宋简体" w:eastAsia="方正大标宋简体"/>
          <w:b/>
          <w:bCs/>
          <w:color w:val="auto"/>
          <w:sz w:val="44"/>
          <w:szCs w:val="44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Cs/>
          <w:kern w:val="0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b/>
          <w:bCs w:val="0"/>
          <w:iCs/>
          <w:kern w:val="0"/>
          <w:sz w:val="44"/>
          <w:szCs w:val="44"/>
          <w:lang w:val="zh-CN" w:bidi="zh-CN"/>
        </w:rPr>
        <w:t>《济宁机场航线建设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Cs/>
          <w:kern w:val="0"/>
          <w:sz w:val="44"/>
          <w:szCs w:val="44"/>
          <w:lang w:val="zh-CN" w:bidi="zh-CN"/>
        </w:rPr>
        <w:t>两年行动计划（2022-2023年）》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2"/>
          <w:sz w:val="44"/>
          <w:szCs w:val="44"/>
          <w:lang w:val="en-US" w:eastAsia="zh-CN" w:bidi="ar-SA"/>
        </w:rPr>
        <w:t>的通知</w:t>
      </w:r>
    </w:p>
    <w:p>
      <w:pPr>
        <w:keepNext w:val="0"/>
        <w:keepLines w:val="0"/>
        <w:pageBreakBefore w:val="0"/>
        <w:widowControl/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600" w:lineRule="exact"/>
        <w:ind w:left="0" w:leftChars="0" w:right="0" w:firstLine="321" w:firstLineChars="200"/>
        <w:jc w:val="both"/>
        <w:textAlignment w:val="baseline"/>
        <w:rPr>
          <w:rFonts w:hint="default" w:ascii="Calibri" w:hAnsi="Calibri" w:eastAsia="宋体" w:cs="Times New Roman"/>
          <w:b/>
          <w:bCs w:val="0"/>
          <w:color w:val="auto"/>
          <w:kern w:val="2"/>
          <w:sz w:val="16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济宁曲阜机场有限公司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中心各科室：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《济宁机场航线建设两年行动计划（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>2022-2023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年）》已经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研究通过，现印发给你们，请认真组织落实。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3855" w:firstLineChars="1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济宁市民航事业发展中心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4176" w:firstLineChars="13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(主动公开)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Cs/>
          <w:kern w:val="0"/>
          <w:sz w:val="44"/>
          <w:szCs w:val="4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b/>
          <w:iCs/>
          <w:kern w:val="0"/>
          <w:sz w:val="44"/>
          <w:szCs w:val="44"/>
          <w:lang w:val="zh-CN" w:bidi="zh-CN"/>
        </w:rPr>
        <w:t>济宁机场航线建设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Cs/>
          <w:kern w:val="0"/>
          <w:sz w:val="44"/>
          <w:szCs w:val="4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b/>
          <w:iCs/>
          <w:kern w:val="0"/>
          <w:sz w:val="44"/>
          <w:szCs w:val="44"/>
          <w:lang w:val="zh-CN" w:bidi="zh-CN"/>
        </w:rPr>
        <w:t>两年行动计划（2022-2023年）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“十四五”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时期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是济宁民航发展的战略机遇期，也是深化改革、破冰突围、提质增速的关键机遇期。为进一步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发挥航线建设基础性、先导性作用，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推进我市民航产业高质量发展，根据《济宁市民航“十四五”发展规划》制定</w:t>
      </w:r>
      <w:r>
        <w:rPr>
          <w:rFonts w:hint="eastAsia" w:ascii="仿宋_GB2312" w:hAnsi="仿宋_GB2312" w:eastAsia="仿宋_GB2312" w:cs="仿宋_GB2312"/>
          <w:b/>
          <w:iCs/>
          <w:kern w:val="0"/>
          <w:sz w:val="32"/>
          <w:szCs w:val="32"/>
          <w:lang w:val="zh-CN" w:bidi="zh-CN"/>
        </w:rPr>
        <w:t>济宁机场航线建设两年行动计划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习近平新时代中国特色社会主义思想为指导，全面贯彻落实党的十九大和历次全会精神，坚持以人民为中心的发展思想，紧密围绕我市实施基础设施新突破、构建高品质现代交通综合体系的发展大局，以建设促发展，以创新求突破，以新机场建成投运为契机，形成济宁民航高质量发展的新格局，推动民航成为我市打造世界文化旅游名城的新支撑、实现高质量发展的新引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、现状分析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（一）发展现状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“十三五”以来，济宁航空业务发展迅速，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lang w:val="en-US" w:eastAsia="zh-CN"/>
        </w:rPr>
        <w:t>2018年旅客吞吐量突破100万人次，实现122万人次，成功迈入百万机场行列；2019年实现旅客吞吐量149万人次。截至2021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底，济宁机场通航城市达25个，初步形成了联通国内热点城市的航线网络，已成为孔孟之乡与外界连接的重要空中桥梁。2021年，共保障航班1.08万架次，在疫情影响下仍然实现旅客吞吐量100.6万人次，实现货邮吞吐量2662.8吨，跻身全国定期航班运输机场百名以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问题与挑战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航线网络通达能力不足。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受现有机场地理位置影响，客源分布集中在济宁西部地区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部经济较发达地区及旅游目的地客源较少，只占客源总数的15%。航线稳定性整体偏低，对市场的吸引力仍显不足，抗风险能力较差。国内城市通航点主要集中在东部和南部地区，西部地区航点覆盖广度较低。空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产品缺乏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高铁网络和民航网络尚未有效融合。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航空货运发展不充分。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济宁机场货运依靠客机腹舱带货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尚未开通全货机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运载能力有限。运输货物主要为零部件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纺织品、农产品生鲜等，缺少快递、物流等拥有稳定货源且有利于提升货运市场品质的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货源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.新冠肺炎疫情的影响持续存在。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国内航空市场虽然恢复较快，但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因疫情原因，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客座率仍然处于较低水平，对机场的收益影响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明显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。此外，新冠肺炎疫情将长期改变出行趋势和消费特征，出行结构呈现“属地化”变化，出行智慧化趋势加快，旅客更关注出行环境的健康、安全、可靠等，将给民航发展带来新挑战。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基础设施短板约束明显。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2017年以来，随着机场航班量的大幅增加，机位资源及旅客吞吐量已超过设计容量，随着高峰时段的增多，机坪保障压力日趋凸显，航站楼内旅客出行服务感受较难得到保障。单一垂直联络道配置严重影响机场运行效率，极易造成航班在地面积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.局方和军方政策限制。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民航“控总量、调结构”“精准控、精细调”政策继续保持，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济宁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场所在的华东地区是严控重点区域，时刻量增加难度较大。国内大型航空公司战略上对支线机场航空市场的重视程度不够，处于买方市场的中小机场竞争激烈。机场为军民合用机场，军方自2018年以来训练强度频次明显加大，对机场民航航班运行有诸多限制，航空公司的新增计划向空军有关的单位申请难度较大，协调军方日趋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航线补贴下调困难。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全国支线机场所面临的情况大致相同，一是点对点城市航班的客座率与收益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，大多为经停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航线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，由于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济宁机场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所处位置局限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多数航线结构模式为西南、中南经济宁至华北、东北、西北等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航线距离较长，航空公司运营成本高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；二是由于油价不断上涨，以及安全投入加大，再加上疫情原因，航空公司成本大幅提高，亏损严重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三是随着国内中小机场不断增加，各中小机场为开通枢纽机场航班，竞争激烈。特别是北京、上海、深圳、广州、成都等热点城市，时刻资源紧张，航空公司补贴降低困难。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高铁网络化发展带来冲击。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未来五年，高铁建设加快推进，鲁南高铁、京沪第二高铁建设加快推进，高铁网络进一步织密，高铁网络化的冲击将由点及面。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目前济宁已开通的高铁站达到五个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，使旅客摆脱对航空运输的依赖，导致短途航线如北京、上海、杭州、武汉、青岛、威海等地客源下降严重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济宁区域高铁网络化发展将对民航中短程客流产生一定影响。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周边机场竞争日趋激烈。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济宁周边地区200公里内现有济南、临沂、菏泽等机场，300公里左右的有日照、徐州等机场，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特别是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菏泽机场通航，所开航线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航点与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济宁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机场基本同质化，给下一步的航线建设及客源产生极大影响，已面临严重竞争。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）需求分析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地方经济发展需要。“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四五”期间，济宁市处于经济转型发展、城市品质提升的战略机遇期，由全面建成小康社会向开创新时代现代化强市建设新局面阔步前进。“一带一路”、黄河流域生态保护和高质量发展、淮河生态经济带、国家大运河文化公园建设等国家战略在我市交汇叠加、深入实施。经济、文化的蓬勃发展，对济宁民航提出了更高的要求，通过航线航点建设使机场航线布局更加适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济宁市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航空消费市场需求，促进经济社会发展；同时也将为提升机场辐射带动力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为新机场发展打下良好基础。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.满足人民群众对航空出行的需要。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近年来航空出行日益大众化、日常化，航空票价因竞争原因，已与高铁票价相差无几，人民群众对航空出行需求增加，也对济宁民航提出更高的发展需要。为满足人民群众的出行需求，必须深入分析当地情况，借鉴往年经验，提早谋划，科学分配航班时刻，与航空公司携手增开航班，更好满足旅客出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.新机场发展需要。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航线是机场发展的生命线，因济宁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所处的地理位置，导致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国内城市通航点主要集中在东南部、西南部和北部地区，又因经停航线多数呈低绕航率结构使得西部地区航点覆盖广度较低。为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转场后新机场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服务能力，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完善航线网络布局，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完成“十四五”旅客吞吐量年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300万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的任务目标，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济宁民航需要精准分析，制定适合自身发展需要的航线建设计划，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扩大航空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网络通达性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，更好地满足人民群众方便快捷的航空出行需求。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三、计划目标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瞄定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济宁民航“三二一”总体发展目标，实现航线数量、旅客吞吐量、货邮吞吐量“三个倍增”。争先进位，确保在全省机场排名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只进不退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。完善航线网络布局，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新增或加密热点城市航线；协同航司，加大市场推广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不断巩固提升航班客座率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到2023年，航点城市达到32个；力争实现旅客吞吐量180万人次、货邮吞吐量3300吨（忽略疫情影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（一）强化航线建设，提升机场客运航线通达性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利用每年两次航班换季时机，用足用好时刻增量，优化调整航线航班，最大可能满足市场需求，为新机场投运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后快速发展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打下良好基础。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年航线建设计划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增3个航点，开通桂林或兰州、宁波、温州、呼和浩特航线；对目前尚未达到每日一班的航线争取补齐，重点加密三亚、海口、大连等城市航班；对旅游为主的航班根据季节特点进行优化调整。航点城市达到28个，全国机场排名前进5个位次，进入前90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年航线建设计划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是济宁机场转场运行第一年，也是突破运行限制大力发展的一年。重点加大与广州、深圳、成都、重庆等枢纽机场的航班密度；新增西安或宁波、温州、珠海、呼和浩特等航线。航点城市达到32个。实现旅客吞吐量180万人次、货邮吞吐量3300吨（忽略疫情影响）。全国机场排名前进5位次，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入前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（二）弥补短板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，拓展主营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开通全货机运输航线。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根据市场需求，适时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开通全货机货运航线，携手航空公司和物流企业进行深度融合，打造高效全货机运营平台。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引进过夜飞机，改善航线结构。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新机场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投运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后，完善机场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保障能力建设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，积极引进航空公司过夜运力投放，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充分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利用机场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时刻资源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促进业务量有效提升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四、保障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措施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（一）加强组织领导。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为保障两年行动计划顺利实施，市民航事业发展中心成立以主要负责人为组长的航线建设领导小组，定期召开机场运行经济分析会，及时分析研判航班运行质量状况，解决存在的问题，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航线建设实际需求，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及时调整航线建设计划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领导小组下设办公室，办公室设在机场公司，具体负责行动计划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实施。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每半年开展一次航线建设绩效评估工作，形成评估报告，及时提出航线建设计划调整建议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（二）争取政策支持。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争取局方和军方的时刻量增量支持。寻找政策限制的突破口，在航班换季前向局方、军方争取新增航线的时刻量支持，确保航班航季时刻量增幅不低于上年度同期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10%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；利用春运、暑运期间，积极争取加班政策支持。争取地方资金及政策支持。加强与市直有关部门沟通协调，争取财政资金支持，为航线开发建设创造良好条件。加深与航空公司合作关系。在机票产品、团队政策上给予政策倾斜，增强机场旅客吸附黏性，不断提高航班客座率，确保航线稳定发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（三）提高机场营销能力。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市场营销队伍建设。突出抓好营销人员专业素质提升。多渠道培养锻炼，打造一支熟练掌握民航运输市场需求预测分析、市场营销方案制定与实施等技能的专业营销团队，为航线建设决策、市场开发建设发挥根本性作用。强化生产数据分析，科学评估航线建设质量。加强多元化数据分析，增加生产数据周期对比、航点区域流向对比、省内各机场数据对比等数据分析，每日动态监测，及时发现问题，提出解决方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（四）多渠道开拓航空市场。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大与行业内机票销售平台的合作，为济宁机场定制适宜航空产品，更多吸引旅客选择济宁航班出行；积极开拓中转联程业务。争取列入中航信正在开发的机场中转系统试点机场，利用中航信的网络优势拓展中转联程业务，促进本场旅客吞吐量增长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（五）强化市场宣传。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利用多种形式加强航线宣传推广。充分利用网络平台受众面广的优势，开展网络直播等一系列活动；继续做好微信、抖音公众号的日常宣传，扩大受众人群，增强覆盖面。加强与航空公司间合作关系，共同开展推广活动，利用航班换季、春运、暑运等时间节点，进行线上、线下推广活动。</w:t>
      </w: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7" w:gutter="0"/>
          <w:pgNumType w:fmt="numberInDash"/>
          <w:cols w:space="425" w:num="1"/>
          <w:docGrid w:type="lines" w:linePitch="312" w:charSpace="0"/>
        </w:sectPr>
      </w:pPr>
    </w:p>
    <w:bookmarkEnd w:id="0"/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pBdr>
          <w:bottom w:val="none" w:color="auto" w:sz="0" w:space="0"/>
        </w:pBdr>
        <w:spacing w:line="589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3"/>
        <w:pBdr>
          <w:top w:val="single" w:color="auto" w:sz="4" w:space="0"/>
          <w:bottom w:val="single" w:color="auto" w:sz="4" w:space="0"/>
        </w:pBdr>
        <w:spacing w:line="589" w:lineRule="exact"/>
        <w:ind w:firstLine="281" w:firstLineChars="100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济宁市民航事业发展中心          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日印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发</w:t>
      </w:r>
    </w:p>
    <w:sectPr>
      <w:footerReference r:id="rId5" w:type="default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834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8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inorEastAsia" w:hAnsiTheme="minorEastAsia"/>
        <w:sz w:val="28"/>
        <w:szCs w:val="28"/>
      </w:rPr>
    </w:pP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CB6D5"/>
    <w:multiLevelType w:val="singleLevel"/>
    <w:tmpl w:val="F7FCB6D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0000000"/>
    <w:multiLevelType w:val="multilevel"/>
    <w:tmpl w:val="00000000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  <w:b w:val="0"/>
        <w:i w:val="0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C9"/>
    <w:rsid w:val="00027690"/>
    <w:rsid w:val="00050986"/>
    <w:rsid w:val="00056365"/>
    <w:rsid w:val="000606EE"/>
    <w:rsid w:val="00076676"/>
    <w:rsid w:val="000D088C"/>
    <w:rsid w:val="000D3440"/>
    <w:rsid w:val="000F0E20"/>
    <w:rsid w:val="000F2F68"/>
    <w:rsid w:val="00156EB9"/>
    <w:rsid w:val="00186B97"/>
    <w:rsid w:val="001A555B"/>
    <w:rsid w:val="00246F2A"/>
    <w:rsid w:val="0025594E"/>
    <w:rsid w:val="00270089"/>
    <w:rsid w:val="002722F5"/>
    <w:rsid w:val="002800B6"/>
    <w:rsid w:val="0028377C"/>
    <w:rsid w:val="002B6C84"/>
    <w:rsid w:val="002C211C"/>
    <w:rsid w:val="00315089"/>
    <w:rsid w:val="00365629"/>
    <w:rsid w:val="0036578F"/>
    <w:rsid w:val="003B2C0A"/>
    <w:rsid w:val="003C7D01"/>
    <w:rsid w:val="003F03BC"/>
    <w:rsid w:val="003F67C4"/>
    <w:rsid w:val="0041522D"/>
    <w:rsid w:val="00415831"/>
    <w:rsid w:val="00416136"/>
    <w:rsid w:val="004863FB"/>
    <w:rsid w:val="004A06E1"/>
    <w:rsid w:val="004D38C9"/>
    <w:rsid w:val="00501640"/>
    <w:rsid w:val="00525BAD"/>
    <w:rsid w:val="00571092"/>
    <w:rsid w:val="005C2019"/>
    <w:rsid w:val="00600BB0"/>
    <w:rsid w:val="006269FC"/>
    <w:rsid w:val="00676895"/>
    <w:rsid w:val="0068568F"/>
    <w:rsid w:val="006C005C"/>
    <w:rsid w:val="006D441C"/>
    <w:rsid w:val="006D7A60"/>
    <w:rsid w:val="006F0DA9"/>
    <w:rsid w:val="006F11CE"/>
    <w:rsid w:val="006F3960"/>
    <w:rsid w:val="00786F71"/>
    <w:rsid w:val="007A0ED9"/>
    <w:rsid w:val="007D435D"/>
    <w:rsid w:val="007E04DF"/>
    <w:rsid w:val="007F023B"/>
    <w:rsid w:val="007F1D25"/>
    <w:rsid w:val="0080234C"/>
    <w:rsid w:val="00822BA4"/>
    <w:rsid w:val="00823A21"/>
    <w:rsid w:val="008B5449"/>
    <w:rsid w:val="008C2807"/>
    <w:rsid w:val="008D24C8"/>
    <w:rsid w:val="0091446C"/>
    <w:rsid w:val="00915A78"/>
    <w:rsid w:val="009753B3"/>
    <w:rsid w:val="009D6DE9"/>
    <w:rsid w:val="009E27C9"/>
    <w:rsid w:val="009F19C7"/>
    <w:rsid w:val="00A061DD"/>
    <w:rsid w:val="00A16684"/>
    <w:rsid w:val="00A458C1"/>
    <w:rsid w:val="00A710DA"/>
    <w:rsid w:val="00A77708"/>
    <w:rsid w:val="00A956A1"/>
    <w:rsid w:val="00AC0648"/>
    <w:rsid w:val="00AD67E4"/>
    <w:rsid w:val="00AF2993"/>
    <w:rsid w:val="00AF5A86"/>
    <w:rsid w:val="00B0526C"/>
    <w:rsid w:val="00B063FC"/>
    <w:rsid w:val="00B07284"/>
    <w:rsid w:val="00B16672"/>
    <w:rsid w:val="00B615C9"/>
    <w:rsid w:val="00B61C7A"/>
    <w:rsid w:val="00BA0A3D"/>
    <w:rsid w:val="00BE6A50"/>
    <w:rsid w:val="00C44C89"/>
    <w:rsid w:val="00C86F4B"/>
    <w:rsid w:val="00CB16EB"/>
    <w:rsid w:val="00CC6084"/>
    <w:rsid w:val="00D77145"/>
    <w:rsid w:val="00DA3E54"/>
    <w:rsid w:val="00DC1B35"/>
    <w:rsid w:val="00DD3E09"/>
    <w:rsid w:val="00DE3ECE"/>
    <w:rsid w:val="00E00FC2"/>
    <w:rsid w:val="00E5409D"/>
    <w:rsid w:val="00E57C0A"/>
    <w:rsid w:val="00E63A58"/>
    <w:rsid w:val="00EA214E"/>
    <w:rsid w:val="00ED2356"/>
    <w:rsid w:val="00F11670"/>
    <w:rsid w:val="00F2170B"/>
    <w:rsid w:val="00F52597"/>
    <w:rsid w:val="00F76EA2"/>
    <w:rsid w:val="00F836EB"/>
    <w:rsid w:val="00F97BB0"/>
    <w:rsid w:val="00FB5ECE"/>
    <w:rsid w:val="00FD39DC"/>
    <w:rsid w:val="015D535B"/>
    <w:rsid w:val="01C00A77"/>
    <w:rsid w:val="02732333"/>
    <w:rsid w:val="02B61572"/>
    <w:rsid w:val="02CC7C2D"/>
    <w:rsid w:val="03770A53"/>
    <w:rsid w:val="03A657A7"/>
    <w:rsid w:val="03ED1A9B"/>
    <w:rsid w:val="049B204D"/>
    <w:rsid w:val="0603393A"/>
    <w:rsid w:val="082253DC"/>
    <w:rsid w:val="08E507E0"/>
    <w:rsid w:val="08E847D0"/>
    <w:rsid w:val="09EF4A0E"/>
    <w:rsid w:val="0A605186"/>
    <w:rsid w:val="0A73322C"/>
    <w:rsid w:val="0B733816"/>
    <w:rsid w:val="0B8D5027"/>
    <w:rsid w:val="0C0F1B9F"/>
    <w:rsid w:val="0CF526B6"/>
    <w:rsid w:val="0DE508B8"/>
    <w:rsid w:val="0E433B44"/>
    <w:rsid w:val="0E807329"/>
    <w:rsid w:val="0EB60C1F"/>
    <w:rsid w:val="0EC94076"/>
    <w:rsid w:val="0ED45114"/>
    <w:rsid w:val="0F4A6001"/>
    <w:rsid w:val="10A1599C"/>
    <w:rsid w:val="119D3CEE"/>
    <w:rsid w:val="11E0548D"/>
    <w:rsid w:val="142D0CBD"/>
    <w:rsid w:val="14373D23"/>
    <w:rsid w:val="1463538B"/>
    <w:rsid w:val="14717AB4"/>
    <w:rsid w:val="153411C2"/>
    <w:rsid w:val="16950E1C"/>
    <w:rsid w:val="16CD6319"/>
    <w:rsid w:val="16E154E6"/>
    <w:rsid w:val="16E475DF"/>
    <w:rsid w:val="17282E8C"/>
    <w:rsid w:val="18603D22"/>
    <w:rsid w:val="1B175993"/>
    <w:rsid w:val="1BB52EA2"/>
    <w:rsid w:val="1C550664"/>
    <w:rsid w:val="1CAE64E1"/>
    <w:rsid w:val="1CDF4190"/>
    <w:rsid w:val="1D064A21"/>
    <w:rsid w:val="1D202384"/>
    <w:rsid w:val="1D6F38CA"/>
    <w:rsid w:val="1F290771"/>
    <w:rsid w:val="1F9C1AC3"/>
    <w:rsid w:val="20127A8A"/>
    <w:rsid w:val="2024566B"/>
    <w:rsid w:val="202F4D8A"/>
    <w:rsid w:val="20363F8C"/>
    <w:rsid w:val="203D3191"/>
    <w:rsid w:val="23692F84"/>
    <w:rsid w:val="23F86006"/>
    <w:rsid w:val="24353EF0"/>
    <w:rsid w:val="24927AF6"/>
    <w:rsid w:val="24C861FE"/>
    <w:rsid w:val="265B7E73"/>
    <w:rsid w:val="27035039"/>
    <w:rsid w:val="27C07A58"/>
    <w:rsid w:val="28362BF0"/>
    <w:rsid w:val="295E2E86"/>
    <w:rsid w:val="2A695023"/>
    <w:rsid w:val="2B452F8C"/>
    <w:rsid w:val="2B7C2DCC"/>
    <w:rsid w:val="2BB737F1"/>
    <w:rsid w:val="2C1A3AAC"/>
    <w:rsid w:val="2C5F3513"/>
    <w:rsid w:val="2CE43533"/>
    <w:rsid w:val="2D070E6D"/>
    <w:rsid w:val="2D9142FF"/>
    <w:rsid w:val="2D9A14E4"/>
    <w:rsid w:val="2DDB48AF"/>
    <w:rsid w:val="2E0A5EA6"/>
    <w:rsid w:val="2E153666"/>
    <w:rsid w:val="2E6300B5"/>
    <w:rsid w:val="2EDC7166"/>
    <w:rsid w:val="2F1B410B"/>
    <w:rsid w:val="2F836CDD"/>
    <w:rsid w:val="2FBD6DD4"/>
    <w:rsid w:val="30F04650"/>
    <w:rsid w:val="30FF270E"/>
    <w:rsid w:val="31BF427F"/>
    <w:rsid w:val="33506A40"/>
    <w:rsid w:val="33760807"/>
    <w:rsid w:val="34DE0A2F"/>
    <w:rsid w:val="34E20BC9"/>
    <w:rsid w:val="350A5566"/>
    <w:rsid w:val="35714CB8"/>
    <w:rsid w:val="35B470E6"/>
    <w:rsid w:val="3611425C"/>
    <w:rsid w:val="36CC3934"/>
    <w:rsid w:val="37BC486B"/>
    <w:rsid w:val="37C77366"/>
    <w:rsid w:val="39903F1F"/>
    <w:rsid w:val="39AB355B"/>
    <w:rsid w:val="39EA15A5"/>
    <w:rsid w:val="3A495B16"/>
    <w:rsid w:val="3B483FED"/>
    <w:rsid w:val="3B7E0F86"/>
    <w:rsid w:val="3D3C621F"/>
    <w:rsid w:val="3D6A12DA"/>
    <w:rsid w:val="3E0670B9"/>
    <w:rsid w:val="3E1B545F"/>
    <w:rsid w:val="3E25569F"/>
    <w:rsid w:val="3E2A13D3"/>
    <w:rsid w:val="3F49640F"/>
    <w:rsid w:val="40C559CA"/>
    <w:rsid w:val="417C1493"/>
    <w:rsid w:val="42A83D0E"/>
    <w:rsid w:val="42B102F2"/>
    <w:rsid w:val="43D17063"/>
    <w:rsid w:val="44261787"/>
    <w:rsid w:val="442C384E"/>
    <w:rsid w:val="45B24749"/>
    <w:rsid w:val="463A1540"/>
    <w:rsid w:val="47E81A6D"/>
    <w:rsid w:val="4A8F73F5"/>
    <w:rsid w:val="4B0B6A32"/>
    <w:rsid w:val="4B406DF1"/>
    <w:rsid w:val="4CFE0659"/>
    <w:rsid w:val="4D0D44E6"/>
    <w:rsid w:val="4DFF4291"/>
    <w:rsid w:val="4EB4447A"/>
    <w:rsid w:val="4F0F525E"/>
    <w:rsid w:val="4F307B45"/>
    <w:rsid w:val="50E572BD"/>
    <w:rsid w:val="52540645"/>
    <w:rsid w:val="52A25336"/>
    <w:rsid w:val="52E93CA2"/>
    <w:rsid w:val="52EF2D6C"/>
    <w:rsid w:val="53A00805"/>
    <w:rsid w:val="54255485"/>
    <w:rsid w:val="54940D5C"/>
    <w:rsid w:val="550D0BEC"/>
    <w:rsid w:val="55103E9F"/>
    <w:rsid w:val="589637BD"/>
    <w:rsid w:val="58FD48BE"/>
    <w:rsid w:val="596F05C9"/>
    <w:rsid w:val="5A864BD6"/>
    <w:rsid w:val="5B013355"/>
    <w:rsid w:val="5B1F5BE1"/>
    <w:rsid w:val="5BA35F04"/>
    <w:rsid w:val="5C431DCB"/>
    <w:rsid w:val="5DB263C1"/>
    <w:rsid w:val="610C7223"/>
    <w:rsid w:val="613E460E"/>
    <w:rsid w:val="616B00AA"/>
    <w:rsid w:val="61824CE7"/>
    <w:rsid w:val="62D40E04"/>
    <w:rsid w:val="631A2CFD"/>
    <w:rsid w:val="636B08DA"/>
    <w:rsid w:val="63AD58AF"/>
    <w:rsid w:val="64431DBD"/>
    <w:rsid w:val="645056B2"/>
    <w:rsid w:val="647210A0"/>
    <w:rsid w:val="65FF41A4"/>
    <w:rsid w:val="67475536"/>
    <w:rsid w:val="67A40FE5"/>
    <w:rsid w:val="680442E3"/>
    <w:rsid w:val="684E4CDD"/>
    <w:rsid w:val="687D5227"/>
    <w:rsid w:val="68962C94"/>
    <w:rsid w:val="68B220E1"/>
    <w:rsid w:val="68CC3ADF"/>
    <w:rsid w:val="68D84AC7"/>
    <w:rsid w:val="690E6946"/>
    <w:rsid w:val="6D1434C4"/>
    <w:rsid w:val="70D25D76"/>
    <w:rsid w:val="71FB2F99"/>
    <w:rsid w:val="72156AE2"/>
    <w:rsid w:val="72647B0B"/>
    <w:rsid w:val="72840573"/>
    <w:rsid w:val="72B80690"/>
    <w:rsid w:val="72FC4BD5"/>
    <w:rsid w:val="74AB21CE"/>
    <w:rsid w:val="74FD7D8B"/>
    <w:rsid w:val="75270345"/>
    <w:rsid w:val="75E752FA"/>
    <w:rsid w:val="76025FB6"/>
    <w:rsid w:val="786B4635"/>
    <w:rsid w:val="787F399B"/>
    <w:rsid w:val="788E538D"/>
    <w:rsid w:val="78D25C0A"/>
    <w:rsid w:val="795E76A7"/>
    <w:rsid w:val="79927657"/>
    <w:rsid w:val="79B27720"/>
    <w:rsid w:val="7B4C33AD"/>
    <w:rsid w:val="7BA04488"/>
    <w:rsid w:val="7C873272"/>
    <w:rsid w:val="7CB40E3C"/>
    <w:rsid w:val="7CF702D2"/>
    <w:rsid w:val="7D9F7F7C"/>
    <w:rsid w:val="7DAE506B"/>
    <w:rsid w:val="7DBD7E53"/>
    <w:rsid w:val="7DC13D15"/>
    <w:rsid w:val="7E092507"/>
    <w:rsid w:val="7E7304EF"/>
    <w:rsid w:val="7EDD3C07"/>
    <w:rsid w:val="7F88535D"/>
    <w:rsid w:val="7FBD74BA"/>
    <w:rsid w:val="7FF153EE"/>
    <w:rsid w:val="EBA93F00"/>
    <w:rsid w:val="EF8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jc w:val="left"/>
      <w:outlineLvl w:val="0"/>
    </w:pPr>
    <w:rPr>
      <w:rFonts w:ascii="黑体" w:hAnsi="宋体" w:eastAsia="黑体"/>
      <w:bCs/>
      <w:kern w:val="44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 Indent"/>
    <w:basedOn w:val="1"/>
    <w:next w:val="2"/>
    <w:link w:val="19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pPr>
      <w:widowControl w:val="0"/>
      <w:jc w:val="both"/>
    </w:pPr>
    <w:rPr>
      <w:rFonts w:hint="default" w:ascii="Calibri" w:hAnsi="Courier New" w:eastAsia="宋体" w:cs="Courier New"/>
      <w:kern w:val="2"/>
      <w:sz w:val="21"/>
      <w:szCs w:val="21"/>
      <w:lang w:val="en-US" w:eastAsia="zh-CN" w:bidi="ar-SA"/>
    </w:r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  <w:rPr>
      <w:rFonts w:ascii="Times New Roman" w:hAnsi="Times New Roman" w:eastAsia="宋体" w:cs="Times New Roman"/>
      <w:sz w:val="32"/>
      <w:szCs w:val="20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??" w:hAnsi="??" w:cs="??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5"/>
    <w:next w:val="1"/>
    <w:link w:val="20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9">
    <w:name w:val="正文文本缩进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20">
    <w:name w:val="正文首行缩进 2 Char"/>
    <w:basedOn w:val="19"/>
    <w:link w:val="12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1">
    <w:name w:val="日期 Char"/>
    <w:basedOn w:val="14"/>
    <w:link w:val="7"/>
    <w:qFormat/>
    <w:uiPriority w:val="0"/>
    <w:rPr>
      <w:rFonts w:ascii="Times New Roman" w:hAnsi="Times New Roman" w:eastAsia="宋体" w:cs="Times New Roman"/>
      <w:kern w:val="2"/>
      <w:sz w:val="32"/>
    </w:rPr>
  </w:style>
  <w:style w:type="paragraph" w:customStyle="1" w:styleId="22">
    <w:name w:val="文件格式"/>
    <w:basedOn w:val="1"/>
    <w:qFormat/>
    <w:uiPriority w:val="99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23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4">
    <w:name w:val="reader-word-layer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5">
    <w:name w:val="zwnr181"/>
    <w:basedOn w:val="14"/>
    <w:qFormat/>
    <w:uiPriority w:val="0"/>
    <w:rPr>
      <w:rFonts w:hint="eastAsia" w:ascii="华文仿宋" w:eastAsia="华文仿宋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1027</Words>
  <Characters>5860</Characters>
  <Lines>48</Lines>
  <Paragraphs>13</Paragraphs>
  <TotalTime>8</TotalTime>
  <ScaleCrop>false</ScaleCrop>
  <LinksUpToDate>false</LinksUpToDate>
  <CharactersWithSpaces>6874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11</dc:creator>
  <cp:lastModifiedBy>小石榴的麻麻</cp:lastModifiedBy>
  <cp:lastPrinted>2022-05-19T14:59:00Z</cp:lastPrinted>
  <dcterms:modified xsi:type="dcterms:W3CDTF">2022-06-16T07:16:56Z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243555089_btnclosed</vt:lpwstr>
  </property>
</Properties>
</file>