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96" w:rightChars="-50"/>
        <w:rPr>
          <w:rFonts w:hint="default" w:ascii="Times New Roman" w:hAnsi="Times New Roman" w:eastAsia="方正仿宋简体" w:cs="Times New Roman"/>
          <w:b/>
          <w:color w:val="000000" w:themeColor="text1"/>
          <w:sz w:val="32"/>
          <w:szCs w:val="32"/>
          <w14:textFill>
            <w14:solidFill>
              <w14:schemeClr w14:val="tx1"/>
            </w14:solidFill>
          </w14:textFill>
        </w:rPr>
      </w:pPr>
    </w:p>
    <w:p>
      <w:pPr>
        <w:spacing w:line="590" w:lineRule="exact"/>
        <w:ind w:right="-96" w:rightChars="-50"/>
        <w:jc w:val="center"/>
        <w:rPr>
          <w:rFonts w:hint="default" w:ascii="Times New Roman" w:hAnsi="Times New Roman" w:eastAsia="方正小标宋简体" w:cs="Times New Roman"/>
          <w:b/>
          <w:color w:val="000000" w:themeColor="text1"/>
          <w:sz w:val="44"/>
          <w:szCs w:val="44"/>
          <w:lang w:val="en-US" w:eastAsia="zh-CN"/>
          <w14:textFill>
            <w14:solidFill>
              <w14:schemeClr w14:val="tx1"/>
            </w14:solidFill>
          </w14:textFill>
        </w:rPr>
      </w:pPr>
      <w:r>
        <w:rPr>
          <w:rFonts w:hint="default" w:ascii="Times New Roman" w:hAnsi="Times New Roman" w:eastAsia="方正小标宋简体" w:cs="Times New Roman"/>
          <w:b/>
          <w:color w:val="000000" w:themeColor="text1"/>
          <w:sz w:val="44"/>
          <w:szCs w:val="44"/>
          <w:lang w:val="en-US" w:eastAsia="zh-CN"/>
          <w14:textFill>
            <w14:solidFill>
              <w14:schemeClr w14:val="tx1"/>
            </w14:solidFill>
          </w14:textFill>
        </w:rPr>
        <w:t>济宁市国有资产监督管理委员会</w:t>
      </w:r>
    </w:p>
    <w:p>
      <w:pPr>
        <w:spacing w:line="590" w:lineRule="exact"/>
        <w:ind w:right="-96" w:rightChars="-50"/>
        <w:jc w:val="center"/>
        <w:rPr>
          <w:rFonts w:hint="default" w:ascii="Times New Roman" w:hAnsi="Times New Roman" w:eastAsia="方正小标宋简体" w:cs="Times New Roman"/>
          <w:b/>
          <w:color w:val="000000" w:themeColor="text1"/>
          <w:sz w:val="44"/>
          <w:szCs w:val="44"/>
          <w14:textFill>
            <w14:solidFill>
              <w14:schemeClr w14:val="tx1"/>
            </w14:solidFill>
          </w14:textFill>
        </w:rPr>
      </w:pPr>
      <w:r>
        <w:rPr>
          <w:rFonts w:hint="default" w:ascii="Times New Roman" w:hAnsi="Times New Roman" w:eastAsia="方正小标宋简体" w:cs="Times New Roman"/>
          <w:b/>
          <w:color w:val="000000" w:themeColor="text1"/>
          <w:sz w:val="44"/>
          <w:szCs w:val="44"/>
          <w14:textFill>
            <w14:solidFill>
              <w14:schemeClr w14:val="tx1"/>
            </w14:solidFill>
          </w14:textFill>
        </w:rPr>
        <w:t>2021年政府信息公开工作年度报告</w:t>
      </w:r>
    </w:p>
    <w:p>
      <w:pPr>
        <w:spacing w:line="590" w:lineRule="exact"/>
        <w:ind w:right="-96" w:rightChars="-50" w:firstLine="624" w:firstLineChars="200"/>
        <w:rPr>
          <w:rFonts w:hint="default" w:ascii="Times New Roman" w:hAnsi="Times New Roman" w:eastAsia="方正仿宋简体" w:cs="Times New Roman"/>
          <w:b/>
          <w:color w:val="000000" w:themeColor="text1"/>
          <w:sz w:val="32"/>
          <w:szCs w:val="32"/>
          <w14:textFill>
            <w14:solidFill>
              <w14:schemeClr w14:val="tx1"/>
            </w14:solidFill>
          </w14:textFill>
        </w:rPr>
      </w:pPr>
    </w:p>
    <w:p>
      <w:pPr>
        <w:spacing w:line="590" w:lineRule="exact"/>
        <w:ind w:right="-96" w:rightChars="-50" w:firstLine="624" w:firstLineChars="200"/>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本报告由</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济宁市国有资产监督管理委员会</w:t>
      </w:r>
      <w:r>
        <w:rPr>
          <w:rFonts w:hint="default" w:ascii="Times New Roman" w:hAnsi="Times New Roman" w:eastAsia="方正仿宋简体" w:cs="Times New Roman"/>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spacing w:line="590" w:lineRule="exact"/>
        <w:ind w:right="-96" w:rightChars="-50" w:firstLine="624" w:firstLineChars="200"/>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kinsoku/>
        <w:wordWrap/>
        <w:overflowPunct/>
        <w:topLinePunct w:val="0"/>
        <w:autoSpaceDE/>
        <w:autoSpaceDN/>
        <w:bidi w:val="0"/>
        <w:adjustRightInd/>
        <w:snapToGrid/>
        <w:spacing w:beforeAutospacing="0" w:afterAutospacing="0" w:line="590" w:lineRule="exact"/>
        <w:ind w:right="0" w:rightChars="0" w:firstLine="624" w:firstLineChars="200"/>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本报告所列数据的统计期限自2021年1月1日起至2021年12月31日止。本报告电子版可在“中国·济宁”政府门户网站（http://www.jining.gov.cn/col/col61570/index.html）查阅或下载。如对本报告有疑问，请与</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济宁市国有资产监督管理委员会</w:t>
      </w:r>
      <w:r>
        <w:rPr>
          <w:rFonts w:hint="default" w:ascii="Times New Roman" w:hAnsi="Times New Roman" w:eastAsia="方正仿宋简体" w:cs="Times New Roman"/>
          <w:b/>
          <w:color w:val="000000" w:themeColor="text1"/>
          <w:sz w:val="32"/>
          <w:szCs w:val="32"/>
          <w14:textFill>
            <w14:solidFill>
              <w14:schemeClr w14:val="tx1"/>
            </w14:solidFill>
          </w14:textFill>
        </w:rPr>
        <w:t>联系（地址：</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山东省第23届运动会综合指挥中心A1230</w:t>
      </w:r>
      <w:r>
        <w:rPr>
          <w:rFonts w:hint="default" w:ascii="Times New Roman" w:hAnsi="Times New Roman" w:eastAsia="方正仿宋简体" w:cs="Times New Roman"/>
          <w:b/>
          <w:color w:val="000000" w:themeColor="text1"/>
          <w:sz w:val="32"/>
          <w:szCs w:val="32"/>
          <w14:textFill>
            <w14:solidFill>
              <w14:schemeClr w14:val="tx1"/>
            </w14:solidFill>
          </w14:textFill>
        </w:rPr>
        <w:t>，联系电话：0537-</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2606126</w:t>
      </w:r>
      <w:r>
        <w:rPr>
          <w:rFonts w:hint="default" w:ascii="Times New Roman" w:hAnsi="Times New Roman" w:eastAsia="方正仿宋简体" w:cs="Times New Roman"/>
          <w:b/>
          <w:color w:val="000000" w:themeColor="text1"/>
          <w:sz w:val="32"/>
          <w:szCs w:val="32"/>
          <w14:textFill>
            <w14:solidFill>
              <w14:schemeClr w14:val="tx1"/>
            </w14:solidFill>
          </w14:textFill>
        </w:rPr>
        <w:t>）。</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rightChars="0" w:firstLine="604" w:firstLineChars="200"/>
        <w:textAlignment w:val="auto"/>
      </w:pPr>
      <w:r>
        <w:rPr>
          <w:rStyle w:val="13"/>
          <w:rFonts w:ascii="方正黑体简体" w:hAnsi="方正黑体简体" w:eastAsia="方正黑体简体" w:cs="方正黑体简体"/>
          <w:color w:val="000000"/>
          <w:sz w:val="31"/>
          <w:szCs w:val="31"/>
        </w:rPr>
        <w:t>一、总体情况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rightChars="0" w:firstLine="604" w:firstLineChars="200"/>
        <w:textAlignment w:val="auto"/>
      </w:pPr>
      <w:r>
        <w:rPr>
          <w:rStyle w:val="13"/>
          <w:rFonts w:hint="default" w:ascii="Times New Roman" w:hAnsi="Times New Roman" w:cs="Times New Roman"/>
          <w:color w:val="000000"/>
          <w:sz w:val="31"/>
          <w:szCs w:val="31"/>
        </w:rPr>
        <w:t>2021</w:t>
      </w:r>
      <w:r>
        <w:rPr>
          <w:rStyle w:val="13"/>
          <w:rFonts w:ascii="方正仿宋简体" w:hAnsi="方正仿宋简体" w:eastAsia="方正仿宋简体" w:cs="方正仿宋简体"/>
          <w:color w:val="000000"/>
          <w:sz w:val="31"/>
          <w:szCs w:val="31"/>
        </w:rPr>
        <w:t>年，济宁市国资委紧紧围绕市委、市政府中心工作，严格</w:t>
      </w:r>
      <w:r>
        <w:rPr>
          <w:rStyle w:val="13"/>
          <w:rFonts w:hint="eastAsia" w:ascii="方正仿宋简体" w:hAnsi="方正仿宋简体" w:eastAsia="方正仿宋简体" w:cs="方正仿宋简体"/>
          <w:color w:val="000000"/>
          <w:sz w:val="31"/>
          <w:szCs w:val="31"/>
        </w:rPr>
        <w:t>贯彻落实《条例》要求，在市政府办政务公开办公室的悉心指导下，始终将政务公开工作放在重要位置，将政务公开工作贯穿于国资国企改革发展全周期、全过程，推进国资国企政务公开标准化、规范化建设。</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rightChars="0" w:firstLine="604" w:firstLineChars="200"/>
        <w:textAlignment w:val="auto"/>
      </w:pPr>
      <w:r>
        <w:rPr>
          <w:rStyle w:val="13"/>
          <w:rFonts w:ascii="方正楷体简体" w:hAnsi="方正楷体简体" w:eastAsia="方正楷体简体" w:cs="方正楷体简体"/>
          <w:color w:val="000000"/>
          <w:sz w:val="31"/>
          <w:szCs w:val="31"/>
        </w:rPr>
        <w:t>（一）主动公开情况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rightChars="0" w:firstLine="604" w:firstLineChars="200"/>
        <w:textAlignment w:val="auto"/>
      </w:pPr>
      <w:r>
        <w:rPr>
          <w:rStyle w:val="13"/>
          <w:rFonts w:hint="eastAsia" w:ascii="方正仿宋简体" w:hAnsi="方正仿宋简体" w:eastAsia="方正仿宋简体" w:cs="方正仿宋简体"/>
          <w:color w:val="000000"/>
          <w:sz w:val="31"/>
          <w:szCs w:val="31"/>
        </w:rPr>
        <w:t>济宁市国资委高度重视政府信息公开制度规范化建设，制定出台</w:t>
      </w:r>
      <w:r>
        <w:rPr>
          <w:rStyle w:val="13"/>
          <w:rFonts w:hint="eastAsia" w:ascii="方正仿宋简体" w:hAnsi="方正仿宋简体" w:eastAsia="方正仿宋简体" w:cs="方正仿宋简体"/>
          <w:color w:val="000000"/>
          <w:sz w:val="31"/>
          <w:szCs w:val="31"/>
          <w:lang w:val="en-US" w:eastAsia="zh-CN"/>
        </w:rPr>
        <w:t>相关文件</w:t>
      </w:r>
      <w:r>
        <w:rPr>
          <w:rStyle w:val="13"/>
          <w:rFonts w:hint="eastAsia" w:ascii="方正仿宋简体" w:hAnsi="方正仿宋简体" w:eastAsia="方正仿宋简体" w:cs="方正仿宋简体"/>
          <w:color w:val="000000"/>
          <w:sz w:val="31"/>
          <w:szCs w:val="31"/>
        </w:rPr>
        <w:t>，由具体业务科室牵头实施，</w:t>
      </w:r>
      <w:r>
        <w:rPr>
          <w:rStyle w:val="13"/>
          <w:rFonts w:hint="default" w:ascii="Times New Roman" w:hAnsi="Times New Roman" w:cs="Times New Roman"/>
          <w:color w:val="000000"/>
          <w:sz w:val="31"/>
          <w:szCs w:val="31"/>
        </w:rPr>
        <w:t>2021</w:t>
      </w:r>
      <w:r>
        <w:rPr>
          <w:rStyle w:val="13"/>
          <w:rFonts w:hint="eastAsia" w:ascii="方正仿宋简体" w:hAnsi="方正仿宋简体" w:eastAsia="方正仿宋简体" w:cs="方正仿宋简体"/>
          <w:color w:val="000000"/>
          <w:sz w:val="31"/>
          <w:szCs w:val="31"/>
        </w:rPr>
        <w:t>年，共出台文件</w:t>
      </w:r>
      <w:r>
        <w:rPr>
          <w:rStyle w:val="13"/>
          <w:rFonts w:hint="default" w:ascii="Times New Roman" w:hAnsi="Times New Roman" w:cs="Times New Roman"/>
          <w:color w:val="000000"/>
          <w:sz w:val="31"/>
          <w:szCs w:val="31"/>
        </w:rPr>
        <w:t>98</w:t>
      </w:r>
      <w:r>
        <w:rPr>
          <w:rStyle w:val="13"/>
          <w:rFonts w:hint="eastAsia" w:ascii="方正仿宋简体" w:hAnsi="方正仿宋简体" w:eastAsia="方正仿宋简体" w:cs="方正仿宋简体"/>
          <w:color w:val="000000"/>
          <w:sz w:val="31"/>
          <w:szCs w:val="31"/>
        </w:rPr>
        <w:t>件，主动公开</w:t>
      </w:r>
      <w:r>
        <w:rPr>
          <w:rStyle w:val="13"/>
          <w:rFonts w:hint="default" w:ascii="Times New Roman" w:hAnsi="Times New Roman" w:cs="Times New Roman"/>
          <w:color w:val="000000"/>
          <w:sz w:val="31"/>
          <w:szCs w:val="31"/>
        </w:rPr>
        <w:t>15</w:t>
      </w:r>
      <w:r>
        <w:rPr>
          <w:rStyle w:val="13"/>
          <w:rFonts w:hint="eastAsia" w:ascii="方正仿宋简体" w:hAnsi="方正仿宋简体" w:eastAsia="方正仿宋简体" w:cs="方正仿宋简体"/>
          <w:color w:val="000000"/>
          <w:sz w:val="31"/>
          <w:szCs w:val="31"/>
        </w:rPr>
        <w:t>件、依申请公开</w:t>
      </w:r>
      <w:r>
        <w:rPr>
          <w:rStyle w:val="13"/>
          <w:rFonts w:hint="default" w:ascii="Times New Roman" w:hAnsi="Times New Roman" w:cs="Times New Roman"/>
          <w:color w:val="000000"/>
          <w:sz w:val="31"/>
          <w:szCs w:val="31"/>
        </w:rPr>
        <w:t>6</w:t>
      </w:r>
      <w:r>
        <w:rPr>
          <w:rStyle w:val="13"/>
          <w:rFonts w:hint="eastAsia" w:ascii="方正仿宋简体" w:hAnsi="方正仿宋简体" w:eastAsia="方正仿宋简体" w:cs="方正仿宋简体"/>
          <w:color w:val="000000"/>
          <w:sz w:val="31"/>
          <w:szCs w:val="31"/>
        </w:rPr>
        <w:t>件、不予公开</w:t>
      </w:r>
      <w:r>
        <w:rPr>
          <w:rStyle w:val="13"/>
          <w:rFonts w:hint="default" w:ascii="Times New Roman" w:hAnsi="Times New Roman" w:cs="Times New Roman"/>
          <w:color w:val="000000"/>
          <w:sz w:val="31"/>
          <w:szCs w:val="31"/>
        </w:rPr>
        <w:t>77</w:t>
      </w:r>
      <w:r>
        <w:rPr>
          <w:rStyle w:val="13"/>
          <w:rFonts w:hint="eastAsia" w:ascii="方正仿宋简体" w:hAnsi="方正仿宋简体" w:eastAsia="方正仿宋简体" w:cs="方正仿宋简体"/>
          <w:color w:val="000000"/>
          <w:sz w:val="31"/>
          <w:szCs w:val="31"/>
        </w:rPr>
        <w:t>件，网上公开了</w:t>
      </w:r>
      <w:r>
        <w:rPr>
          <w:rStyle w:val="13"/>
          <w:rFonts w:hint="default" w:ascii="Times New Roman" w:hAnsi="Times New Roman" w:cs="Times New Roman"/>
          <w:color w:val="000000"/>
          <w:sz w:val="31"/>
          <w:szCs w:val="31"/>
        </w:rPr>
        <w:t>15</w:t>
      </w:r>
      <w:r>
        <w:rPr>
          <w:rStyle w:val="13"/>
          <w:rFonts w:hint="eastAsia" w:ascii="方正仿宋简体" w:hAnsi="方正仿宋简体" w:eastAsia="方正仿宋简体" w:cs="方正仿宋简体"/>
          <w:color w:val="000000"/>
          <w:sz w:val="31"/>
          <w:szCs w:val="31"/>
        </w:rPr>
        <w:t>件，配发解读材料</w:t>
      </w:r>
      <w:r>
        <w:rPr>
          <w:rStyle w:val="13"/>
          <w:rFonts w:hint="default" w:ascii="Times New Roman" w:hAnsi="Times New Roman" w:cs="Times New Roman"/>
          <w:color w:val="000000"/>
          <w:sz w:val="31"/>
          <w:szCs w:val="31"/>
        </w:rPr>
        <w:t>15</w:t>
      </w:r>
      <w:r>
        <w:rPr>
          <w:rStyle w:val="13"/>
          <w:rFonts w:hint="eastAsia" w:ascii="方正仿宋简体" w:hAnsi="方正仿宋简体" w:eastAsia="方正仿宋简体" w:cs="方正仿宋简体"/>
          <w:color w:val="000000"/>
          <w:sz w:val="31"/>
          <w:szCs w:val="31"/>
        </w:rPr>
        <w:t>件，</w:t>
      </w:r>
      <w:r>
        <w:rPr>
          <w:rStyle w:val="13"/>
          <w:rFonts w:hint="default" w:ascii="Times New Roman" w:hAnsi="Times New Roman" w:cs="Times New Roman"/>
          <w:color w:val="000000"/>
          <w:sz w:val="31"/>
          <w:szCs w:val="31"/>
        </w:rPr>
        <w:t>2021</w:t>
      </w:r>
      <w:r>
        <w:rPr>
          <w:rStyle w:val="13"/>
          <w:rFonts w:hint="eastAsia" w:ascii="方正仿宋简体" w:hAnsi="方正仿宋简体" w:eastAsia="方正仿宋简体" w:cs="方正仿宋简体"/>
          <w:color w:val="000000"/>
          <w:sz w:val="31"/>
          <w:szCs w:val="31"/>
        </w:rPr>
        <w:t>年共公开了</w:t>
      </w:r>
      <w:r>
        <w:rPr>
          <w:rStyle w:val="13"/>
          <w:rFonts w:hint="default" w:ascii="Times New Roman" w:hAnsi="Times New Roman" w:cs="Times New Roman"/>
          <w:color w:val="000000"/>
          <w:sz w:val="31"/>
          <w:szCs w:val="31"/>
        </w:rPr>
        <w:t>14</w:t>
      </w:r>
      <w:r>
        <w:rPr>
          <w:rStyle w:val="13"/>
          <w:rFonts w:hint="eastAsia" w:ascii="方正仿宋简体" w:hAnsi="方正仿宋简体" w:eastAsia="方正仿宋简体" w:cs="方正仿宋简体"/>
          <w:color w:val="000000"/>
          <w:sz w:val="31"/>
          <w:szCs w:val="31"/>
        </w:rPr>
        <w:t>次部门办公会议。</w:t>
      </w:r>
      <w:r>
        <w:rPr>
          <w:rStyle w:val="13"/>
          <w:rFonts w:hint="default" w:ascii="Times New Roman" w:hAnsi="Times New Roman" w:cs="Times New Roman"/>
          <w:color w:val="000000"/>
          <w:sz w:val="31"/>
          <w:szCs w:val="31"/>
        </w:rPr>
        <w:t>6</w:t>
      </w:r>
      <w:r>
        <w:rPr>
          <w:rStyle w:val="13"/>
          <w:rFonts w:hint="eastAsia" w:ascii="方正仿宋简体" w:hAnsi="方正仿宋简体" w:eastAsia="方正仿宋简体" w:cs="方正仿宋简体"/>
          <w:color w:val="000000"/>
          <w:sz w:val="31"/>
          <w:szCs w:val="31"/>
        </w:rPr>
        <w:t>月，主要负责人丰家雷同志就市管企业倡导使用国六和新能源机动车工作进行解读。市国资委组织召开新闻发布会，并及时公开会议情况。</w:t>
      </w:r>
      <w:r>
        <w:rPr>
          <w:rStyle w:val="13"/>
          <w:rFonts w:hint="default" w:ascii="Times New Roman" w:hAnsi="Times New Roman" w:cs="Times New Roman"/>
          <w:color w:val="000000"/>
          <w:sz w:val="31"/>
          <w:szCs w:val="31"/>
        </w:rPr>
        <w:t>2021</w:t>
      </w:r>
      <w:r>
        <w:rPr>
          <w:rStyle w:val="13"/>
          <w:rFonts w:hint="eastAsia" w:ascii="方正仿宋简体" w:hAnsi="方正仿宋简体" w:eastAsia="方正仿宋简体" w:cs="方正仿宋简体"/>
          <w:color w:val="000000"/>
          <w:sz w:val="31"/>
          <w:szCs w:val="31"/>
        </w:rPr>
        <w:t>年度，我委共办理热线工单等</w:t>
      </w:r>
      <w:r>
        <w:rPr>
          <w:rStyle w:val="13"/>
          <w:rFonts w:hint="default" w:ascii="Times New Roman" w:hAnsi="Times New Roman" w:cs="Times New Roman"/>
          <w:color w:val="000000"/>
          <w:sz w:val="31"/>
          <w:szCs w:val="31"/>
        </w:rPr>
        <w:t>407</w:t>
      </w:r>
      <w:r>
        <w:rPr>
          <w:rStyle w:val="13"/>
          <w:rFonts w:hint="eastAsia" w:ascii="方正仿宋简体" w:hAnsi="方正仿宋简体" w:eastAsia="方正仿宋简体" w:cs="方正仿宋简体"/>
          <w:color w:val="000000"/>
          <w:sz w:val="31"/>
          <w:szCs w:val="31"/>
        </w:rPr>
        <w:t>条，其中</w:t>
      </w:r>
      <w:r>
        <w:rPr>
          <w:rStyle w:val="13"/>
          <w:rFonts w:hint="eastAsia" w:ascii="方正仿宋简体" w:hAnsi="方正仿宋简体" w:eastAsia="方正仿宋简体" w:cs="方正仿宋简体"/>
          <w:color w:val="000000"/>
          <w:sz w:val="31"/>
          <w:szCs w:val="31"/>
          <w:lang w:eastAsia="zh-CN"/>
        </w:rPr>
        <w:t>，</w:t>
      </w:r>
      <w:r>
        <w:rPr>
          <w:rStyle w:val="13"/>
          <w:rFonts w:hint="eastAsia" w:ascii="方正仿宋简体" w:hAnsi="方正仿宋简体" w:eastAsia="方正仿宋简体" w:cs="方正仿宋简体"/>
          <w:color w:val="000000"/>
          <w:sz w:val="31"/>
          <w:szCs w:val="31"/>
        </w:rPr>
        <w:t>接诉即办平台工单</w:t>
      </w:r>
      <w:r>
        <w:rPr>
          <w:rStyle w:val="13"/>
          <w:rFonts w:hint="default" w:ascii="Times New Roman" w:hAnsi="Times New Roman" w:cs="Times New Roman"/>
          <w:color w:val="000000"/>
          <w:sz w:val="31"/>
          <w:szCs w:val="31"/>
        </w:rPr>
        <w:t>5</w:t>
      </w:r>
      <w:r>
        <w:rPr>
          <w:rStyle w:val="13"/>
          <w:rFonts w:hint="eastAsia" w:ascii="方正仿宋简体" w:hAnsi="方正仿宋简体" w:eastAsia="方正仿宋简体" w:cs="方正仿宋简体"/>
          <w:color w:val="000000"/>
          <w:sz w:val="31"/>
          <w:szCs w:val="31"/>
        </w:rPr>
        <w:t>条；政务服务热线</w:t>
      </w:r>
      <w:r>
        <w:rPr>
          <w:rStyle w:val="13"/>
          <w:rFonts w:hint="default" w:ascii="Times New Roman" w:hAnsi="Times New Roman" w:cs="Times New Roman"/>
          <w:color w:val="000000"/>
          <w:sz w:val="31"/>
          <w:szCs w:val="31"/>
        </w:rPr>
        <w:t>338</w:t>
      </w:r>
      <w:r>
        <w:rPr>
          <w:rStyle w:val="13"/>
          <w:rFonts w:hint="eastAsia" w:ascii="方正仿宋简体" w:hAnsi="方正仿宋简体" w:eastAsia="方正仿宋简体" w:cs="方正仿宋简体"/>
          <w:color w:val="000000"/>
          <w:sz w:val="31"/>
          <w:szCs w:val="31"/>
        </w:rPr>
        <w:t>条；网络问政平台工单</w:t>
      </w:r>
      <w:r>
        <w:rPr>
          <w:rStyle w:val="13"/>
          <w:rFonts w:hint="default" w:ascii="Times New Roman" w:hAnsi="Times New Roman" w:cs="Times New Roman"/>
          <w:color w:val="000000"/>
          <w:sz w:val="31"/>
          <w:szCs w:val="31"/>
        </w:rPr>
        <w:t>64</w:t>
      </w:r>
      <w:r>
        <w:rPr>
          <w:rStyle w:val="13"/>
          <w:rFonts w:hint="eastAsia" w:ascii="方正仿宋简体" w:hAnsi="方正仿宋简体" w:eastAsia="方正仿宋简体" w:cs="方正仿宋简体"/>
          <w:color w:val="000000"/>
          <w:sz w:val="31"/>
          <w:szCs w:val="31"/>
        </w:rPr>
        <w:t>条。做到每月公开市管企业经营指标情况，公开了</w:t>
      </w:r>
      <w:r>
        <w:rPr>
          <w:rStyle w:val="13"/>
          <w:rFonts w:hint="default" w:ascii="Times New Roman" w:hAnsi="Times New Roman" w:cs="Times New Roman"/>
          <w:color w:val="000000"/>
          <w:sz w:val="31"/>
          <w:szCs w:val="31"/>
        </w:rPr>
        <w:t>2020</w:t>
      </w:r>
      <w:r>
        <w:rPr>
          <w:rStyle w:val="13"/>
          <w:rFonts w:hint="eastAsia" w:ascii="方正仿宋简体" w:hAnsi="方正仿宋简体" w:eastAsia="方正仿宋简体" w:cs="方正仿宋简体"/>
          <w:color w:val="000000"/>
          <w:sz w:val="31"/>
          <w:szCs w:val="31"/>
        </w:rPr>
        <w:t>年度市管企业经营业绩考核及薪酬核定结果，按照公开要求和财政部门要求，对国资委年度部门预算、决算、</w:t>
      </w:r>
      <w:r>
        <w:rPr>
          <w:rStyle w:val="13"/>
          <w:rFonts w:hint="default" w:ascii="Times New Roman" w:hAnsi="Times New Roman" w:cs="Times New Roman"/>
          <w:color w:val="000000"/>
          <w:sz w:val="31"/>
          <w:szCs w:val="31"/>
        </w:rPr>
        <w:t>“</w:t>
      </w:r>
      <w:r>
        <w:rPr>
          <w:rStyle w:val="13"/>
          <w:rFonts w:hint="eastAsia" w:ascii="方正仿宋简体" w:hAnsi="方正仿宋简体" w:eastAsia="方正仿宋简体" w:cs="方正仿宋简体"/>
          <w:color w:val="000000"/>
          <w:sz w:val="31"/>
          <w:szCs w:val="31"/>
        </w:rPr>
        <w:t>三公</w:t>
      </w:r>
      <w:r>
        <w:rPr>
          <w:rStyle w:val="13"/>
          <w:rFonts w:hint="default" w:ascii="Times New Roman" w:hAnsi="Times New Roman" w:cs="Times New Roman"/>
          <w:color w:val="000000"/>
          <w:sz w:val="31"/>
          <w:szCs w:val="31"/>
        </w:rPr>
        <w:t>”</w:t>
      </w:r>
      <w:r>
        <w:rPr>
          <w:rStyle w:val="13"/>
          <w:rFonts w:hint="eastAsia" w:ascii="方正仿宋简体" w:hAnsi="方正仿宋简体" w:eastAsia="方正仿宋简体" w:cs="方正仿宋简体"/>
          <w:color w:val="000000"/>
          <w:sz w:val="31"/>
          <w:szCs w:val="31"/>
        </w:rPr>
        <w:t>经费财政拨款情况、政府采购信息、公共资源配置交易信息、预算绩效等重要事项进行公开。</w:t>
      </w:r>
      <w:r>
        <w:rPr>
          <w:rStyle w:val="13"/>
          <w:rFonts w:hint="default" w:ascii="Times New Roman" w:hAnsi="Times New Roman" w:cs="Times New Roman"/>
          <w:color w:val="000000"/>
          <w:sz w:val="31"/>
          <w:szCs w:val="31"/>
        </w:rPr>
        <w:t>2021</w:t>
      </w:r>
      <w:r>
        <w:rPr>
          <w:rStyle w:val="13"/>
          <w:rFonts w:hint="eastAsia" w:ascii="方正仿宋简体" w:hAnsi="方正仿宋简体" w:eastAsia="方正仿宋简体" w:cs="方正仿宋简体"/>
          <w:color w:val="000000"/>
          <w:sz w:val="31"/>
          <w:szCs w:val="31"/>
        </w:rPr>
        <w:t>年，共承办市级人大代表建议</w:t>
      </w:r>
      <w:r>
        <w:rPr>
          <w:rStyle w:val="13"/>
          <w:rFonts w:hint="default" w:ascii="Times New Roman" w:hAnsi="Times New Roman" w:cs="Times New Roman"/>
          <w:color w:val="000000"/>
          <w:sz w:val="31"/>
          <w:szCs w:val="31"/>
        </w:rPr>
        <w:t>0</w:t>
      </w:r>
      <w:r>
        <w:rPr>
          <w:rStyle w:val="13"/>
          <w:rFonts w:hint="eastAsia" w:ascii="方正仿宋简体" w:hAnsi="方正仿宋简体" w:eastAsia="方正仿宋简体" w:cs="方正仿宋简体"/>
          <w:color w:val="000000"/>
          <w:sz w:val="31"/>
          <w:szCs w:val="31"/>
        </w:rPr>
        <w:t>件、政协提案</w:t>
      </w:r>
      <w:r>
        <w:rPr>
          <w:rStyle w:val="13"/>
          <w:rFonts w:hint="default" w:ascii="Times New Roman" w:hAnsi="Times New Roman" w:cs="Times New Roman"/>
          <w:color w:val="000000"/>
          <w:sz w:val="31"/>
          <w:szCs w:val="31"/>
        </w:rPr>
        <w:t>5</w:t>
      </w:r>
      <w:r>
        <w:rPr>
          <w:rStyle w:val="13"/>
          <w:rFonts w:hint="eastAsia" w:ascii="方正仿宋简体" w:hAnsi="方正仿宋简体" w:eastAsia="方正仿宋简体" w:cs="方正仿宋简体"/>
          <w:color w:val="000000"/>
          <w:sz w:val="31"/>
          <w:szCs w:val="31"/>
        </w:rPr>
        <w:t>件（其中主办</w:t>
      </w:r>
      <w:r>
        <w:rPr>
          <w:rStyle w:val="13"/>
          <w:rFonts w:hint="default" w:ascii="Times New Roman" w:hAnsi="Times New Roman" w:cs="Times New Roman"/>
          <w:color w:val="000000"/>
          <w:sz w:val="31"/>
          <w:szCs w:val="31"/>
        </w:rPr>
        <w:t>1</w:t>
      </w:r>
      <w:r>
        <w:rPr>
          <w:rStyle w:val="13"/>
          <w:rFonts w:hint="eastAsia" w:ascii="方正仿宋简体" w:hAnsi="方正仿宋简体" w:eastAsia="方正仿宋简体" w:cs="方正仿宋简体"/>
          <w:color w:val="000000"/>
          <w:sz w:val="31"/>
          <w:szCs w:val="31"/>
        </w:rPr>
        <w:t>件、分办</w:t>
      </w:r>
      <w:r>
        <w:rPr>
          <w:rStyle w:val="13"/>
          <w:rFonts w:hint="default" w:ascii="Times New Roman" w:hAnsi="Times New Roman" w:cs="Times New Roman"/>
          <w:color w:val="000000"/>
          <w:sz w:val="31"/>
          <w:szCs w:val="31"/>
        </w:rPr>
        <w:t>2</w:t>
      </w:r>
      <w:r>
        <w:rPr>
          <w:rStyle w:val="13"/>
          <w:rFonts w:hint="eastAsia" w:ascii="方正仿宋简体" w:hAnsi="方正仿宋简体" w:eastAsia="方正仿宋简体" w:cs="方正仿宋简体"/>
          <w:color w:val="000000"/>
          <w:sz w:val="31"/>
          <w:szCs w:val="31"/>
        </w:rPr>
        <w:t>件、协办</w:t>
      </w:r>
      <w:r>
        <w:rPr>
          <w:rStyle w:val="13"/>
          <w:rFonts w:hint="default" w:ascii="Times New Roman" w:hAnsi="Times New Roman" w:cs="Times New Roman"/>
          <w:color w:val="000000"/>
          <w:sz w:val="31"/>
          <w:szCs w:val="31"/>
        </w:rPr>
        <w:t>3</w:t>
      </w:r>
      <w:r>
        <w:rPr>
          <w:rStyle w:val="13"/>
          <w:rFonts w:hint="eastAsia" w:ascii="方正仿宋简体" w:hAnsi="方正仿宋简体" w:eastAsia="方正仿宋简体" w:cs="方正仿宋简体"/>
          <w:color w:val="000000"/>
          <w:sz w:val="31"/>
          <w:szCs w:val="31"/>
        </w:rPr>
        <w:t>件），均已办复。</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rightChars="0" w:firstLine="604" w:firstLineChars="200"/>
        <w:textAlignment w:val="auto"/>
      </w:pPr>
      <w:r>
        <w:rPr>
          <w:rStyle w:val="13"/>
          <w:rFonts w:hint="eastAsia" w:ascii="方正楷体简体" w:hAnsi="方正楷体简体" w:eastAsia="方正楷体简体" w:cs="方正楷体简体"/>
          <w:color w:val="000000"/>
          <w:sz w:val="31"/>
          <w:szCs w:val="31"/>
        </w:rPr>
        <w:t>（二）依申请公开情况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rightChars="0" w:firstLine="604" w:firstLineChars="200"/>
        <w:textAlignment w:val="auto"/>
      </w:pPr>
      <w:r>
        <w:rPr>
          <w:rStyle w:val="13"/>
          <w:rFonts w:hint="default" w:ascii="Times New Roman" w:hAnsi="Times New Roman" w:cs="Times New Roman"/>
          <w:color w:val="000000"/>
          <w:sz w:val="31"/>
          <w:szCs w:val="31"/>
        </w:rPr>
        <w:t>2021</w:t>
      </w:r>
      <w:r>
        <w:rPr>
          <w:rStyle w:val="13"/>
          <w:rFonts w:hint="eastAsia" w:ascii="方正仿宋简体" w:hAnsi="方正仿宋简体" w:eastAsia="方正仿宋简体" w:cs="方正仿宋简体"/>
          <w:color w:val="000000"/>
          <w:sz w:val="31"/>
          <w:szCs w:val="31"/>
        </w:rPr>
        <w:t>年，共收到依据申请公开</w:t>
      </w:r>
      <w:r>
        <w:rPr>
          <w:rStyle w:val="13"/>
          <w:rFonts w:hint="default" w:ascii="Times New Roman" w:hAnsi="Times New Roman" w:cs="Times New Roman"/>
          <w:color w:val="000000"/>
          <w:sz w:val="31"/>
          <w:szCs w:val="31"/>
        </w:rPr>
        <w:t>1</w:t>
      </w:r>
      <w:r>
        <w:rPr>
          <w:rStyle w:val="13"/>
          <w:rFonts w:hint="eastAsia" w:ascii="方正仿宋简体" w:hAnsi="方正仿宋简体" w:eastAsia="方正仿宋简体" w:cs="方正仿宋简体"/>
          <w:color w:val="000000"/>
          <w:sz w:val="31"/>
          <w:szCs w:val="31"/>
        </w:rPr>
        <w:t>件，办理完毕</w:t>
      </w:r>
      <w:r>
        <w:rPr>
          <w:rStyle w:val="13"/>
          <w:rFonts w:hint="default" w:ascii="Times New Roman" w:hAnsi="Times New Roman" w:cs="Times New Roman"/>
          <w:color w:val="000000"/>
          <w:sz w:val="31"/>
          <w:szCs w:val="31"/>
        </w:rPr>
        <w:t>1</w:t>
      </w:r>
      <w:r>
        <w:rPr>
          <w:rStyle w:val="13"/>
          <w:rFonts w:hint="eastAsia" w:ascii="方正仿宋简体" w:hAnsi="方正仿宋简体" w:eastAsia="方正仿宋简体" w:cs="方正仿宋简体"/>
          <w:color w:val="000000"/>
          <w:sz w:val="31"/>
          <w:szCs w:val="31"/>
        </w:rPr>
        <w:t>件。主要内容为赵某于</w:t>
      </w:r>
      <w:r>
        <w:rPr>
          <w:rStyle w:val="13"/>
          <w:rFonts w:hint="default" w:ascii="Times New Roman" w:hAnsi="Times New Roman" w:cs="Times New Roman"/>
          <w:color w:val="000000"/>
          <w:sz w:val="31"/>
          <w:szCs w:val="31"/>
        </w:rPr>
        <w:t>2021</w:t>
      </w:r>
      <w:r>
        <w:rPr>
          <w:rStyle w:val="13"/>
          <w:rFonts w:hint="eastAsia" w:ascii="方正仿宋简体" w:hAnsi="方正仿宋简体" w:eastAsia="方正仿宋简体" w:cs="方正仿宋简体"/>
          <w:color w:val="000000"/>
          <w:sz w:val="31"/>
          <w:szCs w:val="31"/>
        </w:rPr>
        <w:t>年</w:t>
      </w:r>
      <w:r>
        <w:rPr>
          <w:rStyle w:val="13"/>
          <w:rFonts w:hint="default" w:ascii="Times New Roman" w:hAnsi="Times New Roman" w:cs="Times New Roman"/>
          <w:color w:val="000000"/>
          <w:sz w:val="31"/>
          <w:szCs w:val="31"/>
        </w:rPr>
        <w:t>7</w:t>
      </w:r>
      <w:r>
        <w:rPr>
          <w:rStyle w:val="13"/>
          <w:rFonts w:hint="eastAsia" w:ascii="方正仿宋简体" w:hAnsi="方正仿宋简体" w:eastAsia="方正仿宋简体" w:cs="方正仿宋简体"/>
          <w:color w:val="000000"/>
          <w:sz w:val="31"/>
          <w:szCs w:val="31"/>
        </w:rPr>
        <w:t>月</w:t>
      </w:r>
      <w:r>
        <w:rPr>
          <w:rStyle w:val="13"/>
          <w:rFonts w:hint="default" w:ascii="Times New Roman" w:hAnsi="Times New Roman" w:cs="Times New Roman"/>
          <w:color w:val="000000"/>
          <w:sz w:val="31"/>
          <w:szCs w:val="31"/>
        </w:rPr>
        <w:t>25</w:t>
      </w:r>
      <w:r>
        <w:rPr>
          <w:rStyle w:val="13"/>
          <w:rFonts w:hint="eastAsia" w:ascii="方正仿宋简体" w:hAnsi="方正仿宋简体" w:eastAsia="方正仿宋简体" w:cs="方正仿宋简体"/>
          <w:color w:val="000000"/>
          <w:sz w:val="31"/>
          <w:szCs w:val="31"/>
        </w:rPr>
        <w:t>日提出申请，经审查，申请的内容属于咨询问题，不属于《中华人民共和国政府信息公开条例》第二条规定的政府信息范围，建议咨询相关部门，已在规定时间节点办理完毕。</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rightChars="0" w:firstLine="464" w:firstLineChars="200"/>
        <w:textAlignment w:val="auto"/>
      </w:pPr>
      <w:r>
        <w:drawing>
          <wp:anchor distT="0" distB="0" distL="114300" distR="114300" simplePos="0" relativeHeight="251659264" behindDoc="1" locked="0" layoutInCell="1" allowOverlap="1">
            <wp:simplePos x="0" y="0"/>
            <wp:positionH relativeFrom="column">
              <wp:posOffset>690245</wp:posOffset>
            </wp:positionH>
            <wp:positionV relativeFrom="paragraph">
              <wp:posOffset>356235</wp:posOffset>
            </wp:positionV>
            <wp:extent cx="3867150" cy="2543175"/>
            <wp:effectExtent l="0" t="0" r="0" b="9525"/>
            <wp:wrapTight wrapText="bothSides">
              <wp:wrapPolygon>
                <wp:start x="0" y="0"/>
                <wp:lineTo x="0" y="21519"/>
                <wp:lineTo x="21494" y="21519"/>
                <wp:lineTo x="21494" y="0"/>
                <wp:lineTo x="0" y="0"/>
              </wp:wrapPolygon>
            </wp:wrapTight>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7"/>
                    <a:stretch>
                      <a:fillRect/>
                    </a:stretch>
                  </pic:blipFill>
                  <pic:spPr>
                    <a:xfrm>
                      <a:off x="0" y="0"/>
                      <a:ext cx="3867150" cy="2543175"/>
                    </a:xfrm>
                    <a:prstGeom prst="rect">
                      <a:avLst/>
                    </a:prstGeom>
                    <a:noFill/>
                    <a:ln w="9525">
                      <a:noFill/>
                    </a:ln>
                  </pic:spPr>
                </pic:pic>
              </a:graphicData>
            </a:graphic>
          </wp:anchor>
        </w:drawing>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rightChars="0" w:firstLine="464" w:firstLineChars="200"/>
        <w:textAlignment w:val="auto"/>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rightChars="0" w:firstLine="464" w:firstLineChars="200"/>
        <w:textAlignment w:val="auto"/>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rightChars="0" w:firstLine="464" w:firstLineChars="200"/>
        <w:textAlignment w:val="auto"/>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rightChars="0" w:firstLine="464" w:firstLineChars="200"/>
        <w:textAlignment w:val="auto"/>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rightChars="0" w:firstLine="464" w:firstLineChars="200"/>
        <w:textAlignment w:val="auto"/>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rightChars="0" w:firstLine="464" w:firstLineChars="200"/>
        <w:textAlignment w:val="auto"/>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rightChars="0" w:firstLine="464" w:firstLineChars="200"/>
        <w:textAlignment w:val="auto"/>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rightChars="0" w:firstLine="464" w:firstLineChars="200"/>
        <w:textAlignment w:val="auto"/>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rightChars="0" w:firstLine="604" w:firstLineChars="200"/>
        <w:textAlignment w:val="auto"/>
      </w:pPr>
      <w:r>
        <w:rPr>
          <w:rStyle w:val="13"/>
          <w:rFonts w:hint="eastAsia" w:ascii="方正楷体简体" w:hAnsi="方正楷体简体" w:eastAsia="方正楷体简体" w:cs="方正楷体简体"/>
          <w:color w:val="000000"/>
          <w:sz w:val="31"/>
          <w:szCs w:val="31"/>
        </w:rPr>
        <w:t>（三）政府信息管理情况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rightChars="0" w:firstLine="604" w:firstLineChars="200"/>
        <w:textAlignment w:val="auto"/>
      </w:pPr>
      <w:r>
        <w:rPr>
          <w:rStyle w:val="13"/>
          <w:rFonts w:hint="eastAsia" w:ascii="方正仿宋简体" w:hAnsi="方正仿宋简体" w:eastAsia="方正仿宋简体" w:cs="方正仿宋简体"/>
          <w:color w:val="000000"/>
          <w:sz w:val="31"/>
          <w:szCs w:val="31"/>
        </w:rPr>
        <w:t>济宁市国资委对照评估考核事项逐项查摆，上报国办涉及考核资料</w:t>
      </w:r>
      <w:r>
        <w:rPr>
          <w:rStyle w:val="13"/>
          <w:rFonts w:hint="default" w:ascii="Times New Roman" w:hAnsi="Times New Roman" w:cs="Times New Roman"/>
          <w:color w:val="000000"/>
          <w:sz w:val="31"/>
          <w:szCs w:val="31"/>
        </w:rPr>
        <w:t>1</w:t>
      </w:r>
      <w:r>
        <w:rPr>
          <w:rStyle w:val="13"/>
          <w:rFonts w:hint="eastAsia" w:ascii="方正仿宋简体" w:hAnsi="方正仿宋简体" w:eastAsia="方正仿宋简体" w:cs="方正仿宋简体"/>
          <w:color w:val="000000"/>
          <w:sz w:val="31"/>
          <w:szCs w:val="31"/>
        </w:rPr>
        <w:t>套（</w:t>
      </w:r>
      <w:r>
        <w:rPr>
          <w:rStyle w:val="13"/>
          <w:rFonts w:hint="default" w:ascii="Times New Roman" w:hAnsi="Times New Roman" w:cs="Times New Roman"/>
          <w:color w:val="000000"/>
          <w:sz w:val="31"/>
          <w:szCs w:val="31"/>
        </w:rPr>
        <w:t>92</w:t>
      </w:r>
      <w:r>
        <w:rPr>
          <w:rStyle w:val="13"/>
          <w:rFonts w:hint="eastAsia" w:ascii="方正仿宋简体" w:hAnsi="方正仿宋简体" w:eastAsia="方正仿宋简体" w:cs="方正仿宋简体"/>
          <w:color w:val="000000"/>
          <w:sz w:val="31"/>
          <w:szCs w:val="31"/>
        </w:rPr>
        <w:t>页、</w:t>
      </w:r>
      <w:r>
        <w:rPr>
          <w:rStyle w:val="13"/>
          <w:rFonts w:hint="default" w:ascii="Times New Roman" w:hAnsi="Times New Roman" w:cs="Times New Roman"/>
          <w:color w:val="000000"/>
          <w:sz w:val="31"/>
          <w:szCs w:val="31"/>
        </w:rPr>
        <w:t>7300</w:t>
      </w:r>
      <w:r>
        <w:rPr>
          <w:rStyle w:val="13"/>
          <w:rFonts w:hint="eastAsia" w:ascii="方正仿宋简体" w:hAnsi="方正仿宋简体" w:eastAsia="方正仿宋简体" w:cs="方正仿宋简体"/>
          <w:color w:val="000000"/>
          <w:sz w:val="31"/>
          <w:szCs w:val="31"/>
        </w:rPr>
        <w:t>字、彩色图文装订），上报全市政务公开考核资料</w:t>
      </w:r>
      <w:r>
        <w:rPr>
          <w:rStyle w:val="13"/>
          <w:rFonts w:hint="default" w:ascii="Times New Roman" w:hAnsi="Times New Roman" w:cs="Times New Roman"/>
          <w:color w:val="000000"/>
          <w:sz w:val="31"/>
          <w:szCs w:val="31"/>
        </w:rPr>
        <w:t>1</w:t>
      </w:r>
      <w:r>
        <w:rPr>
          <w:rStyle w:val="13"/>
          <w:rFonts w:hint="eastAsia" w:ascii="方正仿宋简体" w:hAnsi="方正仿宋简体" w:eastAsia="方正仿宋简体" w:cs="方正仿宋简体"/>
          <w:color w:val="000000"/>
          <w:sz w:val="31"/>
          <w:szCs w:val="31"/>
        </w:rPr>
        <w:t>套（</w:t>
      </w:r>
      <w:r>
        <w:rPr>
          <w:rStyle w:val="13"/>
          <w:rFonts w:hint="default" w:ascii="Times New Roman" w:hAnsi="Times New Roman" w:cs="Times New Roman"/>
          <w:color w:val="000000"/>
          <w:sz w:val="31"/>
          <w:szCs w:val="31"/>
        </w:rPr>
        <w:t>208</w:t>
      </w:r>
      <w:r>
        <w:rPr>
          <w:rStyle w:val="13"/>
          <w:rFonts w:hint="eastAsia" w:ascii="方正仿宋简体" w:hAnsi="方正仿宋简体" w:eastAsia="方正仿宋简体" w:cs="方正仿宋简体"/>
          <w:color w:val="000000"/>
          <w:sz w:val="31"/>
          <w:szCs w:val="31"/>
        </w:rPr>
        <w:t>页、</w:t>
      </w:r>
      <w:r>
        <w:rPr>
          <w:rStyle w:val="13"/>
          <w:rFonts w:hint="default" w:ascii="Times New Roman" w:hAnsi="Times New Roman" w:cs="Times New Roman"/>
          <w:color w:val="000000"/>
          <w:sz w:val="31"/>
          <w:szCs w:val="31"/>
        </w:rPr>
        <w:t>39700</w:t>
      </w:r>
      <w:r>
        <w:rPr>
          <w:rStyle w:val="13"/>
          <w:rFonts w:hint="eastAsia" w:ascii="方正仿宋简体" w:hAnsi="方正仿宋简体" w:eastAsia="方正仿宋简体" w:cs="方正仿宋简体"/>
          <w:color w:val="000000"/>
          <w:sz w:val="31"/>
          <w:szCs w:val="31"/>
        </w:rPr>
        <w:t>字、彩色图文装订）</w:t>
      </w:r>
      <w:r>
        <w:rPr>
          <w:rStyle w:val="13"/>
          <w:rFonts w:hint="eastAsia" w:ascii="方正仿宋简体" w:hAnsi="方正仿宋简体" w:eastAsia="方正仿宋简体" w:cs="方正仿宋简体"/>
          <w:color w:val="000000"/>
          <w:sz w:val="31"/>
          <w:szCs w:val="31"/>
          <w:lang w:eastAsia="zh-CN"/>
        </w:rPr>
        <w:t>，</w:t>
      </w:r>
      <w:r>
        <w:rPr>
          <w:rStyle w:val="13"/>
          <w:rFonts w:hint="eastAsia" w:ascii="方正仿宋简体" w:hAnsi="方正仿宋简体" w:eastAsia="方正仿宋简体" w:cs="方正仿宋简体"/>
          <w:color w:val="000000"/>
          <w:sz w:val="31"/>
          <w:szCs w:val="31"/>
          <w:lang w:val="en-US" w:eastAsia="zh-CN"/>
        </w:rPr>
        <w:t>报送两项</w:t>
      </w:r>
      <w:r>
        <w:rPr>
          <w:rStyle w:val="13"/>
          <w:rFonts w:hint="eastAsia" w:ascii="方正仿宋简体" w:hAnsi="方正仿宋简体" w:eastAsia="方正仿宋简体" w:cs="方正仿宋简体"/>
          <w:color w:val="000000"/>
          <w:sz w:val="31"/>
          <w:szCs w:val="31"/>
        </w:rPr>
        <w:t>创新案例上报。</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rightChars="0" w:firstLine="604" w:firstLineChars="200"/>
        <w:textAlignment w:val="auto"/>
      </w:pPr>
      <w:r>
        <w:rPr>
          <w:rStyle w:val="13"/>
          <w:rFonts w:hint="eastAsia" w:ascii="方正楷体简体" w:hAnsi="方正楷体简体" w:eastAsia="方正楷体简体" w:cs="方正楷体简体"/>
          <w:color w:val="000000"/>
          <w:sz w:val="31"/>
          <w:szCs w:val="31"/>
        </w:rPr>
        <w:t>（四）政府信息公开平台建设情况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rightChars="0" w:firstLine="604" w:firstLineChars="200"/>
        <w:textAlignment w:val="auto"/>
      </w:pPr>
      <w:r>
        <w:rPr>
          <w:rStyle w:val="13"/>
          <w:rFonts w:hint="eastAsia" w:ascii="方正仿宋简体" w:hAnsi="方正仿宋简体" w:eastAsia="方正仿宋简体" w:cs="方正仿宋简体"/>
          <w:color w:val="000000"/>
          <w:sz w:val="31"/>
          <w:szCs w:val="31"/>
        </w:rPr>
        <w:t>济宁市国资委坚持网站建设和政务新媒体运用相结合，第一时间做好每日错敏信息的纠错，每月网站新媒体自查，每季度网站监测检查，全年门户网站信息公开目录信息更新</w:t>
      </w:r>
      <w:r>
        <w:rPr>
          <w:rStyle w:val="13"/>
          <w:rFonts w:hint="default" w:ascii="Times New Roman" w:hAnsi="Times New Roman" w:cs="Times New Roman"/>
          <w:color w:val="000000"/>
          <w:sz w:val="31"/>
          <w:szCs w:val="31"/>
        </w:rPr>
        <w:t>239</w:t>
      </w:r>
      <w:r>
        <w:rPr>
          <w:rStyle w:val="13"/>
          <w:rFonts w:hint="eastAsia" w:ascii="方正仿宋简体" w:hAnsi="方正仿宋简体" w:eastAsia="方正仿宋简体" w:cs="方正仿宋简体"/>
          <w:color w:val="000000"/>
          <w:sz w:val="31"/>
          <w:szCs w:val="31"/>
        </w:rPr>
        <w:t>条，门户网站政务动态信息更新</w:t>
      </w:r>
      <w:r>
        <w:rPr>
          <w:rStyle w:val="13"/>
          <w:rFonts w:hint="default" w:ascii="Times New Roman" w:hAnsi="Times New Roman" w:cs="Times New Roman"/>
          <w:color w:val="000000"/>
          <w:sz w:val="31"/>
          <w:szCs w:val="31"/>
        </w:rPr>
        <w:t>267</w:t>
      </w:r>
      <w:r>
        <w:rPr>
          <w:rStyle w:val="13"/>
          <w:rFonts w:hint="eastAsia" w:ascii="方正仿宋简体" w:hAnsi="方正仿宋简体" w:eastAsia="方正仿宋简体" w:cs="方正仿宋简体"/>
          <w:color w:val="000000"/>
          <w:sz w:val="31"/>
          <w:szCs w:val="31"/>
        </w:rPr>
        <w:t>条</w:t>
      </w:r>
      <w:r>
        <w:rPr>
          <w:rStyle w:val="13"/>
          <w:rFonts w:hint="eastAsia" w:ascii="方正仿宋简体" w:hAnsi="方正仿宋简体" w:eastAsia="方正仿宋简体" w:cs="方正仿宋简体"/>
          <w:color w:val="000000"/>
          <w:sz w:val="31"/>
          <w:szCs w:val="31"/>
          <w:lang w:eastAsia="zh-CN"/>
        </w:rPr>
        <w:t>，</w:t>
      </w:r>
      <w:r>
        <w:rPr>
          <w:rStyle w:val="13"/>
          <w:rFonts w:hint="eastAsia" w:ascii="方正仿宋简体" w:hAnsi="方正仿宋简体" w:eastAsia="方正仿宋简体" w:cs="方正仿宋简体"/>
          <w:color w:val="000000"/>
          <w:sz w:val="31"/>
          <w:szCs w:val="31"/>
        </w:rPr>
        <w:t>全年发布</w:t>
      </w:r>
      <w:r>
        <w:rPr>
          <w:rStyle w:val="13"/>
          <w:rFonts w:hint="default" w:ascii="Times New Roman" w:hAnsi="Times New Roman" w:cs="Times New Roman"/>
          <w:color w:val="000000"/>
          <w:sz w:val="31"/>
          <w:szCs w:val="31"/>
        </w:rPr>
        <w:t>247</w:t>
      </w:r>
      <w:r>
        <w:rPr>
          <w:rStyle w:val="13"/>
          <w:rFonts w:hint="eastAsia" w:ascii="方正仿宋简体" w:hAnsi="方正仿宋简体" w:eastAsia="方正仿宋简体" w:cs="方正仿宋简体"/>
          <w:color w:val="000000"/>
          <w:sz w:val="31"/>
          <w:szCs w:val="31"/>
        </w:rPr>
        <w:t>条，微博上传信息</w:t>
      </w:r>
      <w:r>
        <w:rPr>
          <w:rStyle w:val="13"/>
          <w:rFonts w:hint="default" w:ascii="Times New Roman" w:hAnsi="Times New Roman" w:cs="Times New Roman"/>
          <w:color w:val="000000"/>
          <w:sz w:val="31"/>
          <w:szCs w:val="31"/>
        </w:rPr>
        <w:t>267</w:t>
      </w:r>
      <w:r>
        <w:rPr>
          <w:rStyle w:val="13"/>
          <w:rFonts w:hint="eastAsia" w:ascii="方正仿宋简体" w:hAnsi="方正仿宋简体" w:eastAsia="方正仿宋简体" w:cs="方正仿宋简体"/>
          <w:color w:val="000000"/>
          <w:sz w:val="31"/>
          <w:szCs w:val="31"/>
        </w:rPr>
        <w:t>条。全力打造济宁华润燃气有限公司常青路客服中心示范点。</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rightChars="0" w:firstLine="604" w:firstLineChars="200"/>
        <w:textAlignment w:val="auto"/>
      </w:pPr>
      <w:r>
        <w:rPr>
          <w:rStyle w:val="13"/>
          <w:rFonts w:hint="eastAsia" w:ascii="方正楷体简体" w:hAnsi="方正楷体简体" w:eastAsia="方正楷体简体" w:cs="方正楷体简体"/>
          <w:color w:val="000000"/>
          <w:sz w:val="31"/>
          <w:szCs w:val="31"/>
        </w:rPr>
        <w:t>（五）监督保障情况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rightChars="0" w:firstLine="604" w:firstLineChars="200"/>
        <w:textAlignment w:val="auto"/>
      </w:pPr>
      <w:r>
        <w:rPr>
          <w:rStyle w:val="13"/>
          <w:rFonts w:hint="eastAsia" w:ascii="方正仿宋简体" w:hAnsi="方正仿宋简体" w:eastAsia="方正仿宋简体" w:cs="方正仿宋简体"/>
          <w:color w:val="000000"/>
          <w:sz w:val="31"/>
          <w:szCs w:val="31"/>
        </w:rPr>
        <w:t>济宁市国资委逐项制定了</w:t>
      </w:r>
      <w:r>
        <w:rPr>
          <w:rStyle w:val="13"/>
          <w:rFonts w:hint="default" w:ascii="Times New Roman" w:hAnsi="Times New Roman" w:cs="Times New Roman"/>
          <w:color w:val="000000"/>
          <w:sz w:val="31"/>
          <w:szCs w:val="31"/>
        </w:rPr>
        <w:t>2021</w:t>
      </w:r>
      <w:r>
        <w:rPr>
          <w:rStyle w:val="13"/>
          <w:rFonts w:hint="eastAsia" w:ascii="方正仿宋简体" w:hAnsi="方正仿宋简体" w:eastAsia="方正仿宋简体" w:cs="方正仿宋简体"/>
          <w:color w:val="000000"/>
          <w:sz w:val="31"/>
          <w:szCs w:val="31"/>
        </w:rPr>
        <w:t>年主动公开基本目录、政务公开培训计划、政务公开考核办法，组织召开培训会议</w:t>
      </w:r>
      <w:r>
        <w:rPr>
          <w:rStyle w:val="13"/>
          <w:rFonts w:hint="default" w:ascii="Times New Roman" w:hAnsi="Times New Roman" w:cs="Times New Roman"/>
          <w:color w:val="000000"/>
          <w:sz w:val="31"/>
          <w:szCs w:val="31"/>
        </w:rPr>
        <w:t>1</w:t>
      </w:r>
      <w:r>
        <w:rPr>
          <w:rStyle w:val="13"/>
          <w:rFonts w:hint="eastAsia" w:ascii="方正仿宋简体" w:hAnsi="方正仿宋简体" w:eastAsia="方正仿宋简体" w:cs="方正仿宋简体"/>
          <w:color w:val="000000"/>
          <w:sz w:val="31"/>
          <w:szCs w:val="31"/>
        </w:rPr>
        <w:t>次</w:t>
      </w:r>
      <w:r>
        <w:rPr>
          <w:rStyle w:val="13"/>
          <w:rFonts w:hint="eastAsia" w:ascii="方正仿宋简体" w:hAnsi="方正仿宋简体" w:eastAsia="方正仿宋简体" w:cs="方正仿宋简体"/>
          <w:color w:val="000000"/>
          <w:sz w:val="31"/>
          <w:szCs w:val="31"/>
          <w:lang w:eastAsia="zh-CN"/>
        </w:rPr>
        <w:t>，</w:t>
      </w:r>
      <w:r>
        <w:rPr>
          <w:rStyle w:val="13"/>
          <w:rFonts w:hint="eastAsia" w:ascii="方正仿宋简体" w:hAnsi="方正仿宋简体" w:eastAsia="方正仿宋简体" w:cs="方正仿宋简体"/>
          <w:color w:val="000000"/>
          <w:sz w:val="31"/>
          <w:szCs w:val="31"/>
        </w:rPr>
        <w:t>重点对科室信息提供、企业信息公开、工作完成度等加强督导考核，确保政务信息公开取得良好成效。</w:t>
      </w:r>
    </w:p>
    <w:p>
      <w:pPr>
        <w:spacing w:line="590" w:lineRule="exact"/>
        <w:ind w:right="-96" w:rightChars="-50" w:firstLine="624" w:firstLineChars="200"/>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二、主动公开政府信息情况</w:t>
      </w:r>
    </w:p>
    <w:tbl>
      <w:tblPr>
        <w:tblStyle w:val="11"/>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黑体简体" w:cs="Times New Roman"/>
                <w:b/>
                <w:sz w:val="24"/>
                <w:szCs w:val="24"/>
              </w:rPr>
            </w:pPr>
            <w:r>
              <w:rPr>
                <w:rFonts w:hint="default" w:ascii="Times New Roman" w:hAnsi="Times New Roman" w:eastAsia="方正黑体简体" w:cs="Times New Roman"/>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规章</w:t>
            </w:r>
          </w:p>
        </w:tc>
        <w:tc>
          <w:tcPr>
            <w:tcW w:w="2133"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eastAsia="zh-CN"/>
              </w:rPr>
            </w:pPr>
            <w:r>
              <w:rPr>
                <w:rFonts w:hint="default" w:ascii="Times New Roman" w:hAnsi="Times New Roman" w:eastAsia="方正仿宋简体" w:cs="Times New Roman"/>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行政规范性文件</w:t>
            </w:r>
          </w:p>
        </w:tc>
        <w:tc>
          <w:tcPr>
            <w:tcW w:w="2133"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eastAsia="zh-CN"/>
              </w:rPr>
            </w:pPr>
            <w:r>
              <w:rPr>
                <w:rFonts w:hint="default" w:ascii="Times New Roman" w:hAnsi="Times New Roman" w:eastAsia="方正仿宋简体" w:cs="Times New Roman"/>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eastAsia="zh-CN"/>
              </w:rPr>
            </w:pPr>
            <w:r>
              <w:rPr>
                <w:rFonts w:hint="default" w:ascii="Times New Roman" w:hAnsi="Times New Roman" w:eastAsia="方正仿宋简体" w:cs="Times New Roman"/>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行政事业性收费</w:t>
            </w:r>
          </w:p>
        </w:tc>
        <w:tc>
          <w:tcPr>
            <w:tcW w:w="6338" w:type="dxa"/>
            <w:gridSpan w:val="3"/>
            <w:shd w:val="clear" w:color="auto" w:fill="FFFFFF" w:themeFill="background1"/>
            <w:tcMar>
              <w:left w:w="57" w:type="dxa"/>
              <w:right w:w="57" w:type="dxa"/>
            </w:tcMar>
            <w:vAlign w:val="center"/>
          </w:tcPr>
          <w:p>
            <w:pPr>
              <w:spacing w:line="340" w:lineRule="exact"/>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rPr>
              <w:t>0</w:t>
            </w:r>
          </w:p>
        </w:tc>
      </w:tr>
    </w:tbl>
    <w:p>
      <w:pPr>
        <w:spacing w:before="62" w:beforeLines="10" w:after="62" w:afterLines="10" w:line="600" w:lineRule="exact"/>
        <w:ind w:firstLine="624"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三、收到和处理政府信息公开申请情况</w:t>
      </w:r>
    </w:p>
    <w:tbl>
      <w:tblPr>
        <w:tblStyle w:val="11"/>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hint="default" w:ascii="Times New Roman" w:hAnsi="Times New Roman" w:eastAsia="方正黑体简体" w:cs="Times New Roman"/>
                <w:b/>
                <w:sz w:val="21"/>
                <w:szCs w:val="21"/>
              </w:rPr>
            </w:pPr>
          </w:p>
        </w:tc>
        <w:tc>
          <w:tcPr>
            <w:tcW w:w="79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hint="default" w:ascii="Times New Roman" w:hAnsi="Times New Roman" w:eastAsia="方正仿宋简体" w:cs="Times New Roman"/>
                <w:b/>
                <w:sz w:val="21"/>
                <w:szCs w:val="21"/>
              </w:rPr>
            </w:pPr>
          </w:p>
        </w:tc>
        <w:tc>
          <w:tcPr>
            <w:tcW w:w="791"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59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1</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1</w:t>
            </w:r>
          </w:p>
        </w:tc>
        <w:tc>
          <w:tcPr>
            <w:tcW w:w="59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90"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1</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eastAsia="zh-CN"/>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tcPr>
          <w:p>
            <w:pPr>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r>
    </w:tbl>
    <w:p>
      <w:pPr>
        <w:spacing w:line="590" w:lineRule="exact"/>
        <w:ind w:right="-96" w:rightChars="-50" w:firstLine="624" w:firstLineChars="200"/>
        <w:rPr>
          <w:rFonts w:hint="default" w:ascii="Times New Roman" w:hAnsi="Times New Roman" w:eastAsia="方正黑体简体" w:cs="Times New Roman"/>
          <w:b/>
          <w:sz w:val="32"/>
          <w:szCs w:val="32"/>
        </w:rPr>
      </w:pPr>
    </w:p>
    <w:p>
      <w:pPr>
        <w:spacing w:line="590" w:lineRule="exact"/>
        <w:ind w:right="-96" w:rightChars="-50" w:firstLine="624" w:firstLineChars="200"/>
        <w:rPr>
          <w:rFonts w:hint="default" w:ascii="Times New Roman" w:hAnsi="Times New Roman" w:eastAsia="方正黑体简体" w:cs="Times New Roman"/>
          <w:b/>
          <w:sz w:val="32"/>
          <w:szCs w:val="32"/>
        </w:rPr>
      </w:pPr>
    </w:p>
    <w:p>
      <w:pPr>
        <w:spacing w:line="590" w:lineRule="exact"/>
        <w:ind w:right="-96" w:rightChars="-50" w:firstLine="624"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四、政府信息公开行政复议、行政诉讼情况</w:t>
      </w:r>
    </w:p>
    <w:tbl>
      <w:tblPr>
        <w:tblStyle w:val="11"/>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lang w:bidi="ar"/>
              </w:rPr>
            </w:pPr>
            <w:r>
              <w:rPr>
                <w:rFonts w:hint="default" w:ascii="Times New Roman" w:hAnsi="Times New Roman" w:eastAsia="方正黑体简体" w:cs="Times New Roman"/>
                <w:b/>
                <w:sz w:val="21"/>
                <w:szCs w:val="21"/>
                <w:lang w:bidi="ar"/>
              </w:rPr>
              <w:t>结果</w:t>
            </w:r>
          </w:p>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其他</w:t>
            </w:r>
          </w:p>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尚未</w:t>
            </w:r>
          </w:p>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结果</w:t>
            </w:r>
          </w:p>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结果</w:t>
            </w:r>
          </w:p>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其他</w:t>
            </w:r>
          </w:p>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尚未</w:t>
            </w:r>
          </w:p>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结果</w:t>
            </w:r>
          </w:p>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结果</w:t>
            </w:r>
          </w:p>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其他</w:t>
            </w:r>
          </w:p>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尚未</w:t>
            </w:r>
          </w:p>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default" w:ascii="Times New Roman" w:hAnsi="Times New Roman" w:eastAsia="方正黑体简体" w:cs="Times New Roman"/>
                <w:b/>
                <w:sz w:val="21"/>
                <w:szCs w:val="21"/>
                <w:lang w:val="en-US" w:eastAsia="zh-CN" w:bidi="ar"/>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default" w:ascii="Times New Roman" w:hAnsi="Times New Roman" w:eastAsia="方正黑体简体" w:cs="Times New Roman"/>
                <w:b/>
                <w:sz w:val="21"/>
                <w:szCs w:val="21"/>
                <w:lang w:val="en-US" w:eastAsia="zh-CN" w:bidi="ar"/>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default" w:ascii="Times New Roman" w:hAnsi="Times New Roman" w:eastAsia="方正黑体简体" w:cs="Times New Roman"/>
                <w:b/>
                <w:sz w:val="21"/>
                <w:szCs w:val="21"/>
                <w:lang w:val="en-US" w:eastAsia="zh-CN" w:bidi="ar"/>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default" w:ascii="Times New Roman" w:hAnsi="Times New Roman" w:eastAsia="方正黑体简体" w:cs="Times New Roman"/>
                <w:b/>
                <w:sz w:val="21"/>
                <w:szCs w:val="21"/>
                <w:lang w:val="en-US" w:eastAsia="zh-CN" w:bidi="ar"/>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default" w:ascii="Times New Roman" w:hAnsi="Times New Roman"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default" w:ascii="Times New Roman" w:hAnsi="Times New Roman"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default" w:ascii="Times New Roman" w:hAnsi="Times New Roman"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default" w:ascii="Times New Roman" w:hAnsi="Times New Roman" w:eastAsia="方正黑体简体" w:cs="Times New Roman"/>
                <w:b/>
                <w:sz w:val="21"/>
                <w:szCs w:val="21"/>
                <w:lang w:val="en-US" w:eastAsia="zh-CN" w:bidi="ar"/>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38" w:leftChars="-20" w:right="-38"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default" w:ascii="Times New Roman" w:hAnsi="Times New Roman" w:eastAsia="方正黑体简体" w:cs="Times New Roman"/>
                <w:b/>
                <w:sz w:val="21"/>
                <w:szCs w:val="21"/>
                <w:lang w:val="en-US" w:eastAsia="zh-CN" w:bidi="ar"/>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38" w:leftChars="-20" w:right="-38" w:rightChars="-20"/>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rPr>
              <w:t>0</w:t>
            </w:r>
          </w:p>
        </w:tc>
      </w:tr>
    </w:tbl>
    <w:p>
      <w:pPr>
        <w:spacing w:line="590" w:lineRule="exact"/>
        <w:ind w:right="-96" w:rightChars="-50" w:firstLine="624"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五、存在的主要问题及改进情况</w:t>
      </w:r>
    </w:p>
    <w:p>
      <w:pPr>
        <w:spacing w:line="590" w:lineRule="exact"/>
        <w:ind w:right="-96" w:rightChars="-50" w:firstLine="624" w:firstLineChars="200"/>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lang w:val="en-US" w:eastAsia="zh-CN"/>
        </w:rPr>
        <w:t>济宁市国资委在政务信息公开中，虽然取得了一定的成效，但依然存在问题和不足，主要包括：一是部分政务信息内容不够详实，一定程度上存在着就公开而公开的现象，公开信息的全面性待提升；二是创新专区的模范性作用发挥不够。虽然打造了智慧平台和信息专区，但在具体工作中，离上级要求和群众公众期待还有差距，模范作用的发挥还有待加强。下一步，济宁市国资委将严格按照市政府政务公开办公室的统一安排，一是加强学习，对现行的政务公开制度和要求进行集中学习，提高机关工作人员政务公开业务水平；二是加大督促力度，明确分工，对需要进行公开的政务信息按照规定流程及时公开，确保政务信息的时效性；三是继续推进公共企事业单位的政务信息公开，通过学习培训、专家授课等方式，不断提升整体水平，更好的发挥模范作用。</w:t>
      </w:r>
    </w:p>
    <w:p>
      <w:pPr>
        <w:spacing w:line="590" w:lineRule="exact"/>
        <w:ind w:right="-96" w:rightChars="-50" w:firstLine="624"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六、其他需要报告的事项</w:t>
      </w:r>
    </w:p>
    <w:p>
      <w:pPr>
        <w:spacing w:line="590" w:lineRule="exact"/>
        <w:ind w:right="-96" w:rightChars="-50" w:firstLine="624" w:firstLineChars="200"/>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依据《政府信息公开信息处理费管理办法》，济宁市国资委无收取信息处理费的情况。制定并发布济宁市国资委2021年度政务公开工作要点，从五个方面抓细抓实政务公开各项工作，推动公共服务类企业信息公开，着力打造“阳光国企”。人大代表建议和政协提案办理结果均已按照要求公开，本年度积极报送信息通讯，济宁能源“政策到企业”信息平台和山东公用华润燃气信息公开专区，作为两项创新案例上报。无其他需要报告的事项。</w:t>
      </w:r>
      <w:bookmarkStart w:id="0" w:name="_GoBack"/>
      <w:bookmarkEnd w:id="0"/>
    </w:p>
    <w:p>
      <w:pPr>
        <w:spacing w:line="590" w:lineRule="exact"/>
        <w:ind w:right="-96" w:rightChars="-50" w:firstLine="384" w:firstLineChars="200"/>
        <w:rPr>
          <w:rFonts w:hint="default" w:ascii="Times New Roman" w:hAnsi="Times New Roman" w:cs="Times New Roman"/>
        </w:rPr>
      </w:pPr>
    </w:p>
    <w:sectPr>
      <w:footerReference r:id="rId5" w:type="first"/>
      <w:footerReference r:id="rId3" w:type="default"/>
      <w:footerReference r:id="rId4" w:type="even"/>
      <w:pgSz w:w="11906" w:h="16838"/>
      <w:pgMar w:top="1191" w:right="1588" w:bottom="1191" w:left="1588" w:header="851" w:footer="1559" w:gutter="0"/>
      <w:pgNumType w:fmt="decimal"/>
      <w:cols w:space="425" w:num="1"/>
      <w:titlePg/>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A00002BF" w:usb1="184F6CFA" w:usb2="00000012"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ordWrap w:val="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4842155"/>
    </w:sdtPr>
    <w:sdtEndPr>
      <w:rPr>
        <w:rFonts w:asciiTheme="minorEastAsia" w:hAnsiTheme="minorEastAsia"/>
        <w:b/>
        <w:sz w:val="28"/>
        <w:szCs w:val="28"/>
      </w:rPr>
    </w:sdtEndPr>
    <w:sdtContent>
      <w:p>
        <w:pPr>
          <w:pStyle w:val="6"/>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20 -</w:t>
        </w:r>
        <w:r>
          <w:rPr>
            <w:rFonts w:asciiTheme="minorEastAsia" w:hAnsiTheme="minorEastAsia"/>
            <w:b/>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xNTllM2NlMDYwYTAwOGU4MGIzMmIyNGIxNDBiM2IifQ=="/>
  </w:docVars>
  <w:rsids>
    <w:rsidRoot w:val="36567F66"/>
    <w:rsid w:val="02E161D4"/>
    <w:rsid w:val="11E22BBA"/>
    <w:rsid w:val="2C520C10"/>
    <w:rsid w:val="30E84D56"/>
    <w:rsid w:val="36567F66"/>
    <w:rsid w:val="39DE00E1"/>
    <w:rsid w:val="3CAD0FEF"/>
    <w:rsid w:val="3F4343E8"/>
    <w:rsid w:val="446E63AB"/>
    <w:rsid w:val="469577B6"/>
    <w:rsid w:val="49F509D5"/>
    <w:rsid w:val="4D174812"/>
    <w:rsid w:val="5D0C7E60"/>
    <w:rsid w:val="5E56792A"/>
    <w:rsid w:val="5FF612D7"/>
    <w:rsid w:val="61930DA7"/>
    <w:rsid w:val="6AE66BBC"/>
    <w:rsid w:val="7EE63696"/>
    <w:rsid w:val="7F8F27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paragraph" w:styleId="2">
    <w:name w:val="heading 2"/>
    <w:basedOn w:val="1"/>
    <w:next w:val="1"/>
    <w:unhideWhenUsed/>
    <w:qFormat/>
    <w:uiPriority w:val="9"/>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12">
    <w:name w:val="Default Paragraph Font"/>
    <w:semiHidden/>
    <w:qFormat/>
    <w:uiPriority w:val="0"/>
  </w:style>
  <w:style w:type="table" w:default="1" w:styleId="11">
    <w:name w:val="Normal Table"/>
    <w:semiHidden/>
    <w:uiPriority w:val="0"/>
    <w:tblPr>
      <w:tblCellMar>
        <w:top w:w="0" w:type="dxa"/>
        <w:left w:w="108" w:type="dxa"/>
        <w:bottom w:w="0" w:type="dxa"/>
        <w:right w:w="108" w:type="dxa"/>
      </w:tblCellMar>
    </w:tblPr>
  </w:style>
  <w:style w:type="paragraph" w:styleId="3">
    <w:name w:val="Body Text"/>
    <w:basedOn w:val="1"/>
    <w:next w:val="1"/>
    <w:qFormat/>
    <w:uiPriority w:val="99"/>
    <w:pPr>
      <w:jc w:val="center"/>
    </w:pPr>
    <w:rPr>
      <w:rFonts w:ascii="Times New Roman" w:hAnsi="Times New Roman"/>
      <w:b/>
      <w:bCs/>
      <w:sz w:val="44"/>
    </w:rPr>
  </w:style>
  <w:style w:type="paragraph" w:styleId="4">
    <w:name w:val="Body Text Indent"/>
    <w:basedOn w:val="1"/>
    <w:next w:val="5"/>
    <w:qFormat/>
    <w:uiPriority w:val="0"/>
    <w:pPr>
      <w:spacing w:after="120" w:afterLines="0"/>
      <w:ind w:left="420" w:leftChars="200"/>
    </w:pPr>
  </w:style>
  <w:style w:type="paragraph" w:customStyle="1" w:styleId="5">
    <w:name w:val="样式 正文文本缩进 + 行距: 1.5 倍行距"/>
    <w:basedOn w:val="4"/>
    <w:qFormat/>
    <w:uiPriority w:val="0"/>
    <w:pPr>
      <w:ind w:left="90" w:leftChars="32" w:firstLine="560" w:firstLineChars="200"/>
    </w:pPr>
    <w:rPr>
      <w:rFonts w:cs="宋体"/>
    </w:rPr>
  </w:style>
  <w:style w:type="paragraph" w:styleId="6">
    <w:name w:val="footer"/>
    <w:basedOn w:val="1"/>
    <w:qFormat/>
    <w:uiPriority w:val="99"/>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widowControl/>
      <w:spacing w:before="100" w:beforeAutospacing="1" w:after="100" w:afterAutospacing="1"/>
      <w:jc w:val="left"/>
    </w:pPr>
    <w:rPr>
      <w:rFonts w:ascii="宋体" w:hAnsi="宋体" w:cs="宋体"/>
      <w:sz w:val="24"/>
      <w:szCs w:val="24"/>
    </w:rPr>
  </w:style>
  <w:style w:type="paragraph" w:styleId="9">
    <w:name w:val="Body Text First Indent"/>
    <w:basedOn w:val="3"/>
    <w:next w:val="10"/>
    <w:qFormat/>
    <w:uiPriority w:val="99"/>
    <w:pPr>
      <w:ind w:firstLine="420" w:firstLineChars="100"/>
    </w:pPr>
  </w:style>
  <w:style w:type="paragraph" w:styleId="10">
    <w:name w:val="Body Text First Indent 2"/>
    <w:basedOn w:val="4"/>
    <w:next w:val="9"/>
    <w:semiHidden/>
    <w:qFormat/>
    <w:uiPriority w:val="0"/>
    <w:pPr>
      <w:ind w:firstLine="420" w:firstLineChars="200"/>
    </w:pPr>
  </w:style>
  <w:style w:type="character" w:styleId="13">
    <w:name w:val="Strong"/>
    <w:basedOn w:val="12"/>
    <w:qFormat/>
    <w:uiPriority w:val="0"/>
    <w:rPr>
      <w:b/>
      <w:bCs/>
    </w:rPr>
  </w:style>
  <w:style w:type="character" w:styleId="14">
    <w:name w:val="FollowedHyperlink"/>
    <w:basedOn w:val="12"/>
    <w:uiPriority w:val="0"/>
    <w:rPr>
      <w:color w:val="800080"/>
      <w:u w:val="single"/>
    </w:rPr>
  </w:style>
  <w:style w:type="character" w:styleId="15">
    <w:name w:val="Emphasis"/>
    <w:basedOn w:val="12"/>
    <w:qFormat/>
    <w:uiPriority w:val="0"/>
    <w:rPr>
      <w:i/>
    </w:rPr>
  </w:style>
  <w:style w:type="character" w:styleId="16">
    <w:name w:val="Hyperlink"/>
    <w:basedOn w:val="12"/>
    <w:uiPriority w:val="0"/>
    <w:rPr>
      <w:color w:val="0000FF"/>
      <w:u w:val="single"/>
    </w:rPr>
  </w:style>
  <w:style w:type="paragraph" w:customStyle="1" w:styleId="17">
    <w:name w:val="_Style 14"/>
    <w:basedOn w:val="1"/>
    <w:next w:val="1"/>
    <w:uiPriority w:val="0"/>
    <w:pPr>
      <w:pBdr>
        <w:bottom w:val="single" w:color="auto" w:sz="6" w:space="1"/>
      </w:pBdr>
      <w:jc w:val="center"/>
    </w:pPr>
    <w:rPr>
      <w:rFonts w:ascii="Arial" w:eastAsia="宋体"/>
      <w:vanish/>
      <w:sz w:val="16"/>
    </w:rPr>
  </w:style>
  <w:style w:type="paragraph" w:customStyle="1" w:styleId="18">
    <w:name w:val="_Style 15"/>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2860</Words>
  <Characters>3017</Characters>
  <Lines>0</Lines>
  <Paragraphs>0</Paragraphs>
  <TotalTime>9</TotalTime>
  <ScaleCrop>false</ScaleCrop>
  <LinksUpToDate>false</LinksUpToDate>
  <CharactersWithSpaces>3173</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2022-01-12T00:38:00Z</dcterms:created>
  <dc:creator>Administrator</dc:creator>
  <cp:lastModifiedBy>Administrator</cp:lastModifiedBy>
  <cp:lastPrinted>2022-01-17T07:37:00Z</cp:lastPrinted>
  <dcterms:modified xsi:type="dcterms:W3CDTF">2022-07-19T01:07:53Z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DEC425F045C947E8844BE9A9F188ADE4</vt:lpwstr>
  </property>
</Properties>
</file>