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ind w:right="-96" w:rightChars="-50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96" w:rightChars="-50"/>
        <w:jc w:val="center"/>
        <w:rPr>
          <w:rFonts w:hint="default" w:ascii="Times New Roman" w:hAnsi="Times New Roman" w:eastAsia="方正小标宋简体" w:cs="Times New Roman"/>
          <w:b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b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济宁市国有资产监督管理委员会</w:t>
      </w:r>
    </w:p>
    <w:p>
      <w:pPr>
        <w:spacing w:line="590" w:lineRule="exact"/>
        <w:ind w:right="-96" w:rightChars="-50"/>
        <w:jc w:val="center"/>
        <w:rPr>
          <w:rFonts w:hint="default" w:ascii="Times New Roman" w:hAnsi="Times New Roman" w:eastAsia="方正小标宋简体" w:cs="Times New Roman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202</w:t>
      </w:r>
      <w:r>
        <w:rPr>
          <w:rFonts w:hint="default" w:ascii="Times New Roman" w:hAnsi="Times New Roman" w:eastAsia="方正小标宋简体" w:cs="Times New Roman"/>
          <w:b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方正小标宋简体" w:cs="Times New Roman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年政府信息公开工作年度报告</w:t>
      </w:r>
    </w:p>
    <w:p>
      <w:pPr>
        <w:spacing w:line="590" w:lineRule="exact"/>
        <w:ind w:right="-96" w:rightChars="-50" w:firstLine="624" w:firstLineChars="200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96" w:rightChars="-50" w:firstLine="624" w:firstLineChars="200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本报告由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济宁市国有资产监督管理委员会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按照《中华人民共和国政府信息公开条例》（以下简称《条例》）和《中华人民共和国政府信息公开工作年度报告格式》（国办公开办函〔2021〕30号）要求编制。</w:t>
      </w:r>
    </w:p>
    <w:p>
      <w:pPr>
        <w:spacing w:line="590" w:lineRule="exact"/>
        <w:ind w:right="-96" w:rightChars="-50" w:firstLine="624" w:firstLineChars="200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0" w:lineRule="exact"/>
        <w:ind w:right="0" w:rightChars="0" w:firstLine="624" w:firstLineChars="200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本报告所列数据的统计期限自202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年1月1日起至202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年12月31日止。本报告电子版可在“中国·济宁”政府门户网站（http://www.jining.gov.cn/col/col61570/index.html）查阅或下载。如对本报告有疑问，请与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济宁市国有资产监督管理委员会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联系（地址：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山东省第23届运动会综合指挥中心A1230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，联系电话：0537-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2606126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）。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right="0" w:rightChars="0" w:firstLine="604" w:firstLineChars="200"/>
        <w:textAlignment w:val="auto"/>
        <w:rPr>
          <w:rFonts w:hint="default" w:ascii="Times New Roman" w:hAnsi="Times New Roman" w:cs="Times New Roman"/>
        </w:rPr>
      </w:pPr>
      <w:r>
        <w:rPr>
          <w:rStyle w:val="13"/>
          <w:rFonts w:hint="default" w:ascii="Times New Roman" w:hAnsi="Times New Roman" w:eastAsia="方正黑体简体" w:cs="Times New Roman"/>
          <w:color w:val="000000"/>
          <w:sz w:val="31"/>
          <w:szCs w:val="31"/>
        </w:rPr>
        <w:t>一、总体情况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right="0" w:rightChars="0" w:firstLine="604" w:firstLineChars="200"/>
        <w:textAlignment w:val="auto"/>
        <w:rPr>
          <w:rFonts w:hint="default" w:ascii="Times New Roman" w:hAnsi="Times New Roman" w:cs="Times New Roman"/>
        </w:rPr>
      </w:pPr>
      <w:r>
        <w:rPr>
          <w:rStyle w:val="13"/>
          <w:rFonts w:hint="default" w:ascii="Times New Roman" w:hAnsi="Times New Roman" w:cs="Times New Roman"/>
          <w:color w:val="000000"/>
          <w:sz w:val="31"/>
          <w:szCs w:val="31"/>
        </w:rPr>
        <w:t>2</w:t>
      </w:r>
      <w:r>
        <w:rPr>
          <w:rStyle w:val="13"/>
          <w:rFonts w:hint="default" w:ascii="Times New Roman" w:hAnsi="Times New Roman" w:cs="Times New Roman"/>
          <w:color w:val="000000"/>
          <w:sz w:val="31"/>
          <w:szCs w:val="31"/>
          <w:lang w:val="en-US" w:eastAsia="zh-CN"/>
        </w:rPr>
        <w:t>022</w:t>
      </w:r>
      <w:r>
        <w:rPr>
          <w:rStyle w:val="13"/>
          <w:rFonts w:hint="default" w:ascii="Times New Roman" w:hAnsi="Times New Roman" w:eastAsia="方正仿宋简体" w:cs="Times New Roman"/>
          <w:color w:val="000000"/>
          <w:sz w:val="31"/>
          <w:szCs w:val="31"/>
        </w:rPr>
        <w:t>年，济宁市国资委</w:t>
      </w:r>
      <w:r>
        <w:rPr>
          <w:rStyle w:val="13"/>
          <w:rFonts w:hint="default" w:ascii="Times New Roman" w:hAnsi="Times New Roman" w:eastAsia="方正仿宋简体" w:cs="Times New Roman"/>
          <w:color w:val="000000"/>
          <w:sz w:val="31"/>
          <w:szCs w:val="31"/>
          <w:lang w:val="en-US" w:eastAsia="zh-CN"/>
        </w:rPr>
        <w:t>始终将政务公开工作放在重要位置，深入贯彻落实市委、市政府决策部署要求，在市政府政务公开办公室的悉心指导下，围绕做强做优做大国有资本和国有企业的目标任务，立足本职工作，服务中心大局，推进国资政务公开标准化、规范化、精细化建设。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right="0" w:rightChars="0" w:firstLine="604" w:firstLineChars="200"/>
        <w:textAlignment w:val="auto"/>
        <w:rPr>
          <w:rFonts w:hint="eastAsia" w:ascii="Times New Roman" w:hAnsi="Times New Roman" w:eastAsia="方正楷体简体" w:cs="Times New Roman"/>
          <w:lang w:eastAsia="zh-CN"/>
        </w:rPr>
      </w:pPr>
      <w:r>
        <w:rPr>
          <w:rStyle w:val="13"/>
          <w:rFonts w:hint="default" w:ascii="Times New Roman" w:hAnsi="Times New Roman" w:eastAsia="方正楷体简体" w:cs="Times New Roman"/>
          <w:color w:val="000000"/>
          <w:sz w:val="31"/>
          <w:szCs w:val="31"/>
        </w:rPr>
        <w:t>（一）</w:t>
      </w:r>
      <w:r>
        <w:rPr>
          <w:rStyle w:val="13"/>
          <w:rFonts w:hint="eastAsia" w:ascii="Times New Roman" w:hAnsi="Times New Roman" w:eastAsia="方正楷体简体" w:cs="Times New Roman"/>
          <w:color w:val="000000"/>
          <w:sz w:val="31"/>
          <w:szCs w:val="31"/>
          <w:lang w:val="en-US" w:eastAsia="zh-CN"/>
        </w:rPr>
        <w:t>扎实推进</w:t>
      </w:r>
      <w:r>
        <w:rPr>
          <w:rStyle w:val="13"/>
          <w:rFonts w:hint="default" w:ascii="Times New Roman" w:hAnsi="Times New Roman" w:eastAsia="方正楷体简体" w:cs="Times New Roman"/>
          <w:color w:val="000000"/>
          <w:sz w:val="31"/>
          <w:szCs w:val="31"/>
        </w:rPr>
        <w:t>主动公开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right="0" w:rightChars="0" w:firstLine="604" w:firstLineChars="200"/>
        <w:textAlignment w:val="auto"/>
        <w:rPr>
          <w:rFonts w:hint="default" w:ascii="Times New Roman" w:hAnsi="Times New Roman" w:cs="Times New Roman"/>
        </w:rPr>
      </w:pPr>
      <w:r>
        <w:rPr>
          <w:rStyle w:val="13"/>
          <w:rFonts w:hint="default" w:ascii="Times New Roman" w:hAnsi="Times New Roman" w:eastAsia="方正仿宋简体" w:cs="Times New Roman"/>
          <w:color w:val="000000"/>
          <w:sz w:val="31"/>
          <w:szCs w:val="31"/>
        </w:rPr>
        <w:t>济宁市国资委对政务公开工作进行专题研究部署，由委政务公开领导小组办公室牵头，业务科室</w:t>
      </w:r>
      <w:r>
        <w:rPr>
          <w:rStyle w:val="13"/>
          <w:rFonts w:hint="default" w:ascii="Times New Roman" w:hAnsi="Times New Roman" w:eastAsia="方正仿宋简体" w:cs="Times New Roman"/>
          <w:color w:val="000000"/>
          <w:sz w:val="31"/>
          <w:szCs w:val="31"/>
          <w:lang w:val="en-US" w:eastAsia="zh-CN"/>
        </w:rPr>
        <w:t>协调组织</w:t>
      </w:r>
      <w:r>
        <w:rPr>
          <w:rStyle w:val="13"/>
          <w:rFonts w:hint="default" w:ascii="Times New Roman" w:hAnsi="Times New Roman" w:eastAsia="方正仿宋简体" w:cs="Times New Roman"/>
          <w:color w:val="000000"/>
          <w:sz w:val="31"/>
          <w:szCs w:val="31"/>
        </w:rPr>
        <w:t>实施，</w:t>
      </w:r>
      <w:r>
        <w:rPr>
          <w:rStyle w:val="13"/>
          <w:rFonts w:hint="default" w:ascii="Times New Roman" w:hAnsi="Times New Roman" w:cs="Times New Roman"/>
          <w:color w:val="000000"/>
          <w:sz w:val="31"/>
          <w:szCs w:val="31"/>
        </w:rPr>
        <w:t>202</w:t>
      </w:r>
      <w:r>
        <w:rPr>
          <w:rStyle w:val="13"/>
          <w:rFonts w:hint="default" w:ascii="Times New Roman" w:hAnsi="Times New Roman" w:cs="Times New Roman"/>
          <w:color w:val="000000"/>
          <w:sz w:val="31"/>
          <w:szCs w:val="31"/>
          <w:lang w:val="en-US" w:eastAsia="zh-CN"/>
        </w:rPr>
        <w:t>2</w:t>
      </w:r>
      <w:r>
        <w:rPr>
          <w:rStyle w:val="13"/>
          <w:rFonts w:hint="default" w:ascii="Times New Roman" w:hAnsi="Times New Roman" w:eastAsia="方正仿宋简体" w:cs="Times New Roman"/>
          <w:color w:val="000000"/>
          <w:sz w:val="31"/>
          <w:szCs w:val="31"/>
        </w:rPr>
        <w:t>年，共出台文件</w:t>
      </w:r>
      <w:r>
        <w:rPr>
          <w:rStyle w:val="13"/>
          <w:rFonts w:hint="default" w:ascii="Times New Roman" w:hAnsi="Times New Roman" w:eastAsia="方正仿宋简体" w:cs="Times New Roman"/>
          <w:color w:val="000000"/>
          <w:sz w:val="31"/>
          <w:szCs w:val="31"/>
          <w:lang w:val="en-US" w:eastAsia="zh-CN"/>
        </w:rPr>
        <w:t>116</w:t>
      </w:r>
      <w:r>
        <w:rPr>
          <w:rStyle w:val="13"/>
          <w:rFonts w:hint="default" w:ascii="Times New Roman" w:hAnsi="Times New Roman" w:eastAsia="方正仿宋简体" w:cs="Times New Roman"/>
          <w:color w:val="000000"/>
          <w:sz w:val="31"/>
          <w:szCs w:val="31"/>
        </w:rPr>
        <w:t>件，</w:t>
      </w:r>
      <w:r>
        <w:rPr>
          <w:rStyle w:val="13"/>
          <w:rFonts w:hint="default" w:ascii="Times New Roman" w:hAnsi="Times New Roman" w:eastAsia="方正仿宋简体" w:cs="Times New Roman"/>
          <w:color w:val="000000"/>
          <w:sz w:val="31"/>
          <w:szCs w:val="31"/>
          <w:lang w:val="en-US" w:eastAsia="zh-CN"/>
        </w:rPr>
        <w:t>主动公开4件、依申请公开7件、不予公开105件，网上公开了4件，配发解读材料4件。2022年共召开12次部门办公会议，共公开了12次部门办公会议。</w:t>
      </w:r>
      <w:r>
        <w:rPr>
          <w:rFonts w:hint="eastAsia" w:ascii="Times New Roman" w:hAnsi="Times New Roman" w:eastAsia="方正仿宋简体" w:cs="方正仿宋简体"/>
          <w:b/>
          <w:bCs/>
          <w:color w:val="000000"/>
          <w:sz w:val="32"/>
          <w:szCs w:val="32"/>
          <w:lang w:val="en-US" w:eastAsia="zh-CN"/>
        </w:rPr>
        <w:t>截至2022年12月底，</w:t>
      </w:r>
      <w:r>
        <w:rPr>
          <w:rFonts w:hint="eastAsia" w:ascii="Times New Roman" w:hAnsi="Times New Roman" w:eastAsia="方正仿宋简体" w:cs="方正仿宋简体"/>
          <w:b/>
          <w:bCs/>
          <w:color w:val="000000"/>
          <w:sz w:val="32"/>
          <w:szCs w:val="32"/>
        </w:rPr>
        <w:t>通过市12345政务服务便民热线、</w:t>
      </w:r>
      <w:r>
        <w:rPr>
          <w:rFonts w:hint="eastAsia" w:ascii="Times New Roman" w:hAnsi="Times New Roman" w:eastAsia="方正仿宋简体" w:cs="方正仿宋简体"/>
          <w:b/>
          <w:bCs/>
          <w:color w:val="000000"/>
          <w:sz w:val="32"/>
          <w:szCs w:val="32"/>
          <w:lang w:val="en-US" w:eastAsia="zh-CN"/>
        </w:rPr>
        <w:t>网络问政平台</w:t>
      </w:r>
      <w:r>
        <w:rPr>
          <w:rFonts w:hint="eastAsia" w:ascii="Times New Roman" w:hAnsi="Times New Roman" w:eastAsia="方正仿宋简体" w:cs="方正仿宋简体"/>
          <w:b/>
          <w:bCs/>
          <w:color w:val="000000"/>
          <w:sz w:val="32"/>
          <w:szCs w:val="32"/>
        </w:rPr>
        <w:t>、企业“接诉即办”等渠道共受理群众诉求事项</w:t>
      </w:r>
      <w:r>
        <w:rPr>
          <w:rFonts w:hint="eastAsia" w:ascii="Times New Roman" w:hAnsi="Times New Roman" w:eastAsia="方正仿宋简体" w:cs="方正仿宋简体"/>
          <w:b/>
          <w:bCs/>
          <w:color w:val="000000"/>
          <w:sz w:val="32"/>
          <w:szCs w:val="32"/>
          <w:lang w:val="en-US" w:eastAsia="zh-CN"/>
        </w:rPr>
        <w:t>438</w:t>
      </w:r>
      <w:r>
        <w:rPr>
          <w:rFonts w:hint="eastAsia" w:ascii="Times New Roman" w:hAnsi="Times New Roman" w:eastAsia="方正仿宋简体" w:cs="方正仿宋简体"/>
          <w:b/>
          <w:bCs/>
          <w:color w:val="000000"/>
          <w:sz w:val="32"/>
          <w:szCs w:val="32"/>
        </w:rPr>
        <w:t>件</w:t>
      </w:r>
      <w:r>
        <w:rPr>
          <w:rFonts w:hint="eastAsia" w:ascii="Times New Roman" w:hAnsi="Times New Roman" w:eastAsia="方正仿宋简体" w:cs="方正仿宋简体"/>
          <w:b/>
          <w:bCs/>
          <w:color w:val="00000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简体" w:cs="方正仿宋简体"/>
          <w:b/>
          <w:bCs/>
          <w:color w:val="000000"/>
          <w:sz w:val="32"/>
          <w:szCs w:val="32"/>
        </w:rPr>
        <w:t>全部办结</w:t>
      </w:r>
      <w:r>
        <w:rPr>
          <w:rFonts w:hint="eastAsia" w:ascii="Times New Roman" w:hAnsi="Times New Roman" w:eastAsia="方正仿宋简体" w:cs="方正仿宋简体"/>
          <w:b/>
          <w:bCs/>
          <w:color w:val="000000"/>
          <w:sz w:val="32"/>
          <w:szCs w:val="32"/>
          <w:lang w:eastAsia="zh-CN"/>
        </w:rPr>
        <w:t>。</w:t>
      </w:r>
      <w:r>
        <w:rPr>
          <w:rStyle w:val="13"/>
          <w:rFonts w:hint="default" w:ascii="Times New Roman" w:hAnsi="Times New Roman" w:eastAsia="方正仿宋简体" w:cs="Times New Roman"/>
          <w:color w:val="000000"/>
          <w:sz w:val="31"/>
          <w:szCs w:val="31"/>
        </w:rPr>
        <w:t>按照公开要求和财政部门要求，对国资委年度部门预算、决算、</w:t>
      </w:r>
      <w:r>
        <w:rPr>
          <w:rStyle w:val="13"/>
          <w:rFonts w:hint="default" w:ascii="Times New Roman" w:hAnsi="Times New Roman" w:cs="Times New Roman"/>
          <w:color w:val="000000"/>
          <w:sz w:val="31"/>
          <w:szCs w:val="31"/>
        </w:rPr>
        <w:t>“</w:t>
      </w:r>
      <w:r>
        <w:rPr>
          <w:rStyle w:val="13"/>
          <w:rFonts w:hint="default" w:ascii="Times New Roman" w:hAnsi="Times New Roman" w:eastAsia="方正仿宋简体" w:cs="Times New Roman"/>
          <w:color w:val="000000"/>
          <w:sz w:val="31"/>
          <w:szCs w:val="31"/>
        </w:rPr>
        <w:t>三公</w:t>
      </w:r>
      <w:r>
        <w:rPr>
          <w:rStyle w:val="13"/>
          <w:rFonts w:hint="default" w:ascii="Times New Roman" w:hAnsi="Times New Roman" w:cs="Times New Roman"/>
          <w:color w:val="000000"/>
          <w:sz w:val="31"/>
          <w:szCs w:val="31"/>
        </w:rPr>
        <w:t>”</w:t>
      </w:r>
      <w:r>
        <w:rPr>
          <w:rStyle w:val="13"/>
          <w:rFonts w:hint="default" w:ascii="Times New Roman" w:hAnsi="Times New Roman" w:eastAsia="方正仿宋简体" w:cs="Times New Roman"/>
          <w:color w:val="000000"/>
          <w:sz w:val="31"/>
          <w:szCs w:val="31"/>
        </w:rPr>
        <w:t>经费财政拨款情况、政府采购信息、公共资源配置交易信息、预算绩效等重要事项进行公开</w:t>
      </w:r>
      <w:r>
        <w:rPr>
          <w:rStyle w:val="13"/>
          <w:rFonts w:hint="default" w:ascii="Times New Roman" w:hAnsi="Times New Roman" w:eastAsia="方正仿宋简体" w:cs="Times New Roman"/>
          <w:color w:val="000000"/>
          <w:sz w:val="31"/>
          <w:szCs w:val="31"/>
          <w:lang w:eastAsia="zh-CN"/>
        </w:rPr>
        <w:t>，</w:t>
      </w:r>
      <w:r>
        <w:rPr>
          <w:rStyle w:val="13"/>
          <w:rFonts w:hint="default" w:ascii="Times New Roman" w:hAnsi="Times New Roman" w:eastAsia="方正仿宋简体" w:cs="Times New Roman"/>
          <w:color w:val="000000"/>
          <w:sz w:val="31"/>
          <w:szCs w:val="31"/>
        </w:rPr>
        <w:t>公开了</w:t>
      </w:r>
      <w:r>
        <w:rPr>
          <w:rStyle w:val="13"/>
          <w:rFonts w:hint="default" w:ascii="Times New Roman" w:hAnsi="Times New Roman" w:cs="Times New Roman"/>
          <w:color w:val="000000"/>
          <w:sz w:val="31"/>
          <w:szCs w:val="31"/>
        </w:rPr>
        <w:t>202</w:t>
      </w:r>
      <w:r>
        <w:rPr>
          <w:rStyle w:val="13"/>
          <w:rFonts w:hint="default" w:ascii="Times New Roman" w:hAnsi="Times New Roman" w:cs="Times New Roman"/>
          <w:color w:val="000000"/>
          <w:sz w:val="31"/>
          <w:szCs w:val="31"/>
          <w:lang w:val="en-US" w:eastAsia="zh-CN"/>
        </w:rPr>
        <w:t>1</w:t>
      </w:r>
      <w:r>
        <w:rPr>
          <w:rStyle w:val="13"/>
          <w:rFonts w:hint="default" w:ascii="Times New Roman" w:hAnsi="Times New Roman" w:eastAsia="方正仿宋简体" w:cs="Times New Roman"/>
          <w:color w:val="000000"/>
          <w:sz w:val="31"/>
          <w:szCs w:val="31"/>
        </w:rPr>
        <w:t>年度市管企业经营业绩考核及薪酬核定结果</w:t>
      </w:r>
      <w:r>
        <w:rPr>
          <w:rStyle w:val="13"/>
          <w:rFonts w:hint="default" w:ascii="Times New Roman" w:hAnsi="Times New Roman" w:eastAsia="方正仿宋简体" w:cs="Times New Roman"/>
          <w:color w:val="000000"/>
          <w:sz w:val="31"/>
          <w:szCs w:val="31"/>
          <w:lang w:eastAsia="zh-CN"/>
        </w:rPr>
        <w:t>，</w:t>
      </w:r>
      <w:r>
        <w:rPr>
          <w:rStyle w:val="13"/>
          <w:rFonts w:hint="default" w:ascii="Times New Roman" w:hAnsi="Times New Roman" w:eastAsia="方正仿宋简体" w:cs="Times New Roman"/>
          <w:color w:val="000000"/>
          <w:sz w:val="31"/>
          <w:szCs w:val="31"/>
        </w:rPr>
        <w:t>每月公开市管企业经营指标情况，</w:t>
      </w:r>
      <w:r>
        <w:rPr>
          <w:rStyle w:val="13"/>
          <w:rFonts w:hint="default" w:ascii="Times New Roman" w:hAnsi="Times New Roman" w:eastAsia="方正仿宋简体" w:cs="Times New Roman"/>
          <w:color w:val="000000"/>
          <w:sz w:val="31"/>
          <w:szCs w:val="31"/>
          <w:lang w:val="en-US" w:eastAsia="zh-CN"/>
        </w:rPr>
        <w:t>重点反映</w:t>
      </w:r>
      <w:r>
        <w:rPr>
          <w:rStyle w:val="13"/>
          <w:rFonts w:hint="default" w:ascii="Times New Roman" w:hAnsi="Times New Roman" w:eastAsia="方正仿宋简体" w:cs="Times New Roman"/>
          <w:color w:val="000000"/>
          <w:sz w:val="31"/>
          <w:szCs w:val="31"/>
        </w:rPr>
        <w:t>市管企业</w:t>
      </w:r>
      <w:r>
        <w:rPr>
          <w:rStyle w:val="13"/>
          <w:rFonts w:hint="eastAsia" w:ascii="Times New Roman" w:hAnsi="Times New Roman" w:eastAsia="方正仿宋简体" w:cs="Times New Roman"/>
          <w:color w:val="000000"/>
          <w:sz w:val="31"/>
          <w:szCs w:val="31"/>
          <w:lang w:val="en-US" w:eastAsia="zh-CN"/>
        </w:rPr>
        <w:t>整体</w:t>
      </w:r>
      <w:r>
        <w:rPr>
          <w:rStyle w:val="13"/>
          <w:rFonts w:hint="default" w:ascii="Times New Roman" w:hAnsi="Times New Roman" w:eastAsia="方正仿宋简体" w:cs="Times New Roman"/>
          <w:color w:val="000000"/>
          <w:sz w:val="31"/>
          <w:szCs w:val="31"/>
        </w:rPr>
        <w:t>经营</w:t>
      </w:r>
      <w:r>
        <w:rPr>
          <w:rStyle w:val="13"/>
          <w:rFonts w:hint="eastAsia" w:ascii="Times New Roman" w:hAnsi="Times New Roman" w:eastAsia="方正仿宋简体" w:cs="Times New Roman"/>
          <w:color w:val="000000"/>
          <w:sz w:val="31"/>
          <w:szCs w:val="31"/>
          <w:lang w:val="en-US" w:eastAsia="zh-CN"/>
        </w:rPr>
        <w:t>运行状况</w:t>
      </w:r>
      <w:r>
        <w:rPr>
          <w:rStyle w:val="13"/>
          <w:rFonts w:hint="default" w:ascii="Times New Roman" w:hAnsi="Times New Roman" w:eastAsia="方正仿宋简体" w:cs="Times New Roman"/>
          <w:color w:val="000000"/>
          <w:sz w:val="31"/>
          <w:szCs w:val="31"/>
          <w:lang w:eastAsia="zh-CN"/>
        </w:rPr>
        <w:t>，</w:t>
      </w:r>
      <w:r>
        <w:rPr>
          <w:rStyle w:val="13"/>
          <w:rFonts w:hint="default" w:ascii="Times New Roman" w:hAnsi="Times New Roman" w:eastAsia="方正仿宋简体" w:cs="Times New Roman"/>
          <w:color w:val="000000"/>
          <w:sz w:val="31"/>
          <w:szCs w:val="31"/>
          <w:lang w:val="en-US" w:eastAsia="zh-CN"/>
        </w:rPr>
        <w:t>每月编发国资监管信息，详细反映国资国企改革发展成效。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right="0" w:rightChars="0" w:firstLine="604" w:firstLineChars="200"/>
        <w:textAlignment w:val="auto"/>
        <w:rPr>
          <w:rStyle w:val="13"/>
          <w:rFonts w:hint="default" w:ascii="Times New Roman" w:hAnsi="Times New Roman" w:eastAsia="方正楷体简体" w:cs="Times New Roman"/>
          <w:color w:val="000000"/>
          <w:sz w:val="31"/>
          <w:szCs w:val="31"/>
        </w:rPr>
      </w:pPr>
      <w:r>
        <w:rPr>
          <w:rStyle w:val="13"/>
          <w:rFonts w:hint="default" w:ascii="Times New Roman" w:hAnsi="Times New Roman" w:eastAsia="方正楷体简体" w:cs="Times New Roman"/>
          <w:color w:val="000000"/>
          <w:sz w:val="31"/>
          <w:szCs w:val="31"/>
        </w:rPr>
        <w:t>（二）</w:t>
      </w:r>
      <w:r>
        <w:rPr>
          <w:rStyle w:val="13"/>
          <w:rFonts w:hint="eastAsia" w:ascii="Times New Roman" w:hAnsi="Times New Roman" w:eastAsia="方正楷体简体" w:cs="Times New Roman"/>
          <w:color w:val="000000"/>
          <w:sz w:val="31"/>
          <w:szCs w:val="31"/>
          <w:lang w:val="en-US" w:eastAsia="zh-CN"/>
        </w:rPr>
        <w:t>规范落实</w:t>
      </w:r>
      <w:r>
        <w:rPr>
          <w:rStyle w:val="13"/>
          <w:rFonts w:hint="default" w:ascii="Times New Roman" w:hAnsi="Times New Roman" w:eastAsia="方正楷体简体" w:cs="Times New Roman"/>
          <w:color w:val="000000"/>
          <w:sz w:val="31"/>
          <w:szCs w:val="31"/>
        </w:rPr>
        <w:t>依申请公开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right="0" w:rightChars="0" w:firstLine="604" w:firstLineChars="200"/>
        <w:textAlignment w:val="auto"/>
        <w:rPr>
          <w:rFonts w:hint="default" w:ascii="Times New Roman" w:hAnsi="Times New Roman" w:cs="Times New Roman"/>
        </w:rPr>
      </w:pPr>
      <w:r>
        <w:rPr>
          <w:rStyle w:val="13"/>
          <w:rFonts w:hint="default" w:ascii="Times New Roman" w:hAnsi="Times New Roman" w:cs="Times New Roman"/>
          <w:color w:val="000000"/>
          <w:sz w:val="31"/>
          <w:szCs w:val="31"/>
        </w:rPr>
        <w:t>202</w:t>
      </w:r>
      <w:r>
        <w:rPr>
          <w:rStyle w:val="13"/>
          <w:rFonts w:hint="eastAsia" w:ascii="Times New Roman" w:hAnsi="Times New Roman" w:cs="Times New Roman"/>
          <w:color w:val="000000"/>
          <w:sz w:val="31"/>
          <w:szCs w:val="31"/>
          <w:lang w:val="en-US" w:eastAsia="zh-CN"/>
        </w:rPr>
        <w:t>2</w:t>
      </w:r>
      <w:r>
        <w:rPr>
          <w:rStyle w:val="13"/>
          <w:rFonts w:hint="default" w:ascii="Times New Roman" w:hAnsi="Times New Roman" w:eastAsia="方正仿宋简体" w:cs="Times New Roman"/>
          <w:color w:val="000000"/>
          <w:sz w:val="31"/>
          <w:szCs w:val="31"/>
        </w:rPr>
        <w:t>年，共收到依申请公开</w:t>
      </w:r>
      <w:r>
        <w:rPr>
          <w:rStyle w:val="13"/>
          <w:rFonts w:hint="eastAsia" w:ascii="Times New Roman" w:hAnsi="Times New Roman" w:eastAsia="方正仿宋简体" w:cs="Times New Roman"/>
          <w:color w:val="000000"/>
          <w:sz w:val="31"/>
          <w:szCs w:val="31"/>
          <w:lang w:val="en-US" w:eastAsia="zh-CN"/>
        </w:rPr>
        <w:t>2</w:t>
      </w:r>
      <w:r>
        <w:rPr>
          <w:rStyle w:val="13"/>
          <w:rFonts w:hint="default" w:ascii="Times New Roman" w:hAnsi="Times New Roman" w:eastAsia="方正仿宋简体" w:cs="Times New Roman"/>
          <w:color w:val="000000"/>
          <w:sz w:val="31"/>
          <w:szCs w:val="31"/>
        </w:rPr>
        <w:t>件，办理完毕</w:t>
      </w:r>
      <w:r>
        <w:rPr>
          <w:rStyle w:val="13"/>
          <w:rFonts w:hint="eastAsia" w:ascii="Times New Roman" w:hAnsi="Times New Roman" w:eastAsia="方正仿宋简体" w:cs="Times New Roman"/>
          <w:color w:val="000000"/>
          <w:sz w:val="31"/>
          <w:szCs w:val="31"/>
          <w:lang w:val="en-US" w:eastAsia="zh-CN"/>
        </w:rPr>
        <w:t>2</w:t>
      </w:r>
      <w:r>
        <w:rPr>
          <w:rStyle w:val="13"/>
          <w:rFonts w:hint="default" w:ascii="Times New Roman" w:hAnsi="Times New Roman" w:eastAsia="方正仿宋简体" w:cs="Times New Roman"/>
          <w:color w:val="000000"/>
          <w:sz w:val="31"/>
          <w:szCs w:val="31"/>
        </w:rPr>
        <w:t>件。</w:t>
      </w:r>
      <w:r>
        <w:rPr>
          <w:rStyle w:val="13"/>
          <w:rFonts w:hint="eastAsia" w:ascii="Times New Roman" w:hAnsi="Times New Roman" w:eastAsia="方正仿宋简体" w:cs="Times New Roman"/>
          <w:color w:val="000000"/>
          <w:sz w:val="31"/>
          <w:szCs w:val="31"/>
          <w:lang w:val="en-US" w:eastAsia="zh-CN"/>
        </w:rPr>
        <w:t>分别为对2021年我市国有企业整体运行情况和一部门公文</w:t>
      </w:r>
      <w:r>
        <w:rPr>
          <w:rStyle w:val="13"/>
          <w:rFonts w:hint="default" w:ascii="Times New Roman" w:hAnsi="Times New Roman" w:eastAsia="方正仿宋简体" w:cs="Times New Roman"/>
          <w:color w:val="000000"/>
          <w:sz w:val="31"/>
          <w:szCs w:val="31"/>
        </w:rPr>
        <w:t>提出申请，已在规定时间节点办理完毕。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right="0" w:rightChars="0" w:firstLine="464" w:firstLineChars="200"/>
        <w:textAlignment w:val="auto"/>
        <w:rPr>
          <w:rFonts w:hint="default" w:ascii="Times New Roman" w:hAnsi="Times New Roman" w:cs="Times New Roma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578485</wp:posOffset>
            </wp:positionH>
            <wp:positionV relativeFrom="paragraph">
              <wp:posOffset>60960</wp:posOffset>
            </wp:positionV>
            <wp:extent cx="4267200" cy="3312160"/>
            <wp:effectExtent l="4445" t="4445" r="14605" b="17145"/>
            <wp:wrapSquare wrapText="bothSides"/>
            <wp:docPr id="6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right="0" w:rightChars="0" w:firstLine="464" w:firstLineChars="200"/>
        <w:textAlignment w:val="auto"/>
        <w:rPr>
          <w:rFonts w:hint="default" w:ascii="Times New Roman" w:hAnsi="Times New Roman" w:cs="Times New Roman"/>
        </w:rPr>
      </w:pP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right="0" w:rightChars="0" w:firstLine="464" w:firstLineChars="200"/>
        <w:textAlignment w:val="auto"/>
        <w:rPr>
          <w:rFonts w:hint="default" w:ascii="Times New Roman" w:hAnsi="Times New Roman" w:cs="Times New Roman"/>
        </w:rPr>
      </w:pP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right="0" w:rightChars="0" w:firstLine="464" w:firstLineChars="200"/>
        <w:textAlignment w:val="auto"/>
        <w:rPr>
          <w:rFonts w:hint="default" w:ascii="Times New Roman" w:hAnsi="Times New Roman" w:cs="Times New Roman"/>
        </w:rPr>
      </w:pP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right="0" w:rightChars="0" w:firstLine="464" w:firstLineChars="200"/>
        <w:textAlignment w:val="auto"/>
        <w:rPr>
          <w:rFonts w:hint="default" w:ascii="Times New Roman" w:hAnsi="Times New Roman" w:cs="Times New Roman"/>
        </w:rPr>
      </w:pP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right="0" w:rightChars="0" w:firstLine="464" w:firstLineChars="200"/>
        <w:textAlignment w:val="auto"/>
        <w:rPr>
          <w:rFonts w:hint="default" w:ascii="Times New Roman" w:hAnsi="Times New Roman" w:cs="Times New Roman"/>
        </w:rPr>
      </w:pP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right="0" w:rightChars="0" w:firstLine="464" w:firstLineChars="200"/>
        <w:textAlignment w:val="auto"/>
        <w:rPr>
          <w:rFonts w:hint="default" w:ascii="Times New Roman" w:hAnsi="Times New Roman" w:cs="Times New Roman"/>
        </w:rPr>
      </w:pP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right="0" w:rightChars="0" w:firstLine="464" w:firstLineChars="200"/>
        <w:textAlignment w:val="auto"/>
        <w:rPr>
          <w:rFonts w:hint="default" w:ascii="Times New Roman" w:hAnsi="Times New Roman" w:cs="Times New Roman"/>
        </w:rPr>
      </w:pP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right="0" w:rightChars="0"/>
        <w:textAlignment w:val="auto"/>
        <w:rPr>
          <w:rFonts w:hint="default" w:ascii="Times New Roman" w:hAnsi="Times New Roman" w:cs="Times New Roman"/>
        </w:rPr>
      </w:pP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right="0" w:rightChars="0" w:firstLine="604" w:firstLineChars="200"/>
        <w:textAlignment w:val="auto"/>
        <w:rPr>
          <w:rFonts w:hint="default" w:ascii="Times New Roman" w:hAnsi="Times New Roman" w:cs="Times New Roman"/>
        </w:rPr>
      </w:pPr>
      <w:r>
        <w:rPr>
          <w:rStyle w:val="13"/>
          <w:rFonts w:hint="default" w:ascii="Times New Roman" w:hAnsi="Times New Roman" w:eastAsia="方正楷体简体" w:cs="Times New Roman"/>
          <w:color w:val="000000"/>
          <w:sz w:val="31"/>
          <w:szCs w:val="31"/>
        </w:rPr>
        <w:t>（三）</w:t>
      </w:r>
      <w:r>
        <w:rPr>
          <w:rStyle w:val="13"/>
          <w:rFonts w:hint="eastAsia" w:ascii="Times New Roman" w:hAnsi="Times New Roman" w:eastAsia="方正楷体简体" w:cs="Times New Roman"/>
          <w:color w:val="000000"/>
          <w:sz w:val="31"/>
          <w:szCs w:val="31"/>
          <w:lang w:val="en-US" w:eastAsia="zh-CN"/>
        </w:rPr>
        <w:t>抓细抓实</w:t>
      </w:r>
      <w:r>
        <w:rPr>
          <w:rStyle w:val="13"/>
          <w:rFonts w:hint="default" w:ascii="Times New Roman" w:hAnsi="Times New Roman" w:eastAsia="方正楷体简体" w:cs="Times New Roman"/>
          <w:color w:val="000000"/>
          <w:sz w:val="31"/>
          <w:szCs w:val="31"/>
        </w:rPr>
        <w:t>政府信息管理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right="0" w:rightChars="0" w:firstLine="604" w:firstLineChars="200"/>
        <w:textAlignment w:val="auto"/>
        <w:rPr>
          <w:rFonts w:hint="default" w:ascii="Times New Roman" w:hAnsi="Times New Roman" w:cs="Times New Roman"/>
        </w:rPr>
      </w:pPr>
      <w:r>
        <w:rPr>
          <w:rStyle w:val="13"/>
          <w:rFonts w:hint="default" w:ascii="Times New Roman" w:hAnsi="Times New Roman" w:eastAsia="方正仿宋简体" w:cs="Times New Roman"/>
          <w:color w:val="000000"/>
          <w:sz w:val="31"/>
          <w:szCs w:val="31"/>
        </w:rPr>
        <w:t>济宁市国资委</w:t>
      </w:r>
      <w:r>
        <w:rPr>
          <w:rStyle w:val="13"/>
          <w:rFonts w:hint="eastAsia" w:ascii="Times New Roman" w:hAnsi="Times New Roman" w:eastAsia="方正仿宋简体" w:cs="Times New Roman"/>
          <w:color w:val="000000"/>
          <w:sz w:val="31"/>
          <w:szCs w:val="31"/>
          <w:lang w:val="en-US" w:eastAsia="zh-CN"/>
        </w:rPr>
        <w:t>严格落实政府信息管理，</w:t>
      </w:r>
      <w:r>
        <w:rPr>
          <w:rStyle w:val="13"/>
          <w:rFonts w:hint="default" w:ascii="Times New Roman" w:hAnsi="Times New Roman" w:eastAsia="方正仿宋简体" w:cs="Times New Roman"/>
          <w:color w:val="000000"/>
          <w:sz w:val="31"/>
          <w:szCs w:val="31"/>
          <w:lang w:eastAsia="zh-CN"/>
        </w:rPr>
        <w:t>制定了202</w:t>
      </w:r>
      <w:r>
        <w:rPr>
          <w:rStyle w:val="13"/>
          <w:rFonts w:hint="default" w:ascii="Times New Roman" w:hAnsi="Times New Roman" w:eastAsia="方正仿宋简体" w:cs="Times New Roman"/>
          <w:color w:val="000000"/>
          <w:sz w:val="31"/>
          <w:szCs w:val="31"/>
          <w:lang w:val="en-US" w:eastAsia="zh-CN"/>
        </w:rPr>
        <w:t>2</w:t>
      </w:r>
      <w:r>
        <w:rPr>
          <w:rStyle w:val="13"/>
          <w:rFonts w:hint="default" w:ascii="Times New Roman" w:hAnsi="Times New Roman" w:eastAsia="方正仿宋简体" w:cs="Times New Roman"/>
          <w:color w:val="000000"/>
          <w:sz w:val="31"/>
          <w:szCs w:val="31"/>
          <w:lang w:eastAsia="zh-CN"/>
        </w:rPr>
        <w:t>年主动公开基本目录</w:t>
      </w:r>
      <w:r>
        <w:rPr>
          <w:rStyle w:val="13"/>
          <w:rFonts w:hint="eastAsia" w:ascii="Times New Roman" w:hAnsi="Times New Roman" w:eastAsia="方正仿宋简体" w:cs="Times New Roman"/>
          <w:color w:val="000000"/>
          <w:sz w:val="31"/>
          <w:szCs w:val="31"/>
          <w:lang w:eastAsia="zh-CN"/>
        </w:rPr>
        <w:t>，</w:t>
      </w:r>
      <w:r>
        <w:rPr>
          <w:rStyle w:val="13"/>
          <w:rFonts w:hint="eastAsia" w:ascii="Times New Roman" w:hAnsi="Times New Roman" w:eastAsia="方正仿宋简体" w:cs="Times New Roman"/>
          <w:color w:val="000000"/>
          <w:sz w:val="31"/>
          <w:szCs w:val="31"/>
          <w:lang w:val="en-US" w:eastAsia="zh-CN"/>
        </w:rPr>
        <w:t>严格落实政务公开信息审查、管理、上传，对照考核标准，上报</w:t>
      </w:r>
      <w:r>
        <w:rPr>
          <w:rStyle w:val="13"/>
          <w:rFonts w:hint="default" w:ascii="Times New Roman" w:hAnsi="Times New Roman" w:eastAsia="方正仿宋简体" w:cs="Times New Roman"/>
          <w:color w:val="000000"/>
          <w:sz w:val="31"/>
          <w:szCs w:val="31"/>
        </w:rPr>
        <w:t>全市政务公开考核资料</w:t>
      </w:r>
      <w:r>
        <w:rPr>
          <w:rStyle w:val="13"/>
          <w:rFonts w:hint="default" w:ascii="Times New Roman" w:hAnsi="Times New Roman" w:cs="Times New Roman"/>
          <w:color w:val="000000"/>
          <w:sz w:val="31"/>
          <w:szCs w:val="31"/>
        </w:rPr>
        <w:t>1</w:t>
      </w:r>
      <w:r>
        <w:rPr>
          <w:rStyle w:val="13"/>
          <w:rFonts w:hint="default" w:ascii="Times New Roman" w:hAnsi="Times New Roman" w:eastAsia="方正仿宋简体" w:cs="Times New Roman"/>
          <w:color w:val="000000"/>
          <w:sz w:val="31"/>
          <w:szCs w:val="31"/>
        </w:rPr>
        <w:t>套（</w:t>
      </w:r>
      <w:r>
        <w:rPr>
          <w:rStyle w:val="13"/>
          <w:rFonts w:hint="default" w:ascii="Times New Roman" w:hAnsi="Times New Roman" w:cs="Times New Roman"/>
          <w:color w:val="000000"/>
          <w:sz w:val="31"/>
          <w:szCs w:val="31"/>
        </w:rPr>
        <w:t>2</w:t>
      </w:r>
      <w:r>
        <w:rPr>
          <w:rStyle w:val="13"/>
          <w:rFonts w:hint="eastAsia" w:ascii="Times New Roman" w:hAnsi="Times New Roman" w:cs="Times New Roman"/>
          <w:color w:val="000000"/>
          <w:sz w:val="31"/>
          <w:szCs w:val="31"/>
          <w:lang w:val="en-US" w:eastAsia="zh-CN"/>
        </w:rPr>
        <w:t>26</w:t>
      </w:r>
      <w:r>
        <w:rPr>
          <w:rStyle w:val="13"/>
          <w:rFonts w:hint="default" w:ascii="Times New Roman" w:hAnsi="Times New Roman" w:eastAsia="方正仿宋简体" w:cs="Times New Roman"/>
          <w:color w:val="000000"/>
          <w:sz w:val="31"/>
          <w:szCs w:val="31"/>
        </w:rPr>
        <w:t>页、</w:t>
      </w:r>
      <w:r>
        <w:rPr>
          <w:rStyle w:val="13"/>
          <w:rFonts w:hint="eastAsia" w:ascii="Times New Roman" w:hAnsi="Times New Roman" w:eastAsia="方正仿宋简体" w:cs="Times New Roman"/>
          <w:color w:val="000000"/>
          <w:sz w:val="31"/>
          <w:szCs w:val="31"/>
          <w:lang w:val="en-US" w:eastAsia="zh-CN"/>
        </w:rPr>
        <w:t>54291</w:t>
      </w:r>
      <w:r>
        <w:rPr>
          <w:rStyle w:val="13"/>
          <w:rFonts w:hint="default" w:ascii="Times New Roman" w:hAnsi="Times New Roman" w:eastAsia="方正仿宋简体" w:cs="Times New Roman"/>
          <w:color w:val="000000"/>
          <w:sz w:val="31"/>
          <w:szCs w:val="31"/>
        </w:rPr>
        <w:t>字、彩色图文装订）。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right="0" w:rightChars="0" w:firstLine="604" w:firstLineChars="200"/>
        <w:textAlignment w:val="auto"/>
        <w:rPr>
          <w:rFonts w:hint="default" w:ascii="Times New Roman" w:hAnsi="Times New Roman" w:cs="Times New Roman"/>
        </w:rPr>
      </w:pPr>
      <w:r>
        <w:rPr>
          <w:rStyle w:val="13"/>
          <w:rFonts w:hint="default" w:ascii="Times New Roman" w:hAnsi="Times New Roman" w:eastAsia="方正楷体简体" w:cs="Times New Roman"/>
          <w:color w:val="000000"/>
          <w:sz w:val="31"/>
          <w:szCs w:val="31"/>
        </w:rPr>
        <w:t>（四）</w:t>
      </w:r>
      <w:r>
        <w:rPr>
          <w:rStyle w:val="13"/>
          <w:rFonts w:hint="eastAsia" w:ascii="Times New Roman" w:hAnsi="Times New Roman" w:eastAsia="方正楷体简体" w:cs="Times New Roman"/>
          <w:color w:val="000000"/>
          <w:sz w:val="31"/>
          <w:szCs w:val="31"/>
          <w:lang w:val="en-US" w:eastAsia="zh-CN"/>
        </w:rPr>
        <w:t>积极推进</w:t>
      </w:r>
      <w:r>
        <w:rPr>
          <w:rStyle w:val="13"/>
          <w:rFonts w:hint="default" w:ascii="Times New Roman" w:hAnsi="Times New Roman" w:eastAsia="方正楷体简体" w:cs="Times New Roman"/>
          <w:color w:val="000000"/>
          <w:sz w:val="31"/>
          <w:szCs w:val="31"/>
        </w:rPr>
        <w:t>政府信息公开平台建设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right="0" w:rightChars="0" w:firstLine="604" w:firstLineChars="200"/>
        <w:textAlignment w:val="auto"/>
        <w:rPr>
          <w:rStyle w:val="13"/>
          <w:rFonts w:hint="default" w:ascii="Times New Roman" w:hAnsi="Times New Roman" w:eastAsia="方正楷体简体" w:cs="Times New Roman"/>
          <w:color w:val="000000"/>
          <w:sz w:val="31"/>
          <w:szCs w:val="31"/>
        </w:rPr>
      </w:pPr>
      <w:r>
        <w:rPr>
          <w:rStyle w:val="13"/>
          <w:rFonts w:hint="default" w:ascii="Times New Roman" w:hAnsi="Times New Roman" w:eastAsia="方正仿宋简体" w:cs="Times New Roman"/>
          <w:color w:val="000000"/>
          <w:sz w:val="31"/>
          <w:szCs w:val="31"/>
        </w:rPr>
        <w:t>济宁市国资委</w:t>
      </w:r>
      <w:r>
        <w:rPr>
          <w:rStyle w:val="13"/>
          <w:rFonts w:hint="eastAsia" w:ascii="Times New Roman" w:hAnsi="Times New Roman" w:eastAsia="方正仿宋简体" w:cs="Times New Roman"/>
          <w:color w:val="000000"/>
          <w:sz w:val="31"/>
          <w:szCs w:val="31"/>
          <w:lang w:val="en-US" w:eastAsia="zh-CN"/>
        </w:rPr>
        <w:t>严格落实电子政务工作要求，</w:t>
      </w:r>
      <w:r>
        <w:rPr>
          <w:rStyle w:val="13"/>
          <w:rFonts w:hint="default" w:ascii="Times New Roman" w:hAnsi="Times New Roman" w:eastAsia="方正仿宋简体" w:cs="Times New Roman"/>
          <w:color w:val="000000"/>
          <w:sz w:val="31"/>
          <w:szCs w:val="31"/>
        </w:rPr>
        <w:t>坚持网站建设和政务新媒体运用相结合，第一时间做好每日错敏信息的纠错，每月网站新媒体自查，每季度网站监测检查，全年门户网站信息公开目录信息更新</w:t>
      </w:r>
      <w:r>
        <w:rPr>
          <w:rStyle w:val="13"/>
          <w:rFonts w:hint="eastAsia" w:ascii="Times New Roman" w:hAnsi="Times New Roman" w:eastAsia="方正仿宋简体" w:cs="Times New Roman"/>
          <w:color w:val="000000"/>
          <w:sz w:val="31"/>
          <w:szCs w:val="31"/>
          <w:lang w:val="en-US" w:eastAsia="zh-CN"/>
        </w:rPr>
        <w:t>107</w:t>
      </w:r>
      <w:r>
        <w:rPr>
          <w:rStyle w:val="13"/>
          <w:rFonts w:hint="default" w:ascii="Times New Roman" w:hAnsi="Times New Roman" w:eastAsia="方正仿宋简体" w:cs="Times New Roman"/>
          <w:color w:val="000000"/>
          <w:sz w:val="31"/>
          <w:szCs w:val="31"/>
        </w:rPr>
        <w:t>条，门户网站政务动态信息更新</w:t>
      </w:r>
      <w:r>
        <w:rPr>
          <w:rStyle w:val="13"/>
          <w:rFonts w:hint="default" w:ascii="Times New Roman" w:hAnsi="Times New Roman" w:cs="Times New Roman"/>
          <w:color w:val="000000"/>
          <w:sz w:val="31"/>
          <w:szCs w:val="31"/>
        </w:rPr>
        <w:t>2</w:t>
      </w:r>
      <w:r>
        <w:rPr>
          <w:rStyle w:val="13"/>
          <w:rFonts w:hint="eastAsia" w:ascii="Times New Roman" w:hAnsi="Times New Roman" w:cs="Times New Roman"/>
          <w:color w:val="000000"/>
          <w:sz w:val="31"/>
          <w:szCs w:val="31"/>
          <w:lang w:val="en-US" w:eastAsia="zh-CN"/>
        </w:rPr>
        <w:t>19</w:t>
      </w:r>
      <w:r>
        <w:rPr>
          <w:rStyle w:val="13"/>
          <w:rFonts w:hint="default" w:ascii="Times New Roman" w:hAnsi="Times New Roman" w:eastAsia="方正仿宋简体" w:cs="Times New Roman"/>
          <w:color w:val="000000"/>
          <w:sz w:val="31"/>
          <w:szCs w:val="31"/>
        </w:rPr>
        <w:t>条</w:t>
      </w:r>
      <w:r>
        <w:rPr>
          <w:rStyle w:val="13"/>
          <w:rFonts w:hint="default" w:ascii="Times New Roman" w:hAnsi="Times New Roman" w:eastAsia="方正仿宋简体" w:cs="Times New Roman"/>
          <w:color w:val="000000"/>
          <w:sz w:val="31"/>
          <w:szCs w:val="31"/>
          <w:lang w:eastAsia="zh-CN"/>
        </w:rPr>
        <w:t>，</w:t>
      </w:r>
      <w:r>
        <w:rPr>
          <w:rStyle w:val="13"/>
          <w:rFonts w:hint="eastAsia" w:ascii="Times New Roman" w:hAnsi="Times New Roman" w:eastAsia="方正仿宋简体" w:cs="Times New Roman"/>
          <w:color w:val="000000"/>
          <w:sz w:val="31"/>
          <w:szCs w:val="31"/>
          <w:lang w:val="en-US" w:eastAsia="zh-CN"/>
        </w:rPr>
        <w:t>微信公众号</w:t>
      </w:r>
      <w:r>
        <w:rPr>
          <w:rStyle w:val="13"/>
          <w:rFonts w:hint="default" w:ascii="Times New Roman" w:hAnsi="Times New Roman" w:eastAsia="方正仿宋简体" w:cs="Times New Roman"/>
          <w:color w:val="000000"/>
          <w:sz w:val="31"/>
          <w:szCs w:val="31"/>
        </w:rPr>
        <w:t>全年发布</w:t>
      </w:r>
      <w:r>
        <w:rPr>
          <w:rStyle w:val="13"/>
          <w:rFonts w:hint="eastAsia" w:ascii="Times New Roman" w:hAnsi="Times New Roman" w:eastAsia="方正仿宋简体" w:cs="Times New Roman"/>
          <w:color w:val="000000"/>
          <w:sz w:val="31"/>
          <w:szCs w:val="31"/>
          <w:lang w:val="en-US" w:eastAsia="zh-CN"/>
        </w:rPr>
        <w:t>168</w:t>
      </w:r>
      <w:r>
        <w:rPr>
          <w:rStyle w:val="13"/>
          <w:rFonts w:hint="default" w:ascii="Times New Roman" w:hAnsi="Times New Roman" w:eastAsia="方正仿宋简体" w:cs="Times New Roman"/>
          <w:color w:val="000000"/>
          <w:sz w:val="31"/>
          <w:szCs w:val="31"/>
        </w:rPr>
        <w:t>条，微博上传信息</w:t>
      </w:r>
      <w:r>
        <w:rPr>
          <w:rStyle w:val="13"/>
          <w:rFonts w:hint="eastAsia" w:ascii="Times New Roman" w:hAnsi="Times New Roman" w:eastAsia="方正仿宋简体" w:cs="Times New Roman"/>
          <w:color w:val="000000"/>
          <w:sz w:val="31"/>
          <w:szCs w:val="31"/>
          <w:lang w:val="en-US" w:eastAsia="zh-CN"/>
        </w:rPr>
        <w:t>164</w:t>
      </w:r>
      <w:r>
        <w:rPr>
          <w:rStyle w:val="13"/>
          <w:rFonts w:hint="default" w:ascii="Times New Roman" w:hAnsi="Times New Roman" w:eastAsia="方正仿宋简体" w:cs="Times New Roman"/>
          <w:color w:val="000000"/>
          <w:sz w:val="31"/>
          <w:szCs w:val="31"/>
        </w:rPr>
        <w:t>条。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right="0" w:rightChars="0" w:firstLine="604" w:firstLineChars="200"/>
        <w:textAlignment w:val="auto"/>
        <w:rPr>
          <w:rFonts w:hint="default" w:ascii="Times New Roman" w:hAnsi="Times New Roman" w:cs="Times New Roman"/>
        </w:rPr>
      </w:pPr>
      <w:r>
        <w:rPr>
          <w:rStyle w:val="13"/>
          <w:rFonts w:hint="default" w:ascii="Times New Roman" w:hAnsi="Times New Roman" w:eastAsia="方正楷体简体" w:cs="Times New Roman"/>
          <w:color w:val="000000"/>
          <w:sz w:val="31"/>
          <w:szCs w:val="31"/>
        </w:rPr>
        <w:t>（五）</w:t>
      </w:r>
      <w:r>
        <w:rPr>
          <w:rStyle w:val="13"/>
          <w:rFonts w:hint="eastAsia" w:ascii="Times New Roman" w:hAnsi="Times New Roman" w:eastAsia="方正楷体简体" w:cs="Times New Roman"/>
          <w:color w:val="000000"/>
          <w:sz w:val="31"/>
          <w:szCs w:val="31"/>
          <w:lang w:val="en-US" w:eastAsia="zh-CN"/>
        </w:rPr>
        <w:t>不断强化</w:t>
      </w:r>
      <w:r>
        <w:rPr>
          <w:rStyle w:val="13"/>
          <w:rFonts w:hint="default" w:ascii="Times New Roman" w:hAnsi="Times New Roman" w:eastAsia="方正楷体简体" w:cs="Times New Roman"/>
          <w:color w:val="000000"/>
          <w:sz w:val="31"/>
          <w:szCs w:val="31"/>
        </w:rPr>
        <w:t>监督保障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right="0" w:rightChars="0" w:firstLine="604" w:firstLineChars="200"/>
        <w:textAlignment w:val="auto"/>
        <w:rPr>
          <w:rFonts w:hint="default" w:ascii="Times New Roman" w:hAnsi="Times New Roman" w:cs="Times New Roman"/>
        </w:rPr>
      </w:pPr>
      <w:r>
        <w:rPr>
          <w:rStyle w:val="13"/>
          <w:rFonts w:hint="default" w:ascii="Times New Roman" w:hAnsi="Times New Roman" w:eastAsia="方正仿宋简体" w:cs="Times New Roman"/>
          <w:color w:val="000000"/>
          <w:sz w:val="31"/>
          <w:szCs w:val="31"/>
        </w:rPr>
        <w:t>济宁市国资委</w:t>
      </w:r>
      <w:r>
        <w:rPr>
          <w:rStyle w:val="13"/>
          <w:rFonts w:hint="eastAsia" w:ascii="Times New Roman" w:hAnsi="Times New Roman" w:eastAsia="方正仿宋简体" w:cs="Times New Roman"/>
          <w:color w:val="000000"/>
          <w:sz w:val="31"/>
          <w:szCs w:val="31"/>
          <w:lang w:val="en-US" w:eastAsia="zh-CN"/>
        </w:rPr>
        <w:t>注重强化体制机制建设，制定</w:t>
      </w:r>
      <w:r>
        <w:rPr>
          <w:rStyle w:val="13"/>
          <w:rFonts w:hint="default" w:ascii="Times New Roman" w:hAnsi="Times New Roman" w:eastAsia="方正仿宋简体" w:cs="Times New Roman"/>
          <w:color w:val="000000"/>
          <w:sz w:val="31"/>
          <w:szCs w:val="31"/>
        </w:rPr>
        <w:t>政务公开培训计划，组织召开培训会议</w:t>
      </w:r>
      <w:r>
        <w:rPr>
          <w:rStyle w:val="13"/>
          <w:rFonts w:hint="default" w:ascii="Times New Roman" w:hAnsi="Times New Roman" w:cs="Times New Roman"/>
          <w:color w:val="000000"/>
          <w:sz w:val="31"/>
          <w:szCs w:val="31"/>
        </w:rPr>
        <w:t>1</w:t>
      </w:r>
      <w:r>
        <w:rPr>
          <w:rStyle w:val="13"/>
          <w:rFonts w:hint="default" w:ascii="Times New Roman" w:hAnsi="Times New Roman" w:eastAsia="方正仿宋简体" w:cs="Times New Roman"/>
          <w:color w:val="000000"/>
          <w:sz w:val="31"/>
          <w:szCs w:val="31"/>
        </w:rPr>
        <w:t>次</w:t>
      </w:r>
      <w:r>
        <w:rPr>
          <w:rStyle w:val="13"/>
          <w:rFonts w:hint="default" w:ascii="Times New Roman" w:hAnsi="Times New Roman" w:eastAsia="方正仿宋简体" w:cs="Times New Roman"/>
          <w:color w:val="000000"/>
          <w:sz w:val="31"/>
          <w:szCs w:val="31"/>
          <w:lang w:eastAsia="zh-CN"/>
        </w:rPr>
        <w:t>，</w:t>
      </w:r>
      <w:r>
        <w:rPr>
          <w:rStyle w:val="13"/>
          <w:rFonts w:hint="default" w:ascii="Times New Roman" w:hAnsi="Times New Roman" w:eastAsia="方正仿宋简体" w:cs="Times New Roman"/>
          <w:color w:val="000000"/>
          <w:sz w:val="31"/>
          <w:szCs w:val="31"/>
        </w:rPr>
        <w:t>重点对科室信息提供、企业信息公开、工作完成度等加强督导考核，确保政务信息公开取得良好成效。</w:t>
      </w:r>
    </w:p>
    <w:p>
      <w:pPr>
        <w:spacing w:line="590" w:lineRule="exact"/>
        <w:ind w:right="-96" w:rightChars="-50" w:firstLine="624" w:firstLineChars="200"/>
        <w:rPr>
          <w:rFonts w:hint="default" w:ascii="Times New Roman" w:hAnsi="Times New Roman" w:eastAsia="方正黑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黑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二、主动公开政府信息情况</w:t>
      </w:r>
    </w:p>
    <w:tbl>
      <w:tblPr>
        <w:tblStyle w:val="11"/>
        <w:tblW w:w="87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bidi="ar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本年制发件数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本年废止件数</w:t>
            </w:r>
          </w:p>
        </w:tc>
        <w:tc>
          <w:tcPr>
            <w:tcW w:w="198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现行有效件数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规章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行政规范性文件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bidi="ar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bidi="ar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bidi="ar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spacing w:before="62" w:beforeLines="10" w:after="62" w:afterLines="10" w:line="600" w:lineRule="exact"/>
        <w:ind w:firstLine="624" w:firstLineChars="200"/>
        <w:rPr>
          <w:rFonts w:hint="default" w:ascii="Times New Roman" w:hAnsi="Times New Roman" w:eastAsia="方正黑体简体" w:cs="Times New Roman"/>
          <w:b/>
          <w:sz w:val="32"/>
          <w:szCs w:val="32"/>
        </w:rPr>
      </w:pPr>
    </w:p>
    <w:p>
      <w:pPr>
        <w:spacing w:before="62" w:beforeLines="10" w:after="62" w:afterLines="10" w:line="600" w:lineRule="exact"/>
        <w:ind w:firstLine="624" w:firstLineChars="200"/>
        <w:rPr>
          <w:rFonts w:hint="default" w:ascii="Times New Roman" w:hAnsi="Times New Roman" w:eastAsia="方正黑体简体" w:cs="Times New Roman"/>
          <w:b/>
          <w:sz w:val="32"/>
          <w:szCs w:val="32"/>
        </w:rPr>
      </w:pPr>
    </w:p>
    <w:p>
      <w:pPr>
        <w:spacing w:before="62" w:beforeLines="10" w:after="62" w:afterLines="10" w:line="600" w:lineRule="exact"/>
        <w:ind w:firstLine="624" w:firstLineChars="200"/>
        <w:rPr>
          <w:rFonts w:hint="default" w:ascii="Times New Roman" w:hAnsi="Times New Roman" w:eastAsia="方正黑体简体" w:cs="Times New Roman"/>
          <w:b/>
          <w:sz w:val="32"/>
          <w:szCs w:val="32"/>
        </w:rPr>
      </w:pPr>
    </w:p>
    <w:p>
      <w:pPr>
        <w:spacing w:before="62" w:beforeLines="10" w:after="62" w:afterLines="10" w:line="600" w:lineRule="exact"/>
        <w:ind w:firstLine="624" w:firstLineChars="200"/>
        <w:rPr>
          <w:rFonts w:hint="default" w:ascii="Times New Roman" w:hAnsi="Times New Roman" w:eastAsia="方正黑体简体" w:cs="Times New Roman"/>
          <w:b/>
          <w:sz w:val="32"/>
          <w:szCs w:val="32"/>
        </w:rPr>
      </w:pPr>
    </w:p>
    <w:p>
      <w:pPr>
        <w:spacing w:before="62" w:beforeLines="10" w:after="62" w:afterLines="10" w:line="600" w:lineRule="exact"/>
        <w:ind w:firstLine="624" w:firstLineChars="200"/>
        <w:rPr>
          <w:rFonts w:hint="default" w:ascii="Times New Roman" w:hAnsi="Times New Roman" w:eastAsia="方正黑体简体" w:cs="Times New Roman"/>
          <w:b/>
          <w:sz w:val="32"/>
          <w:szCs w:val="32"/>
        </w:rPr>
      </w:pPr>
    </w:p>
    <w:p>
      <w:pPr>
        <w:spacing w:before="62" w:beforeLines="10" w:after="62" w:afterLines="10" w:line="600" w:lineRule="exact"/>
        <w:ind w:firstLine="624" w:firstLineChars="200"/>
        <w:rPr>
          <w:rFonts w:hint="default" w:ascii="Times New Roman" w:hAnsi="Times New Roman" w:eastAsia="方正黑体简体" w:cs="Times New Roman"/>
          <w:b/>
          <w:sz w:val="32"/>
          <w:szCs w:val="32"/>
        </w:rPr>
      </w:pPr>
    </w:p>
    <w:p>
      <w:pPr>
        <w:pStyle w:val="2"/>
        <w:rPr>
          <w:rFonts w:hint="default" w:ascii="Times New Roman" w:hAnsi="Times New Roman" w:eastAsia="方正黑体简体" w:cs="Times New Roman"/>
          <w:b/>
          <w:sz w:val="32"/>
          <w:szCs w:val="32"/>
        </w:rPr>
      </w:pPr>
    </w:p>
    <w:p>
      <w:pPr>
        <w:rPr>
          <w:rFonts w:hint="default"/>
        </w:rPr>
      </w:pPr>
    </w:p>
    <w:p>
      <w:pPr>
        <w:spacing w:before="62" w:beforeLines="10" w:after="62" w:afterLines="10" w:line="600" w:lineRule="exact"/>
        <w:ind w:firstLine="624" w:firstLineChars="200"/>
        <w:rPr>
          <w:rFonts w:hint="default" w:ascii="Times New Roman" w:hAnsi="Times New Roman" w:eastAsia="方正黑体简体" w:cs="Times New Roman"/>
          <w:b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三、收到和处理政府信息公开申请情况</w:t>
      </w:r>
    </w:p>
    <w:tbl>
      <w:tblPr>
        <w:tblStyle w:val="11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自然人</w:t>
            </w:r>
          </w:p>
        </w:tc>
        <w:tc>
          <w:tcPr>
            <w:tcW w:w="2917" w:type="dxa"/>
            <w:gridSpan w:val="5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法人或其他组织</w:t>
            </w:r>
          </w:p>
        </w:tc>
        <w:tc>
          <w:tcPr>
            <w:tcW w:w="52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商业</w:t>
            </w:r>
          </w:p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企业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科研</w:t>
            </w:r>
          </w:p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机构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社会公益组织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法律服务机构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其他</w:t>
            </w:r>
          </w:p>
        </w:tc>
        <w:tc>
          <w:tcPr>
            <w:tcW w:w="521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一、本年新收政府信息公开申请数量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二、上年结转政府信息公开申请数量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三、本年度办理结果</w:t>
            </w: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（一）予以公开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（二）部分公开（区分处理的，只计这一情形，不计其他情形）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（三）不予公开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1.属于国家秘密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2.其他法律行政法规禁止公开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3.危及“三安全一稳定”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4.保护第三方合法权益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5.属于三类内部事务信息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6.属于四类过程性信息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7.属于行政执法案卷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8.属于行政查询事项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（四）无法提供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1.本机关不掌握相关政府信息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2.没有现成信息需要另行制作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3.补正后申请内容仍不明确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（五）不予处理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1.信访举报投诉类申请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2.重复申请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3.要求提供公开出版物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4.无正当理由大量反复申请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5.要求行政机关确认或重新出具已获取信息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（六）其他处理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3.其他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（七）总计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四、结转下年度继续办理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spacing w:line="590" w:lineRule="exact"/>
        <w:ind w:right="-96" w:rightChars="-50"/>
        <w:rPr>
          <w:rFonts w:hint="default" w:ascii="Times New Roman" w:hAnsi="Times New Roman" w:eastAsia="方正黑体简体" w:cs="Times New Roman"/>
          <w:b/>
          <w:sz w:val="32"/>
          <w:szCs w:val="32"/>
        </w:rPr>
      </w:pPr>
    </w:p>
    <w:p>
      <w:pPr>
        <w:spacing w:line="590" w:lineRule="exact"/>
        <w:ind w:right="-96" w:rightChars="-50" w:firstLine="624" w:firstLineChars="200"/>
        <w:rPr>
          <w:rFonts w:hint="default" w:ascii="Times New Roman" w:hAnsi="Times New Roman" w:eastAsia="方正黑体简体" w:cs="Times New Roman"/>
          <w:b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四、政府信息公开行政复议、行政诉讼情况</w:t>
      </w:r>
    </w:p>
    <w:tbl>
      <w:tblPr>
        <w:tblStyle w:val="11"/>
        <w:tblW w:w="881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其他</w:t>
            </w:r>
          </w:p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尚未</w:t>
            </w:r>
          </w:p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38" w:leftChars="-20" w:right="-38" w:rightChars="-20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38" w:leftChars="-20" w:right="-38" w:rightChars="-20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38" w:leftChars="-20" w:right="-38" w:rightChars="-20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38" w:leftChars="-20" w:right="-38" w:rightChars="-20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38" w:leftChars="-20" w:right="-38" w:rightChars="-20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其他</w:t>
            </w:r>
          </w:p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尚未</w:t>
            </w:r>
          </w:p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其他</w:t>
            </w:r>
          </w:p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尚未</w:t>
            </w:r>
          </w:p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38" w:leftChars="-20" w:right="-38" w:rightChars="-20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spacing w:line="590" w:lineRule="exact"/>
        <w:ind w:right="-96" w:rightChars="-50" w:firstLine="624" w:firstLineChars="200"/>
        <w:rPr>
          <w:rFonts w:hint="default" w:ascii="Times New Roman" w:hAnsi="Times New Roman" w:eastAsia="方正黑体简体" w:cs="Times New Roman"/>
          <w:b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五、存在的主要问题及改进情况</w:t>
      </w:r>
    </w:p>
    <w:p>
      <w:pPr>
        <w:spacing w:line="590" w:lineRule="exact"/>
        <w:ind w:right="-96" w:rightChars="-50" w:firstLine="624" w:firstLineChars="200"/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济宁市国资委在政务信息公开中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/>
        </w:rPr>
        <w:t>的问题主要体现在：一是政务公开工作的全面性存在</w:t>
      </w:r>
      <w:r>
        <w:rPr>
          <w:rFonts w:hint="eastAsia" w:eastAsia="方正仿宋简体" w:cs="Times New Roman"/>
          <w:b/>
          <w:sz w:val="32"/>
          <w:szCs w:val="32"/>
          <w:lang w:val="en-US" w:eastAsia="zh-CN"/>
        </w:rPr>
        <w:t>不足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/>
        </w:rPr>
        <w:t>，在公开形式、公开水平方面相较而言还有一定差距；二是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模范性作用发挥不够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/>
        </w:rPr>
        <w:t>，公共服务类企业信息公开还有待进一步提升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。下一步，济宁市国资委将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/>
        </w:rPr>
        <w:t>继续深入落实政务公开工作部署，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严格按照市政府政务公开办公室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/>
        </w:rPr>
        <w:t>具体安排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/>
        </w:rPr>
        <w:t>一是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扩大公开范围的全面性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/>
        </w:rPr>
        <w:t>，发挥领导小组职责职能作用，统筹安排业务科室、督促指导市管企业群策群力，通过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多渠道、多形式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/>
        </w:rPr>
        <w:t>共同做好政务公开工作；二是注重加强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业务培训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/>
        </w:rPr>
        <w:t>学习，不断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增强信息公开意识和服务意识，通过多种形式提高政府信息采编能力，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/>
        </w:rPr>
        <w:t>切实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提高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/>
        </w:rPr>
        <w:t>政务公开工作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水平。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-96" w:rightChars="-50" w:firstLine="624" w:firstLineChars="200"/>
        <w:textAlignment w:val="auto"/>
        <w:rPr>
          <w:rFonts w:hint="default" w:ascii="Times New Roman" w:hAnsi="Times New Roman" w:eastAsia="方正黑体简体" w:cs="Times New Roman"/>
          <w:b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六、其他需要报告的事项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-96" w:rightChars="-50" w:firstLine="624" w:firstLineChars="200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1、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依据《政府信息公开信息处理费管理办法》，济宁市国资委无收取信息处理费的情况。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-96" w:rightChars="-50" w:firstLine="624" w:firstLineChars="200"/>
        <w:textAlignment w:val="auto"/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2、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制定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济宁市国资委2022年度政务公开考核办法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，全面、规范、细致落实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政务公开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工作要点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-96" w:rightChars="-50" w:firstLine="604" w:firstLineChars="200"/>
        <w:textAlignment w:val="auto"/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13"/>
          <w:rFonts w:hint="eastAsia" w:cs="Times New Roman"/>
          <w:color w:val="000000"/>
          <w:sz w:val="31"/>
          <w:szCs w:val="31"/>
          <w:lang w:val="en-US" w:eastAsia="zh-CN"/>
        </w:rPr>
        <w:t>3、</w:t>
      </w:r>
      <w:r>
        <w:rPr>
          <w:rStyle w:val="13"/>
          <w:rFonts w:hint="default" w:ascii="Times New Roman" w:hAnsi="Times New Roman" w:cs="Times New Roman"/>
          <w:color w:val="000000"/>
          <w:sz w:val="31"/>
          <w:szCs w:val="31"/>
        </w:rPr>
        <w:t>202</w:t>
      </w:r>
      <w:r>
        <w:rPr>
          <w:rStyle w:val="13"/>
          <w:rFonts w:hint="default" w:ascii="Times New Roman" w:hAnsi="Times New Roman" w:cs="Times New Roman"/>
          <w:color w:val="000000"/>
          <w:sz w:val="31"/>
          <w:szCs w:val="31"/>
          <w:lang w:val="en-US" w:eastAsia="zh-CN"/>
        </w:rPr>
        <w:t>2</w:t>
      </w:r>
      <w:r>
        <w:rPr>
          <w:rStyle w:val="13"/>
          <w:rFonts w:hint="default" w:ascii="Times New Roman" w:hAnsi="Times New Roman" w:eastAsia="方正仿宋简体" w:cs="Times New Roman"/>
          <w:color w:val="000000"/>
          <w:sz w:val="31"/>
          <w:szCs w:val="31"/>
        </w:rPr>
        <w:t>年，共承办市级人大代表建议</w:t>
      </w:r>
      <w:r>
        <w:rPr>
          <w:rStyle w:val="13"/>
          <w:rFonts w:hint="default" w:ascii="Times New Roman" w:hAnsi="Times New Roman" w:eastAsia="方正仿宋简体" w:cs="Times New Roman"/>
          <w:color w:val="000000"/>
          <w:sz w:val="31"/>
          <w:szCs w:val="31"/>
          <w:lang w:val="en-US" w:eastAsia="zh-CN"/>
        </w:rPr>
        <w:t>6</w:t>
      </w:r>
      <w:r>
        <w:rPr>
          <w:rStyle w:val="13"/>
          <w:rFonts w:hint="default" w:ascii="Times New Roman" w:hAnsi="Times New Roman" w:eastAsia="方正仿宋简体" w:cs="Times New Roman"/>
          <w:color w:val="000000"/>
          <w:sz w:val="31"/>
          <w:szCs w:val="31"/>
        </w:rPr>
        <w:t>件、政协提案</w:t>
      </w:r>
      <w:r>
        <w:rPr>
          <w:rStyle w:val="13"/>
          <w:rFonts w:hint="default" w:ascii="Times New Roman" w:hAnsi="Times New Roman" w:eastAsia="方正仿宋简体" w:cs="Times New Roman"/>
          <w:color w:val="000000"/>
          <w:sz w:val="31"/>
          <w:szCs w:val="31"/>
          <w:lang w:val="en-US" w:eastAsia="zh-CN"/>
        </w:rPr>
        <w:t>6</w:t>
      </w:r>
      <w:r>
        <w:rPr>
          <w:rStyle w:val="13"/>
          <w:rFonts w:hint="default" w:ascii="Times New Roman" w:hAnsi="Times New Roman" w:eastAsia="方正仿宋简体" w:cs="Times New Roman"/>
          <w:color w:val="000000"/>
          <w:sz w:val="31"/>
          <w:szCs w:val="31"/>
        </w:rPr>
        <w:t>件，</w:t>
      </w:r>
      <w:r>
        <w:rPr>
          <w:rStyle w:val="13"/>
          <w:rFonts w:hint="default" w:ascii="Times New Roman" w:hAnsi="Times New Roman" w:eastAsia="方正仿宋简体" w:cs="Times New Roman"/>
          <w:color w:val="000000"/>
          <w:sz w:val="31"/>
          <w:szCs w:val="31"/>
          <w:lang w:val="en-US" w:eastAsia="zh-CN"/>
        </w:rPr>
        <w:t>涉及</w:t>
      </w:r>
      <w:r>
        <w:rPr>
          <w:rStyle w:val="13"/>
          <w:rFonts w:hint="default" w:ascii="Times New Roman" w:hAnsi="Times New Roman" w:eastAsia="方正仿宋简体" w:cs="Times New Roman"/>
          <w:color w:val="000000"/>
          <w:sz w:val="31"/>
          <w:szCs w:val="31"/>
        </w:rPr>
        <w:t>基础设施、港航物流发展、国资国企发展、城乡融合发展、文化旅游等方面</w:t>
      </w:r>
      <w:r>
        <w:rPr>
          <w:rStyle w:val="13"/>
          <w:rFonts w:hint="default" w:ascii="Times New Roman" w:hAnsi="Times New Roman" w:eastAsia="方正仿宋简体" w:cs="Times New Roman"/>
          <w:color w:val="000000"/>
          <w:sz w:val="31"/>
          <w:szCs w:val="31"/>
          <w:lang w:eastAsia="zh-CN"/>
        </w:rPr>
        <w:t>，</w:t>
      </w:r>
      <w:r>
        <w:rPr>
          <w:rStyle w:val="13"/>
          <w:rFonts w:hint="default" w:ascii="Times New Roman" w:hAnsi="Times New Roman" w:eastAsia="方正仿宋简体" w:cs="Times New Roman"/>
          <w:color w:val="000000"/>
          <w:sz w:val="31"/>
          <w:szCs w:val="31"/>
        </w:rPr>
        <w:t>均已办复。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人大代表建议和政协提案办理结果均已按照要求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进行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公开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-96" w:rightChars="-50" w:firstLine="624" w:firstLineChars="200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4、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按照市政府办政务公开办要求，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积极报送《立足公共服务  打造“阳光国企”——山东省济宁市国资系统公共服务类企业信息公开工作探索与研究》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调研报告（约1万字）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-96" w:rightChars="-50" w:firstLine="624" w:firstLineChars="200"/>
        <w:textAlignment w:val="auto"/>
        <w:rPr>
          <w:rFonts w:hint="default" w:ascii="Times New Roman" w:hAnsi="Times New Roman" w:cs="Times New Roman"/>
        </w:rPr>
      </w:pP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5、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无其他需要</w:t>
      </w:r>
      <w:bookmarkStart w:id="0" w:name="_GoBack"/>
      <w:bookmarkEnd w:id="0"/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报告的事项。</w:t>
      </w:r>
    </w:p>
    <w:sectPr>
      <w:footerReference r:id="rId5" w:type="first"/>
      <w:footerReference r:id="rId3" w:type="default"/>
      <w:footerReference r:id="rId4" w:type="even"/>
      <w:pgSz w:w="11906" w:h="16838"/>
      <w:pgMar w:top="1191" w:right="1588" w:bottom="1191" w:left="1588" w:header="851" w:footer="1559" w:gutter="0"/>
      <w:pgNumType w:fmt="decimal"/>
      <w:cols w:space="425" w:num="1"/>
      <w:titlePg/>
      <w:docGrid w:type="linesAndChars" w:linePitch="628" w:charSpace="-168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wordWrap w:val="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- 2 -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- 2 -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94842155"/>
    </w:sdtPr>
    <w:sdtEndPr>
      <w:rPr>
        <w:rFonts w:asciiTheme="minorEastAsia" w:hAnsiTheme="minorEastAsia"/>
        <w:b/>
        <w:sz w:val="28"/>
        <w:szCs w:val="28"/>
      </w:rPr>
    </w:sdtEndPr>
    <w:sdtContent>
      <w:p>
        <w:pPr>
          <w:pStyle w:val="6"/>
          <w:ind w:firstLine="180" w:firstLineChars="100"/>
          <w:rPr>
            <w:rFonts w:asciiTheme="minorEastAsia" w:hAnsiTheme="minorEastAsia"/>
            <w:b/>
            <w:sz w:val="28"/>
            <w:szCs w:val="28"/>
          </w:rPr>
        </w:pPr>
        <w:r>
          <w:rPr>
            <w:rFonts w:asciiTheme="minorEastAsia" w:hAnsiTheme="minorEastAsia"/>
            <w:b/>
            <w:sz w:val="28"/>
            <w:szCs w:val="28"/>
          </w:rPr>
          <w:fldChar w:fldCharType="begin"/>
        </w:r>
        <w:r>
          <w:rPr>
            <w:rFonts w:asciiTheme="minorEastAsia" w:hAnsiTheme="minorEastAsia"/>
            <w:b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b/>
            <w:sz w:val="28"/>
            <w:szCs w:val="28"/>
          </w:rPr>
          <w:fldChar w:fldCharType="separate"/>
        </w:r>
        <w:r>
          <w:rPr>
            <w:rFonts w:asciiTheme="minorEastAsia" w:hAnsiTheme="minorEastAsia"/>
            <w:b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b/>
            <w:sz w:val="28"/>
            <w:szCs w:val="28"/>
          </w:rPr>
          <w:t xml:space="preserve"> 20 -</w:t>
        </w:r>
        <w:r>
          <w:rPr>
            <w:rFonts w:asciiTheme="minorEastAsia" w:hAnsiTheme="minorEastAsia"/>
            <w:b/>
            <w:sz w:val="28"/>
            <w:szCs w:val="2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xNTllM2NlMDYwYTAwOGU4MGIzMmIyNGIxNDBiM2IifQ=="/>
  </w:docVars>
  <w:rsids>
    <w:rsidRoot w:val="36567F66"/>
    <w:rsid w:val="02E161D4"/>
    <w:rsid w:val="0639341C"/>
    <w:rsid w:val="09CE5AC0"/>
    <w:rsid w:val="11E22BBA"/>
    <w:rsid w:val="1B692A4C"/>
    <w:rsid w:val="1BF754B3"/>
    <w:rsid w:val="1E061571"/>
    <w:rsid w:val="22091D98"/>
    <w:rsid w:val="22680353"/>
    <w:rsid w:val="29DD54D1"/>
    <w:rsid w:val="2C520C10"/>
    <w:rsid w:val="30E84D56"/>
    <w:rsid w:val="31720EB6"/>
    <w:rsid w:val="36567F66"/>
    <w:rsid w:val="39DE00E1"/>
    <w:rsid w:val="3CAD0FEF"/>
    <w:rsid w:val="3F4343E8"/>
    <w:rsid w:val="446E63AB"/>
    <w:rsid w:val="469577B6"/>
    <w:rsid w:val="46F452BC"/>
    <w:rsid w:val="49F509D5"/>
    <w:rsid w:val="4D174812"/>
    <w:rsid w:val="5D0C7E60"/>
    <w:rsid w:val="5E56792A"/>
    <w:rsid w:val="5E5E71C7"/>
    <w:rsid w:val="5FF612D7"/>
    <w:rsid w:val="60225290"/>
    <w:rsid w:val="61930DA7"/>
    <w:rsid w:val="660C2C0A"/>
    <w:rsid w:val="694110E9"/>
    <w:rsid w:val="6AE66BBC"/>
    <w:rsid w:val="6DB33610"/>
    <w:rsid w:val="719C15B2"/>
    <w:rsid w:val="7C7D3AE3"/>
    <w:rsid w:val="7EE63696"/>
    <w:rsid w:val="7F8F2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qFormat="1" w:unhideWhenUsed="0" w:uiPriority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99"/>
    <w:pPr>
      <w:jc w:val="center"/>
    </w:pPr>
    <w:rPr>
      <w:rFonts w:ascii="Times New Roman" w:hAnsi="Times New Roman"/>
      <w:b/>
      <w:bCs/>
      <w:sz w:val="44"/>
    </w:rPr>
  </w:style>
  <w:style w:type="paragraph" w:styleId="4">
    <w:name w:val="Body Text Indent"/>
    <w:basedOn w:val="1"/>
    <w:next w:val="5"/>
    <w:qFormat/>
    <w:uiPriority w:val="0"/>
    <w:pPr>
      <w:spacing w:after="120" w:afterLines="0"/>
      <w:ind w:left="420" w:leftChars="200"/>
    </w:pPr>
  </w:style>
  <w:style w:type="paragraph" w:customStyle="1" w:styleId="5">
    <w:name w:val="样式 正文文本缩进 + 行距: 1.5 倍行距"/>
    <w:basedOn w:val="4"/>
    <w:qFormat/>
    <w:uiPriority w:val="0"/>
    <w:pPr>
      <w:ind w:left="90" w:leftChars="32" w:firstLine="560" w:firstLineChars="200"/>
    </w:pPr>
    <w:rPr>
      <w:rFonts w:cs="宋体"/>
    </w:rPr>
  </w:style>
  <w:style w:type="paragraph" w:styleId="6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  <w:style w:type="paragraph" w:styleId="9">
    <w:name w:val="Body Text First Indent"/>
    <w:basedOn w:val="3"/>
    <w:next w:val="10"/>
    <w:qFormat/>
    <w:uiPriority w:val="99"/>
    <w:pPr>
      <w:ind w:firstLine="420" w:firstLineChars="100"/>
    </w:pPr>
  </w:style>
  <w:style w:type="paragraph" w:styleId="10">
    <w:name w:val="Body Text First Indent 2"/>
    <w:basedOn w:val="4"/>
    <w:next w:val="9"/>
    <w:semiHidden/>
    <w:qFormat/>
    <w:uiPriority w:val="0"/>
    <w:pPr>
      <w:ind w:firstLine="420" w:firstLineChars="200"/>
    </w:pPr>
  </w:style>
  <w:style w:type="character" w:styleId="13">
    <w:name w:val="Strong"/>
    <w:basedOn w:val="12"/>
    <w:qFormat/>
    <w:uiPriority w:val="0"/>
    <w:rPr>
      <w:b/>
      <w:bCs/>
    </w:rPr>
  </w:style>
  <w:style w:type="character" w:styleId="14">
    <w:name w:val="FollowedHyperlink"/>
    <w:basedOn w:val="12"/>
    <w:qFormat/>
    <w:uiPriority w:val="0"/>
    <w:rPr>
      <w:color w:val="800080"/>
      <w:u w:val="single"/>
    </w:rPr>
  </w:style>
  <w:style w:type="character" w:styleId="15">
    <w:name w:val="Emphasis"/>
    <w:basedOn w:val="12"/>
    <w:qFormat/>
    <w:uiPriority w:val="0"/>
    <w:rPr>
      <w:i/>
    </w:rPr>
  </w:style>
  <w:style w:type="character" w:styleId="16">
    <w:name w:val="Hyperlink"/>
    <w:basedOn w:val="12"/>
    <w:qFormat/>
    <w:uiPriority w:val="0"/>
    <w:rPr>
      <w:color w:val="0000FF"/>
      <w:u w:val="single"/>
    </w:rPr>
  </w:style>
  <w:style w:type="paragraph" w:customStyle="1" w:styleId="17">
    <w:name w:val="_Style 14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18">
    <w:name w:val="_Style 15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chart" Target="charts/chart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&#24037;&#20316;&#31807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黑体" panose="02010609060101010101" charset="-122"/>
                <a:ea typeface="黑体" panose="02010609060101010101" charset="-122"/>
                <a:cs typeface="黑体" panose="02010609060101010101" charset="-122"/>
                <a:sym typeface="黑体" panose="02010609060101010101" charset="-122"/>
              </a:defRPr>
            </a:pPr>
            <a:r>
              <a:rPr>
                <a:latin typeface="黑体" panose="02010609060101010101" charset="-122"/>
                <a:ea typeface="黑体" panose="02010609060101010101" charset="-122"/>
                <a:cs typeface="黑体" panose="02010609060101010101" charset="-122"/>
                <a:sym typeface="黑体" panose="02010609060101010101" charset="-122"/>
              </a:rPr>
              <a:t>2022年济宁市国资委依申请公开办理情况柱状图</a:t>
            </a:r>
            <a:endParaRPr>
              <a:latin typeface="黑体" panose="02010609060101010101" charset="-122"/>
              <a:ea typeface="黑体" panose="02010609060101010101" charset="-122"/>
              <a:cs typeface="黑体" panose="02010609060101010101" charset="-122"/>
              <a:sym typeface="黑体" panose="02010609060101010101" charset="-122"/>
            </a:endParaRPr>
          </a:p>
        </c:rich>
      </c:tx>
      <c:layout>
        <c:manualLayout>
          <c:xMode val="edge"/>
          <c:yMode val="edge"/>
          <c:x val="0.115167171967111"/>
          <c:y val="0.0112063046244657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0727374301675978"/>
          <c:y val="0.205806971144584"/>
          <c:w val="0.886108007448789"/>
          <c:h val="0.69926682959342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[工作簿1]Sheet1!$B$1</c:f>
              <c:strCache>
                <c:ptCount val="1"/>
                <c:pt idx="0">
                  <c:v>2021年度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</c:dPt>
          <c:dLbls>
            <c:delete val="1"/>
          </c:dLbls>
          <c:cat>
            <c:strRef>
              <c:f>[工作簿1]Sheet1!$A$2:$A$3</c:f>
              <c:strCache>
                <c:ptCount val="2"/>
                <c:pt idx="0">
                  <c:v>收到数量</c:v>
                </c:pt>
                <c:pt idx="1">
                  <c:v>办结数量</c:v>
                </c:pt>
              </c:strCache>
            </c:strRef>
          </c:cat>
          <c:val>
            <c:numRef>
              <c:f>[工作簿1]Sheet1!$B$2:$B$3</c:f>
              <c:numCache>
                <c:formatCode>General</c:formatCode>
                <c:ptCount val="2"/>
                <c:pt idx="0">
                  <c:v>2</c:v>
                </c:pt>
                <c:pt idx="1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84413510"/>
        <c:axId val="958200260"/>
      </c:barChart>
      <c:catAx>
        <c:axId val="684413510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黑体" panose="02010609060101010101" charset="-122"/>
                <a:ea typeface="黑体" panose="02010609060101010101" charset="-122"/>
                <a:cs typeface="黑体" panose="02010609060101010101" charset="-122"/>
                <a:sym typeface="黑体" panose="02010609060101010101" charset="-122"/>
              </a:defRPr>
            </a:pPr>
          </a:p>
        </c:txPr>
        <c:crossAx val="958200260"/>
        <c:crosses val="autoZero"/>
        <c:auto val="1"/>
        <c:lblAlgn val="ctr"/>
        <c:lblOffset val="100"/>
        <c:noMultiLvlLbl val="0"/>
      </c:catAx>
      <c:valAx>
        <c:axId val="9582002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黑体" panose="02010609060101010101" charset="-122"/>
                <a:ea typeface="黑体" panose="02010609060101010101" charset="-122"/>
                <a:cs typeface="黑体" panose="02010609060101010101" charset="-122"/>
                <a:sym typeface="黑体" panose="02010609060101010101" charset="-122"/>
              </a:defRPr>
            </a:pPr>
          </a:p>
        </c:txPr>
        <c:crossAx val="684413510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>
          <a:latin typeface="黑体" panose="02010609060101010101" charset="-122"/>
          <a:ea typeface="黑体" panose="02010609060101010101" charset="-122"/>
          <a:cs typeface="黑体" panose="02010609060101010101" charset="-122"/>
          <a:sym typeface="黑体" panose="02010609060101010101" charset="-122"/>
        </a:defRPr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2640</Words>
  <Characters>2796</Characters>
  <Lines>0</Lines>
  <Paragraphs>0</Paragraphs>
  <TotalTime>0</TotalTime>
  <ScaleCrop>false</ScaleCrop>
  <LinksUpToDate>false</LinksUpToDate>
  <CharactersWithSpaces>2949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2022-01-12T00:38:00Z</dcterms:created>
  <dc:creator>Administrator</dc:creator>
  <cp:lastModifiedBy>Administrator</cp:lastModifiedBy>
  <cp:lastPrinted>2023-01-30T00:53:00Z</cp:lastPrinted>
  <dcterms:modified xsi:type="dcterms:W3CDTF">2023-02-09T08:52:59Z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97BAED7A9E214CB69EF59FE8580464B1</vt:lpwstr>
  </property>
</Properties>
</file>