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楷体简体" w:hAnsi="方正楷体简体" w:eastAsia="方正楷体简体" w:cs="方正楷体简体"/>
          <w:b w:val="0"/>
          <w:bCs w:val="0"/>
          <w:sz w:val="32"/>
          <w:szCs w:val="40"/>
          <w:lang w:val="en-US" w:eastAsia="zh-CN"/>
        </w:rPr>
      </w:pPr>
      <w:r>
        <w:rPr>
          <w:rFonts w:hint="eastAsia" w:ascii="方正楷体简体" w:hAnsi="方正楷体简体" w:eastAsia="方正楷体简体" w:cs="方正楷体简体"/>
          <w:b w:val="0"/>
          <w:bCs w:val="0"/>
          <w:sz w:val="32"/>
          <w:szCs w:val="40"/>
          <w:lang w:val="en-US" w:eastAsia="zh-CN"/>
        </w:rPr>
        <w:t xml:space="preserve">            </w:t>
      </w:r>
    </w:p>
    <w:p>
      <w:pPr>
        <w:rPr>
          <w:rFonts w:hint="eastAsia" w:ascii="方正楷体简体" w:hAnsi="方正楷体简体" w:eastAsia="方正楷体简体" w:cs="方正楷体简体"/>
          <w:b w:val="0"/>
          <w:bCs w:val="0"/>
          <w:sz w:val="32"/>
          <w:szCs w:val="40"/>
          <w:lang w:val="en-US" w:eastAsia="zh-CN"/>
        </w:rPr>
      </w:pPr>
    </w:p>
    <w:p>
      <w:pPr>
        <w:jc w:val="center"/>
        <w:rPr>
          <w:rFonts w:hint="eastAsia" w:ascii="方正小标宋简体" w:hAnsi="方正小标宋简体" w:eastAsia="方正小标宋简体" w:cs="方正小标宋简体"/>
          <w:b w:val="0"/>
          <w:bCs w:val="0"/>
          <w:sz w:val="60"/>
          <w:szCs w:val="60"/>
          <w:lang w:val="en-US" w:eastAsia="zh-CN"/>
        </w:rPr>
      </w:pPr>
      <w:r>
        <w:rPr>
          <w:rFonts w:hint="eastAsia" w:ascii="方正小标宋简体" w:hAnsi="方正小标宋简体" w:eastAsia="方正小标宋简体" w:cs="方正小标宋简体"/>
          <w:b w:val="0"/>
          <w:bCs w:val="0"/>
          <w:sz w:val="60"/>
          <w:szCs w:val="60"/>
          <w:lang w:val="en-US" w:eastAsia="zh-CN"/>
        </w:rPr>
        <w:t>中华人民共和国行政处罚法</w:t>
      </w:r>
    </w:p>
    <w:p>
      <w:pPr>
        <w:jc w:val="center"/>
        <w:rPr>
          <w:rFonts w:hint="eastAsia" w:ascii="方正小标宋简体" w:hAnsi="方正小标宋简体" w:eastAsia="方正小标宋简体" w:cs="方正小标宋简体"/>
          <w:b w:val="0"/>
          <w:bCs w:val="0"/>
          <w:sz w:val="60"/>
          <w:szCs w:val="60"/>
          <w:lang w:val="en-US" w:eastAsia="zh-CN"/>
        </w:rPr>
      </w:pPr>
      <w:r>
        <w:rPr>
          <w:rFonts w:hint="eastAsia" w:ascii="方正小标宋简体" w:hAnsi="方正小标宋简体" w:eastAsia="方正小标宋简体" w:cs="方正小标宋简体"/>
          <w:b w:val="0"/>
          <w:bCs w:val="0"/>
          <w:sz w:val="60"/>
          <w:szCs w:val="60"/>
          <w:lang w:val="en-US" w:eastAsia="zh-CN"/>
        </w:rPr>
        <w:t>施行通用指引</w:t>
      </w:r>
    </w:p>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（2021年修订）</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sectPr>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黑体简体" w:hAnsi="方正黑体简体" w:eastAsia="方正黑体简体" w:cs="方正黑体简体"/>
          <w:b w:val="0"/>
          <w:bCs w:val="0"/>
          <w:spacing w:val="-11"/>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sectPr>
          <w:footerReference r:id="rId3" w:type="default"/>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36"/>
          <w:szCs w:val="36"/>
          <w:highlight w:val="none"/>
          <w:lang w:val="en-US" w:eastAsia="zh-CN"/>
        </w:rPr>
      </w:pPr>
      <w:r>
        <w:rPr>
          <w:rFonts w:hint="eastAsia" w:ascii="方正小标宋简体" w:hAnsi="方正小标宋简体" w:eastAsia="方正小标宋简体" w:cs="方正小标宋简体"/>
          <w:b w:val="0"/>
          <w:bCs w:val="0"/>
          <w:sz w:val="36"/>
          <w:szCs w:val="36"/>
          <w:highlight w:val="none"/>
          <w:lang w:val="en-US" w:eastAsia="zh-CN"/>
        </w:rPr>
        <w:t>目  录</w:t>
      </w:r>
    </w:p>
    <w:p>
      <w:pPr>
        <w:jc w:val="center"/>
        <w:rPr>
          <w:rFonts w:hint="eastAsia" w:ascii="方正小标宋简体" w:hAnsi="方正小标宋简体" w:eastAsia="方正小标宋简体" w:cs="方正小标宋简体"/>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sz w:val="30"/>
          <w:szCs w:val="30"/>
          <w:highlight w:val="none"/>
          <w:lang w:val="en-US" w:eastAsia="zh-CN"/>
        </w:rPr>
      </w:pPr>
      <w:r>
        <w:rPr>
          <w:rFonts w:hint="eastAsia" w:ascii="黑体" w:hAnsi="黑体" w:eastAsia="黑体" w:cs="黑体"/>
          <w:b w:val="0"/>
          <w:bCs w:val="0"/>
          <w:sz w:val="32"/>
          <w:szCs w:val="32"/>
          <w:highlight w:val="none"/>
          <w:lang w:val="en-US" w:eastAsia="zh-CN"/>
        </w:rPr>
        <w:t xml:space="preserve"> </w:t>
      </w:r>
      <w:r>
        <w:rPr>
          <w:rFonts w:hint="eastAsia" w:ascii="黑体" w:hAnsi="黑体" w:eastAsia="黑体" w:cs="黑体"/>
          <w:b w:val="0"/>
          <w:bCs w:val="0"/>
          <w:sz w:val="30"/>
          <w:szCs w:val="30"/>
          <w:highlight w:val="none"/>
          <w:lang w:val="en-US" w:eastAsia="zh-CN"/>
        </w:rPr>
        <w:t xml:space="preserve"> 《中华人民共和国行政处罚法》</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（2021年修订）</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1.《中华人民共和国行政处罚法》导读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黑体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2.《中华人民共和国行政处罚法》全文</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3.关于《中华人民共和国行政处罚法（修订草案）》的说明</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25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4.全国人民代表大会宪法和法律委员会关于《中华人民共和国行政处罚法（修订草案）》修改情况的汇报</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31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5.全国人民代表大会宪法和法律委员会关于《中华人民共和国行政处罚法（修订草案）》审议结果的报告</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34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6.全国人民代表大会宪法和法律委员会关于《中华人民共和国行政处罚法（修订草案三次审议稿）》修改意见的报告</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38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pacing w:val="-11"/>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7.</w:t>
      </w:r>
      <w:r>
        <w:rPr>
          <w:rFonts w:hint="default" w:ascii="Times New Roman" w:hAnsi="Times New Roman" w:eastAsia="方正仿宋简体" w:cs="Times New Roman"/>
          <w:b w:val="0"/>
          <w:bCs w:val="0"/>
          <w:spacing w:val="0"/>
          <w:sz w:val="24"/>
          <w:szCs w:val="24"/>
          <w:highlight w:val="none"/>
          <w:lang w:val="en-US" w:eastAsia="zh-CN"/>
        </w:rPr>
        <w:t>《中华人民共和国行政处罚法》新旧对比与要点解读</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rPr>
        <w:t>第一章</w:t>
      </w:r>
      <w:r>
        <w:rPr>
          <w:rFonts w:hint="default" w:ascii="Times New Roman" w:hAnsi="Times New Roman" w:eastAsia="方正仿宋简体" w:cs="Times New Roman"/>
          <w:b w:val="0"/>
          <w:bCs w:val="0"/>
          <w:sz w:val="24"/>
          <w:szCs w:val="24"/>
          <w:highlight w:val="none"/>
          <w:lang w:val="en-US" w:eastAsia="zh-CN"/>
        </w:rPr>
        <w:t xml:space="preserve"> </w:t>
      </w:r>
      <w:r>
        <w:rPr>
          <w:rFonts w:hint="default" w:ascii="Times New Roman" w:hAnsi="Times New Roman" w:eastAsia="方正仿宋简体" w:cs="Times New Roman"/>
          <w:b w:val="0"/>
          <w:bCs w:val="0"/>
          <w:sz w:val="24"/>
          <w:szCs w:val="24"/>
          <w:highlight w:val="none"/>
        </w:rPr>
        <w:t>总则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第一条 【立法目的】</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第二条 【行政处罚的定义】</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第三条 【适用范围】</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第四条 【适用对象】</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第五条 【适用原则】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第六条 【适用目的】</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第七条 【被处罚者权利】</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第八条 【被处罚者承担的其他法律责任】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第二章 行政处罚的种类和设定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第九条     【处罚的种类】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第十条     【法律对处罚的设定】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49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第十一条   【行政法规对处罚的设定】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第十二条   【地方性法规对处罚的设定】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第十三条   【国务院部门规章对处罚的设定】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第十四条   【地方政府规章对处罚的设定】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第十五条   【对行政处罚定期评估】</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第十六条   【其他规范性文件不得设定处罚】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55</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第三章 行政处罚的实施机关</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第十七条   【处罚的实施】</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第十八条   【处罚的权限】</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第十九条   【授权实施处罚】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第二十条   【委托实施处罚】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第二十一条 【受托组织的条件】</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59</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第四章 行政处罚的管辖和适用</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第二十二条 【地域管辖】</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59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第二十三条 【级别管辖】</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第二十四条 【行政处罚权的承接】</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第二十五条 【共同管辖及指定管辖】</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第二十六条 【行政协助】</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第二十七条 【刑事责任优先】</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第二十八条 【责令改正与责令退赔】</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第二十九条 【一事不二罚】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第三十条   【未成年人处罚的限制】</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第三十一条 【</w:t>
      </w:r>
      <w:r>
        <w:rPr>
          <w:rFonts w:hint="default" w:ascii="Times New Roman" w:hAnsi="Times New Roman" w:eastAsia="方正仿宋简体" w:cs="Times New Roman"/>
          <w:b w:val="0"/>
          <w:bCs w:val="0"/>
          <w:spacing w:val="-17"/>
          <w:w w:val="90"/>
          <w:sz w:val="24"/>
          <w:szCs w:val="24"/>
          <w:highlight w:val="none"/>
          <w:lang w:val="en-US" w:eastAsia="zh-CN"/>
        </w:rPr>
        <w:t>精神病人及限制性精神病人处罚的限制</w:t>
      </w:r>
      <w:r>
        <w:rPr>
          <w:rFonts w:hint="default" w:ascii="Times New Roman" w:hAnsi="Times New Roman" w:eastAsia="方正仿宋简体" w:cs="Times New Roman"/>
          <w:b w:val="0"/>
          <w:bCs w:val="0"/>
          <w:sz w:val="24"/>
          <w:szCs w:val="24"/>
          <w:highlight w:val="none"/>
          <w:lang w:val="en-US" w:eastAsia="zh-CN"/>
        </w:rPr>
        <w:t>】</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第三十二条 【从轻、减轻处罚的情形】</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第三十三条 【不予行政处罚的条件】</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69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第三十四条 【行政处罚裁量基准】</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第三十五条 【刑罚的折抵】</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第三十六条 【处罚的时效】</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第三十七条 【法不溯及既往】</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第三十八条 【行政处罚无效】</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73</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第五章 行政处罚的决定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74</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第一节 一般规定</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74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第三十九条 【信息公示】</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第四十条   【处罚的前提】</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第四十一条 【信息化手段的运用】</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w:t>
      </w:r>
      <w:r>
        <w:rPr>
          <w:rFonts w:hint="eastAsia" w:ascii="Times New Roman" w:hAnsi="Times New Roman" w:eastAsia="方正仿宋简体" w:cs="Times New Roman"/>
          <w:b w:val="0"/>
          <w:bCs w:val="0"/>
          <w:sz w:val="24"/>
          <w:szCs w:val="24"/>
          <w:highlight w:val="none"/>
          <w:lang w:val="en-US" w:eastAsia="zh-CN"/>
        </w:rPr>
        <w:t>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第四十二条 【执法人员要求】</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第四十三条 【回避】</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第四十四条 【告知义务】</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第四十五条 【当事人的陈述权和申辩权】</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79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第四十六条 【证据】</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第四十七条 【执法全过程记录制度】</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第四十八条 【行政处罚决定公示制度】</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第四十九条 【应急处罚】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第五十条   【保密义务】</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83</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第二节 简易程序</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83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第五十一条 【当场处罚的情形】</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第五十二条 【当场处罚的程序】</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第五十三条 【当场处罚的履行】</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85</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第三节 普通程序</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85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第五十四条 【调查取证与立案】</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第五十五条 【出示证件与协助调查】</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第五十六条 【证据的收集原则】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第五十七条 【处罚决定】</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第五十八条 【法制审核】</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89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第五十九条 【行政处罚决定书的内容】</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第六十条   【决定期限】</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第六十一条 【送达】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第六十二条 【处罚的成立条件】</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94</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第四节 听证程序</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94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第六十三条 【听证权】</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第六十四条 【听证程序】</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第六十五条 【听证笔录】</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98</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第六章 行政处罚的执行</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第六十六条 【履行义务与分期履行】</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第六十七条 【罚缴分离原则】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第六十八条 【当场收缴罚款范围】</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99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第六十九条 【边远地区当场收缴罚款】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第七十条   【罚款票据】</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jc w:val="distribute"/>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 xml:space="preserve">第七十一条 【罚款交纳期】 </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jc w:val="distribute"/>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第七十二条 【执行措施】</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第七十三条 【不停止执行及暂缓执行】</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第七十四条 【没收的非法财物的处理】</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w:t>
      </w:r>
      <w:r>
        <w:rPr>
          <w:rFonts w:hint="eastAsia" w:ascii="Times New Roman" w:hAnsi="Times New Roman" w:eastAsia="方正仿宋简体" w:cs="Times New Roman"/>
          <w:b w:val="0"/>
          <w:bCs w:val="0"/>
          <w:sz w:val="24"/>
          <w:szCs w:val="24"/>
          <w:highlight w:val="none"/>
          <w:lang w:val="en-US" w:eastAsia="zh-CN"/>
        </w:rPr>
        <w:t>4</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第七十五条 【监督检查】</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w:t>
      </w:r>
      <w:r>
        <w:rPr>
          <w:rFonts w:hint="eastAsia" w:ascii="Times New Roman" w:hAnsi="Times New Roman" w:eastAsia="方正仿宋简体" w:cs="Times New Roman"/>
          <w:b w:val="0"/>
          <w:bCs w:val="0"/>
          <w:sz w:val="24"/>
          <w:szCs w:val="24"/>
          <w:highlight w:val="none"/>
          <w:lang w:val="en-US" w:eastAsia="zh-CN"/>
        </w:rPr>
        <w:t>5</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第七章 法律责任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第七十六条 【上级行政机关的监督】</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第七十七条 【当事人的拒绝处罚权及检举权】</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第七十八条 【自行收缴罚款的处理】</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第七十九条 【私分罚没财物的处理】</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第八十条   【</w:t>
      </w:r>
      <w:r>
        <w:rPr>
          <w:rFonts w:hint="default" w:ascii="Times New Roman" w:hAnsi="Times New Roman" w:eastAsia="方正仿宋简体" w:cs="Times New Roman"/>
          <w:b w:val="0"/>
          <w:bCs w:val="0"/>
          <w:spacing w:val="-17"/>
          <w:w w:val="90"/>
          <w:sz w:val="24"/>
          <w:szCs w:val="24"/>
          <w:highlight w:val="none"/>
          <w:lang w:val="en-US" w:eastAsia="zh-CN"/>
        </w:rPr>
        <w:t>行政机关的赔偿责任及对有关人员的处理</w:t>
      </w:r>
      <w:r>
        <w:rPr>
          <w:rFonts w:hint="default" w:ascii="Times New Roman" w:hAnsi="Times New Roman" w:eastAsia="方正仿宋简体" w:cs="Times New Roman"/>
          <w:b w:val="0"/>
          <w:bCs w:val="0"/>
          <w:sz w:val="24"/>
          <w:szCs w:val="24"/>
          <w:highlight w:val="none"/>
          <w:lang w:val="en-US" w:eastAsia="zh-CN"/>
        </w:rPr>
        <w:t>】</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w:t>
      </w:r>
      <w:r>
        <w:rPr>
          <w:rFonts w:hint="eastAsia" w:ascii="Times New Roman" w:hAnsi="Times New Roman" w:eastAsia="方正仿宋简体" w:cs="Times New Roman"/>
          <w:b w:val="0"/>
          <w:bCs w:val="0"/>
          <w:sz w:val="24"/>
          <w:szCs w:val="24"/>
          <w:highlight w:val="none"/>
          <w:lang w:val="en-US" w:eastAsia="zh-CN"/>
        </w:rPr>
        <w:t>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第八十一条 【</w:t>
      </w:r>
      <w:r>
        <w:rPr>
          <w:rFonts w:hint="default" w:ascii="Times New Roman" w:hAnsi="Times New Roman" w:eastAsia="方正仿宋简体" w:cs="Times New Roman"/>
          <w:b w:val="0"/>
          <w:bCs w:val="0"/>
          <w:spacing w:val="-17"/>
          <w:w w:val="90"/>
          <w:sz w:val="24"/>
          <w:szCs w:val="24"/>
          <w:highlight w:val="none"/>
          <w:lang w:val="en-US" w:eastAsia="zh-CN"/>
        </w:rPr>
        <w:t>违法实行检查或执行措施的赔偿责任</w:t>
      </w:r>
      <w:r>
        <w:rPr>
          <w:rFonts w:hint="default" w:ascii="Times New Roman" w:hAnsi="Times New Roman" w:eastAsia="方正仿宋简体" w:cs="Times New Roman"/>
          <w:b w:val="0"/>
          <w:bCs w:val="0"/>
          <w:sz w:val="24"/>
          <w:szCs w:val="24"/>
          <w:highlight w:val="none"/>
          <w:lang w:val="en-US" w:eastAsia="zh-CN"/>
        </w:rPr>
        <w:t>】</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109</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第八十二条 【以行代刑的责任】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w:t>
      </w:r>
      <w:r>
        <w:rPr>
          <w:rFonts w:hint="eastAsia" w:ascii="Times New Roman" w:hAnsi="Times New Roman" w:eastAsia="方正仿宋简体" w:cs="Times New Roman"/>
          <w:b w:val="0"/>
          <w:bCs w:val="0"/>
          <w:sz w:val="24"/>
          <w:szCs w:val="24"/>
          <w:highlight w:val="none"/>
          <w:lang w:val="en-US" w:eastAsia="zh-CN"/>
        </w:rPr>
        <w:t>10</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第八十三条 【失职责任】</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110</w:t>
      </w:r>
    </w:p>
    <w:p>
      <w:pPr>
        <w:keepNext w:val="0"/>
        <w:keepLines w:val="0"/>
        <w:pageBreakBefore w:val="0"/>
        <w:widowControl w:val="0"/>
        <w:tabs>
          <w:tab w:val="right" w:leader="dot" w:pos="7560"/>
        </w:tabs>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第八章 附则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第八十四条 【属地原则】</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第八十五条 【工作日】</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111</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第八十六条 【施行日期】</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112</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600" w:lineRule="exact"/>
        <w:textAlignment w:val="auto"/>
        <w:rPr>
          <w:rFonts w:hint="default" w:ascii="Times New Roman" w:hAnsi="Times New Roman" w:eastAsia="方正黑体简体" w:cs="Times New Roman"/>
          <w:b/>
          <w:bCs/>
          <w:color w:val="auto"/>
          <w:sz w:val="30"/>
          <w:szCs w:val="30"/>
          <w:highlight w:val="none"/>
          <w:lang w:val="en-US" w:eastAsia="zh-CN"/>
        </w:rPr>
      </w:pPr>
    </w:p>
    <w:p>
      <w:pPr>
        <w:keepNext w:val="0"/>
        <w:keepLines w:val="0"/>
        <w:pageBreakBefore w:val="0"/>
        <w:widowControl w:val="0"/>
        <w:tabs>
          <w:tab w:val="right" w:leader="dot" w:pos="7560"/>
        </w:tabs>
        <w:kinsoku/>
        <w:wordWrap/>
        <w:overflowPunct/>
        <w:topLinePunct w:val="0"/>
        <w:autoSpaceDE/>
        <w:autoSpaceDN/>
        <w:bidi w:val="0"/>
        <w:snapToGrid/>
        <w:jc w:val="center"/>
        <w:textAlignment w:val="auto"/>
        <w:rPr>
          <w:rFonts w:hint="default" w:ascii="Times New Roman" w:hAnsi="Times New Roman" w:eastAsia="黑体" w:cs="Times New Roman"/>
          <w:b w:val="0"/>
          <w:bCs w:val="0"/>
          <w:sz w:val="30"/>
          <w:szCs w:val="30"/>
          <w:highlight w:val="none"/>
          <w:lang w:val="en-US" w:eastAsia="zh-CN"/>
        </w:rPr>
      </w:pPr>
      <w:r>
        <w:rPr>
          <w:rFonts w:hint="default" w:ascii="Times New Roman" w:hAnsi="Times New Roman" w:eastAsia="黑体" w:cs="Times New Roman"/>
          <w:b w:val="0"/>
          <w:bCs w:val="0"/>
          <w:sz w:val="30"/>
          <w:szCs w:val="30"/>
          <w:highlight w:val="none"/>
          <w:lang w:val="en-US" w:eastAsia="zh-CN"/>
        </w:rPr>
        <w:t>行政处罚流程图</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1.行政处罚工作流程图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2.行政处罚听证流程图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116</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3.重大行政执法决定法制审核流程图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117</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方正仿宋简体" w:cs="Times New Roman"/>
          <w:b w:val="0"/>
          <w:bCs w:val="0"/>
          <w:sz w:val="24"/>
          <w:szCs w:val="24"/>
          <w:highlight w:val="none"/>
          <w:lang w:val="en-US" w:eastAsia="zh-CN"/>
        </w:rPr>
      </w:pPr>
      <w:r>
        <w:rPr>
          <w:rFonts w:hint="default" w:ascii="Times New Roman" w:hAnsi="Times New Roman" w:eastAsia="方正仿宋简体" w:cs="Times New Roman"/>
          <w:b w:val="0"/>
          <w:bCs w:val="0"/>
          <w:sz w:val="24"/>
          <w:szCs w:val="24"/>
          <w:highlight w:val="none"/>
          <w:lang w:val="en-US" w:eastAsia="zh-CN"/>
        </w:rPr>
        <w:t>4.当场收缴罚款流程图</w:t>
      </w:r>
      <w:r>
        <w:rPr>
          <w:rFonts w:hint="default" w:ascii="Times New Roman" w:hAnsi="Times New Roman" w:eastAsia="方正仿宋简体" w:cs="Times New Roman"/>
          <w:b w:val="0"/>
          <w:bCs w:val="0"/>
          <w:sz w:val="24"/>
          <w:szCs w:val="24"/>
          <w:highlight w:val="none"/>
          <w:lang w:val="en-US" w:eastAsia="zh-CN"/>
        </w:rPr>
        <w:tab/>
      </w:r>
      <w:r>
        <w:rPr>
          <w:rFonts w:hint="default" w:ascii="Times New Roman" w:hAnsi="Times New Roman" w:eastAsia="方正仿宋简体" w:cs="Times New Roman"/>
          <w:b w:val="0"/>
          <w:bCs w:val="0"/>
          <w:sz w:val="24"/>
          <w:szCs w:val="24"/>
          <w:highlight w:val="none"/>
          <w:lang w:val="en-US" w:eastAsia="zh-CN"/>
        </w:rPr>
        <w:t>118</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600" w:lineRule="exact"/>
        <w:textAlignment w:val="auto"/>
        <w:rPr>
          <w:rFonts w:hint="default" w:ascii="Times New Roman" w:hAnsi="Times New Roman" w:eastAsia="方正黑体简体" w:cs="Times New Roman"/>
          <w:b w:val="0"/>
          <w:bCs w:val="0"/>
          <w:color w:val="auto"/>
          <w:sz w:val="30"/>
          <w:szCs w:val="30"/>
          <w:highlight w:val="none"/>
          <w:lang w:val="en-US" w:eastAsia="zh-CN"/>
        </w:rPr>
      </w:pPr>
    </w:p>
    <w:p>
      <w:pPr>
        <w:keepNext w:val="0"/>
        <w:keepLines w:val="0"/>
        <w:pageBreakBefore w:val="0"/>
        <w:widowControl w:val="0"/>
        <w:tabs>
          <w:tab w:val="right" w:leader="dot" w:pos="7560"/>
        </w:tabs>
        <w:kinsoku/>
        <w:wordWrap/>
        <w:overflowPunct/>
        <w:topLinePunct w:val="0"/>
        <w:autoSpaceDE/>
        <w:autoSpaceDN/>
        <w:bidi w:val="0"/>
        <w:snapToGrid/>
        <w:jc w:val="center"/>
        <w:textAlignment w:val="auto"/>
        <w:rPr>
          <w:rFonts w:hint="default" w:ascii="Times New Roman" w:hAnsi="Times New Roman" w:eastAsia="黑体" w:cs="Times New Roman"/>
          <w:b w:val="0"/>
          <w:bCs w:val="0"/>
          <w:sz w:val="30"/>
          <w:szCs w:val="30"/>
          <w:highlight w:val="none"/>
          <w:lang w:val="en-US" w:eastAsia="zh-CN"/>
        </w:rPr>
      </w:pPr>
      <w:r>
        <w:rPr>
          <w:rFonts w:hint="default" w:ascii="Times New Roman" w:hAnsi="Times New Roman" w:eastAsia="黑体" w:cs="Times New Roman"/>
          <w:b w:val="0"/>
          <w:bCs w:val="0"/>
          <w:sz w:val="30"/>
          <w:szCs w:val="30"/>
          <w:highlight w:val="none"/>
          <w:lang w:val="en-US" w:eastAsia="zh-CN"/>
        </w:rPr>
        <w:t>行政处罚文书示范文本</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w:t>
      </w:r>
      <w:r>
        <w:rPr>
          <w:rFonts w:hint="default" w:ascii="Times New Roman" w:hAnsi="Times New Roman" w:eastAsia="方正仿宋简体" w:cs="Times New Roman"/>
          <w:bCs/>
          <w:sz w:val="24"/>
          <w:szCs w:val="24"/>
          <w:highlight w:val="none"/>
        </w:rPr>
        <w:t>案卷封皮</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121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rPr>
        <mc:AlternateContent>
          <mc:Choice Requires="wps">
            <w:drawing>
              <wp:anchor distT="0" distB="0" distL="114300" distR="114300" simplePos="0" relativeHeight="251663360" behindDoc="0" locked="0" layoutInCell="1" allowOverlap="1">
                <wp:simplePos x="0" y="0"/>
                <wp:positionH relativeFrom="column">
                  <wp:posOffset>7000875</wp:posOffset>
                </wp:positionH>
                <wp:positionV relativeFrom="paragraph">
                  <wp:posOffset>297180</wp:posOffset>
                </wp:positionV>
                <wp:extent cx="914400" cy="914400"/>
                <wp:effectExtent l="4445" t="4445" r="14605" b="14605"/>
                <wp:wrapNone/>
                <wp:docPr id="66" name="椭圆 66"/>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51.25pt;margin-top:23.4pt;height:72pt;width:72pt;z-index:251663360;mso-width-relative:page;mso-height-relative:page;" fillcolor="#FFFFFF" filled="t" stroked="t" coordsize="21600,21600" o:gfxdata="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jVqedkAAAAMAQAADwAAAAAAAAABACAAAAAiAAAAZHJzL2Rvd25yZXYueG1sUEsB&#10;AhQAFAAAAAgAh07iQG24FGn0AQAAGAQAAA4AAAAAAAAAAQAgAAAAKAEAAGRycy9lMm9Eb2MueG1s&#10;UEsFBgAAAAAGAAYAWQEAAI4FAAAAAA==&#10;">
                <v:fill on="t" focussize="0,0"/>
                <v:stroke color="#000000" joinstyle="round"/>
                <v:imagedata o:title=""/>
                <o:lock v:ext="edit" aspectratio="f"/>
              </v:shape>
            </w:pict>
          </mc:Fallback>
        </mc:AlternateContent>
      </w:r>
      <w:r>
        <w:rPr>
          <w:rFonts w:hint="default" w:ascii="Times New Roman" w:hAnsi="Times New Roman" w:eastAsia="方正仿宋简体" w:cs="Times New Roman"/>
          <w:bCs/>
          <w:sz w:val="24"/>
          <w:szCs w:val="24"/>
          <w:highlight w:val="none"/>
          <w:lang w:val="en-US" w:eastAsia="zh-CN"/>
        </w:rPr>
        <w:t>2.</w:t>
      </w:r>
      <w:r>
        <w:rPr>
          <w:rFonts w:hint="default" w:ascii="Times New Roman" w:hAnsi="Times New Roman" w:eastAsia="方正仿宋简体" w:cs="Times New Roman"/>
          <w:bCs/>
          <w:sz w:val="24"/>
          <w:szCs w:val="24"/>
          <w:highlight w:val="none"/>
        </w:rPr>
        <w:t>案卷目录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122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w:t>
      </w:r>
      <w:r>
        <w:rPr>
          <w:rFonts w:hint="default" w:ascii="Times New Roman" w:hAnsi="Times New Roman" w:eastAsia="方正仿宋简体" w:cs="Times New Roman"/>
          <w:bCs/>
          <w:sz w:val="24"/>
          <w:szCs w:val="24"/>
          <w:highlight w:val="none"/>
        </w:rPr>
        <w:t>行政处罚立案审批表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123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4.</w:t>
      </w:r>
      <w:r>
        <w:rPr>
          <w:rFonts w:hint="default" w:ascii="Times New Roman" w:hAnsi="Times New Roman" w:eastAsia="方正仿宋简体" w:cs="Times New Roman"/>
          <w:bCs/>
          <w:sz w:val="24"/>
          <w:szCs w:val="24"/>
          <w:highlight w:val="none"/>
        </w:rPr>
        <w:t>现场检查（勘验）笔录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124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5.</w:t>
      </w:r>
      <w:r>
        <w:rPr>
          <w:rFonts w:hint="default" w:ascii="Times New Roman" w:hAnsi="Times New Roman" w:eastAsia="方正仿宋简体" w:cs="Times New Roman"/>
          <w:bCs/>
          <w:sz w:val="24"/>
          <w:szCs w:val="24"/>
          <w:highlight w:val="none"/>
        </w:rPr>
        <w:t>现场检查（勘验）影像证据</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126</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6.</w:t>
      </w:r>
      <w:r>
        <w:rPr>
          <w:rFonts w:hint="default" w:ascii="Times New Roman" w:hAnsi="Times New Roman" w:eastAsia="方正仿宋简体" w:cs="Times New Roman"/>
          <w:sz w:val="24"/>
          <w:szCs w:val="24"/>
          <w:highlight w:val="none"/>
        </w:rPr>
        <w:t>调查（询问）笔录</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127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7.</w:t>
      </w:r>
      <w:r>
        <w:rPr>
          <w:rFonts w:hint="default" w:ascii="Times New Roman" w:hAnsi="Times New Roman" w:eastAsia="方正仿宋简体" w:cs="Times New Roman"/>
          <w:sz w:val="24"/>
          <w:szCs w:val="24"/>
          <w:highlight w:val="none"/>
        </w:rPr>
        <w:t>责令停止违法行为通知书</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129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8.</w:t>
      </w:r>
      <w:r>
        <w:rPr>
          <w:rFonts w:hint="default" w:ascii="Times New Roman" w:hAnsi="Times New Roman" w:eastAsia="方正仿宋简体" w:cs="Times New Roman"/>
          <w:sz w:val="24"/>
          <w:szCs w:val="24"/>
          <w:highlight w:val="none"/>
        </w:rPr>
        <w:t>责令（限期）改正通知书</w:t>
      </w:r>
      <w:r>
        <w:rPr>
          <w:rFonts w:hint="default" w:ascii="Times New Roman" w:hAnsi="Times New Roman" w:eastAsia="方正仿宋简体" w:cs="Times New Roman"/>
          <w:sz w:val="24"/>
          <w:szCs w:val="24"/>
          <w:highlight w:val="none"/>
          <w:lang w:val="en-US" w:eastAsia="zh-CN"/>
        </w:rPr>
        <w:tab/>
      </w:r>
      <w:r>
        <w:rPr>
          <w:rFonts w:hint="default" w:ascii="Times New Roman" w:hAnsi="Times New Roman" w:eastAsia="方正仿宋简体" w:cs="Times New Roman"/>
          <w:sz w:val="24"/>
          <w:szCs w:val="24"/>
          <w:highlight w:val="none"/>
          <w:lang w:val="en-US" w:eastAsia="zh-CN"/>
        </w:rPr>
        <w:t>130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9.</w:t>
      </w:r>
      <w:r>
        <w:rPr>
          <w:rFonts w:hint="default" w:ascii="Times New Roman" w:hAnsi="Times New Roman" w:eastAsia="方正仿宋简体" w:cs="Times New Roman"/>
          <w:bCs/>
          <w:sz w:val="24"/>
          <w:szCs w:val="24"/>
          <w:highlight w:val="none"/>
        </w:rPr>
        <w:t>责令限期拆除通知书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10.</w:t>
      </w:r>
      <w:r>
        <w:rPr>
          <w:rFonts w:hint="default" w:ascii="Times New Roman" w:hAnsi="Times New Roman" w:eastAsia="方正仿宋简体" w:cs="Times New Roman"/>
          <w:bCs/>
          <w:sz w:val="24"/>
          <w:szCs w:val="24"/>
          <w:highlight w:val="none"/>
        </w:rPr>
        <w:t>抽样取证审批表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11.</w:t>
      </w:r>
      <w:r>
        <w:rPr>
          <w:rFonts w:hint="default" w:ascii="Times New Roman" w:hAnsi="Times New Roman" w:eastAsia="方正仿宋简体" w:cs="Times New Roman"/>
          <w:bCs/>
          <w:sz w:val="24"/>
          <w:szCs w:val="24"/>
          <w:highlight w:val="none"/>
        </w:rPr>
        <w:t>抽样取证通知书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12.</w:t>
      </w:r>
      <w:r>
        <w:rPr>
          <w:rFonts w:hint="default" w:ascii="Times New Roman" w:hAnsi="Times New Roman" w:eastAsia="方正仿宋简体" w:cs="Times New Roman"/>
          <w:bCs/>
          <w:sz w:val="24"/>
          <w:szCs w:val="24"/>
          <w:highlight w:val="none"/>
        </w:rPr>
        <w:t>抽样取证物品处理决定书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13.</w:t>
      </w:r>
      <w:r>
        <w:rPr>
          <w:rFonts w:hint="default" w:ascii="Times New Roman" w:hAnsi="Times New Roman" w:eastAsia="方正仿宋简体" w:cs="Times New Roman"/>
          <w:bCs/>
          <w:sz w:val="24"/>
          <w:szCs w:val="24"/>
          <w:highlight w:val="none"/>
        </w:rPr>
        <w:t>先行登记保存证据审批表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135</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14.</w:t>
      </w:r>
      <w:r>
        <w:rPr>
          <w:rFonts w:hint="default" w:ascii="Times New Roman" w:hAnsi="Times New Roman" w:eastAsia="方正仿宋简体" w:cs="Times New Roman"/>
          <w:bCs/>
          <w:sz w:val="24"/>
          <w:szCs w:val="24"/>
          <w:highlight w:val="none"/>
        </w:rPr>
        <w:t>先行登记保存证据通知书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136</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15.</w:t>
      </w:r>
      <w:r>
        <w:rPr>
          <w:rFonts w:hint="default" w:ascii="Times New Roman" w:hAnsi="Times New Roman" w:eastAsia="方正仿宋简体" w:cs="Times New Roman"/>
          <w:bCs/>
          <w:sz w:val="24"/>
          <w:szCs w:val="24"/>
          <w:highlight w:val="none"/>
        </w:rPr>
        <w:t>先行登记保存证据物品处理决定书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16.</w:t>
      </w:r>
      <w:r>
        <w:rPr>
          <w:rFonts w:hint="default" w:ascii="Times New Roman" w:hAnsi="Times New Roman" w:eastAsia="方正仿宋简体" w:cs="Times New Roman"/>
          <w:bCs/>
          <w:sz w:val="24"/>
          <w:szCs w:val="24"/>
          <w:highlight w:val="none"/>
        </w:rPr>
        <w:t>行政处罚事先告知书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138</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17.</w:t>
      </w:r>
      <w:r>
        <w:rPr>
          <w:rFonts w:hint="default" w:ascii="Times New Roman" w:hAnsi="Times New Roman" w:eastAsia="方正仿宋简体" w:cs="Times New Roman"/>
          <w:bCs/>
          <w:sz w:val="24"/>
          <w:szCs w:val="24"/>
          <w:highlight w:val="none"/>
        </w:rPr>
        <w:t>当事人陈述、申辩笔录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139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18.</w:t>
      </w:r>
      <w:r>
        <w:rPr>
          <w:rFonts w:hint="default" w:ascii="Times New Roman" w:hAnsi="Times New Roman" w:eastAsia="方正仿宋简体" w:cs="Times New Roman"/>
          <w:bCs/>
          <w:sz w:val="24"/>
          <w:szCs w:val="24"/>
          <w:highlight w:val="none"/>
        </w:rPr>
        <w:t>当事人陈述、申辩复核意见书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19.</w:t>
      </w:r>
      <w:r>
        <w:rPr>
          <w:rFonts w:hint="default" w:ascii="Times New Roman" w:hAnsi="Times New Roman" w:eastAsia="方正仿宋简体" w:cs="Times New Roman"/>
          <w:bCs/>
          <w:sz w:val="24"/>
          <w:szCs w:val="24"/>
          <w:highlight w:val="none"/>
        </w:rPr>
        <w:t>行政处罚听证告知书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20.</w:t>
      </w:r>
      <w:r>
        <w:rPr>
          <w:rFonts w:hint="default" w:ascii="Times New Roman" w:hAnsi="Times New Roman" w:eastAsia="方正仿宋简体" w:cs="Times New Roman"/>
          <w:bCs/>
          <w:sz w:val="24"/>
          <w:szCs w:val="24"/>
          <w:highlight w:val="none"/>
        </w:rPr>
        <w:t>行政处罚听证公告</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21.</w:t>
      </w:r>
      <w:r>
        <w:rPr>
          <w:rFonts w:hint="default" w:ascii="Times New Roman" w:hAnsi="Times New Roman" w:eastAsia="方正仿宋简体" w:cs="Times New Roman"/>
          <w:bCs/>
          <w:sz w:val="24"/>
          <w:szCs w:val="24"/>
          <w:highlight w:val="none"/>
        </w:rPr>
        <w:t>行政处罚听证通知书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22.</w:t>
      </w:r>
      <w:r>
        <w:rPr>
          <w:rFonts w:hint="default" w:ascii="Times New Roman" w:hAnsi="Times New Roman" w:eastAsia="方正仿宋简体" w:cs="Times New Roman"/>
          <w:bCs/>
          <w:sz w:val="24"/>
          <w:szCs w:val="24"/>
          <w:highlight w:val="none"/>
        </w:rPr>
        <w:t>行政处罚听证笔录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145</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23.</w:t>
      </w:r>
      <w:r>
        <w:rPr>
          <w:rFonts w:hint="default" w:ascii="Times New Roman" w:hAnsi="Times New Roman" w:eastAsia="方正仿宋简体" w:cs="Times New Roman"/>
          <w:bCs/>
          <w:sz w:val="24"/>
          <w:szCs w:val="24"/>
          <w:highlight w:val="none"/>
        </w:rPr>
        <w:t>行政处罚听证报告</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24.</w:t>
      </w:r>
      <w:r>
        <w:rPr>
          <w:rFonts w:hint="default" w:ascii="Times New Roman" w:hAnsi="Times New Roman" w:eastAsia="方正仿宋简体" w:cs="Times New Roman"/>
          <w:bCs/>
          <w:sz w:val="24"/>
          <w:szCs w:val="24"/>
          <w:highlight w:val="none"/>
        </w:rPr>
        <w:t>案件调查终结报告</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148</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25.</w:t>
      </w:r>
      <w:r>
        <w:rPr>
          <w:rFonts w:hint="default" w:ascii="Times New Roman" w:hAnsi="Times New Roman" w:eastAsia="方正仿宋简体" w:cs="Times New Roman"/>
          <w:bCs/>
          <w:sz w:val="24"/>
          <w:szCs w:val="24"/>
          <w:highlight w:val="none"/>
        </w:rPr>
        <w:t>重大行政处罚决定法制审核意见书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149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26.</w:t>
      </w:r>
      <w:r>
        <w:rPr>
          <w:rFonts w:hint="default" w:ascii="Times New Roman" w:hAnsi="Times New Roman" w:eastAsia="方正仿宋简体" w:cs="Times New Roman"/>
          <w:bCs/>
          <w:sz w:val="24"/>
          <w:szCs w:val="24"/>
          <w:highlight w:val="none"/>
        </w:rPr>
        <w:t>案件集体讨论记录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27.</w:t>
      </w:r>
      <w:r>
        <w:rPr>
          <w:rFonts w:hint="default" w:ascii="Times New Roman" w:hAnsi="Times New Roman" w:eastAsia="方正仿宋简体" w:cs="Times New Roman"/>
          <w:bCs/>
          <w:sz w:val="24"/>
          <w:szCs w:val="24"/>
          <w:highlight w:val="none"/>
        </w:rPr>
        <w:t>行政处罚决定审批表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28.</w:t>
      </w:r>
      <w:r>
        <w:rPr>
          <w:rFonts w:hint="default" w:ascii="Times New Roman" w:hAnsi="Times New Roman" w:eastAsia="方正仿宋简体" w:cs="Times New Roman"/>
          <w:bCs/>
          <w:sz w:val="24"/>
          <w:szCs w:val="24"/>
          <w:highlight w:val="none"/>
        </w:rPr>
        <w:t>行政处罚决定书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29.</w:t>
      </w:r>
      <w:r>
        <w:rPr>
          <w:rFonts w:hint="default" w:ascii="Times New Roman" w:hAnsi="Times New Roman" w:eastAsia="方正仿宋简体" w:cs="Times New Roman"/>
          <w:bCs/>
          <w:sz w:val="24"/>
          <w:szCs w:val="24"/>
          <w:highlight w:val="none"/>
        </w:rPr>
        <w:t>当场行政处罚决定书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30.</w:t>
      </w:r>
      <w:r>
        <w:rPr>
          <w:rFonts w:hint="default" w:ascii="Times New Roman" w:hAnsi="Times New Roman" w:eastAsia="方正仿宋简体" w:cs="Times New Roman"/>
          <w:bCs/>
          <w:sz w:val="24"/>
          <w:szCs w:val="24"/>
          <w:highlight w:val="none"/>
        </w:rPr>
        <w:t>不予行政处罚决定书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31.</w:t>
      </w:r>
      <w:r>
        <w:rPr>
          <w:rFonts w:hint="default" w:ascii="Times New Roman" w:hAnsi="Times New Roman" w:eastAsia="方正仿宋简体" w:cs="Times New Roman"/>
          <w:bCs/>
          <w:sz w:val="24"/>
          <w:szCs w:val="24"/>
          <w:highlight w:val="none"/>
        </w:rPr>
        <w:t>行政处罚案件结案表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155</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u w:val="none"/>
          <w:lang w:val="en-US" w:eastAsia="zh-CN"/>
        </w:rPr>
      </w:pPr>
      <w:r>
        <w:rPr>
          <w:rFonts w:hint="default" w:ascii="Times New Roman" w:hAnsi="Times New Roman" w:eastAsia="方正仿宋简体" w:cs="Times New Roman"/>
          <w:bCs/>
          <w:sz w:val="24"/>
          <w:szCs w:val="24"/>
          <w:highlight w:val="none"/>
          <w:u w:val="none"/>
          <w:lang w:val="en-US" w:eastAsia="zh-CN"/>
        </w:rPr>
        <w:t>32.</w:t>
      </w:r>
      <w:r>
        <w:rPr>
          <w:rFonts w:hint="default" w:ascii="Times New Roman" w:hAnsi="Times New Roman" w:eastAsia="方正仿宋简体" w:cs="Times New Roman"/>
          <w:bCs/>
          <w:sz w:val="24"/>
          <w:szCs w:val="24"/>
          <w:highlight w:val="none"/>
          <w:u w:val="none"/>
          <w:lang w:eastAsia="zh-CN"/>
        </w:rPr>
        <w:t>协助调查函</w:t>
      </w:r>
      <w:r>
        <w:rPr>
          <w:rFonts w:hint="default" w:ascii="Times New Roman" w:hAnsi="Times New Roman" w:eastAsia="方正仿宋简体" w:cs="Times New Roman"/>
          <w:bCs/>
          <w:sz w:val="24"/>
          <w:szCs w:val="24"/>
          <w:highlight w:val="none"/>
          <w:u w:val="none"/>
          <w:lang w:val="en-US" w:eastAsia="zh-CN"/>
        </w:rPr>
        <w:tab/>
      </w:r>
      <w:r>
        <w:rPr>
          <w:rFonts w:hint="default" w:ascii="Times New Roman" w:hAnsi="Times New Roman" w:eastAsia="方正仿宋简体" w:cs="Times New Roman"/>
          <w:bCs/>
          <w:sz w:val="24"/>
          <w:szCs w:val="24"/>
          <w:highlight w:val="none"/>
          <w:u w:val="none"/>
          <w:lang w:val="en-US" w:eastAsia="zh-CN"/>
        </w:rPr>
        <w:t>156</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33.</w:t>
      </w:r>
      <w:r>
        <w:rPr>
          <w:rFonts w:hint="default" w:ascii="Times New Roman" w:hAnsi="Times New Roman" w:eastAsia="方正仿宋简体" w:cs="Times New Roman"/>
          <w:bCs/>
          <w:sz w:val="24"/>
          <w:szCs w:val="24"/>
          <w:highlight w:val="none"/>
        </w:rPr>
        <w:t>案件移送审批表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34.</w:t>
      </w:r>
      <w:r>
        <w:rPr>
          <w:rFonts w:hint="default" w:ascii="Times New Roman" w:hAnsi="Times New Roman" w:eastAsia="方正仿宋简体" w:cs="Times New Roman"/>
          <w:bCs/>
          <w:sz w:val="24"/>
          <w:szCs w:val="24"/>
          <w:highlight w:val="none"/>
        </w:rPr>
        <w:t>案件移送函</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158</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35.</w:t>
      </w:r>
      <w:r>
        <w:rPr>
          <w:rFonts w:hint="default" w:ascii="Times New Roman" w:hAnsi="Times New Roman" w:eastAsia="方正仿宋简体" w:cs="Times New Roman"/>
          <w:bCs/>
          <w:sz w:val="24"/>
          <w:szCs w:val="24"/>
          <w:highlight w:val="none"/>
        </w:rPr>
        <w:t>延期（分期）缴纳罚款审批表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159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36.</w:t>
      </w:r>
      <w:r>
        <w:rPr>
          <w:rFonts w:hint="default" w:ascii="Times New Roman" w:hAnsi="Times New Roman" w:eastAsia="方正仿宋简体" w:cs="Times New Roman"/>
          <w:bCs/>
          <w:sz w:val="24"/>
          <w:szCs w:val="24"/>
          <w:highlight w:val="none"/>
        </w:rPr>
        <w:t>延期（分期）缴纳罚款决定书</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37.</w:t>
      </w:r>
      <w:r>
        <w:rPr>
          <w:rFonts w:hint="default" w:ascii="Times New Roman" w:hAnsi="Times New Roman" w:eastAsia="方正仿宋简体" w:cs="Times New Roman"/>
          <w:bCs/>
          <w:sz w:val="24"/>
          <w:szCs w:val="24"/>
          <w:highlight w:val="none"/>
        </w:rPr>
        <w:t>没收物品</w:t>
      </w:r>
      <w:r>
        <w:rPr>
          <w:rFonts w:hint="default" w:ascii="Times New Roman" w:hAnsi="Times New Roman" w:eastAsia="方正仿宋简体" w:cs="Times New Roman"/>
          <w:bCs/>
          <w:sz w:val="24"/>
          <w:szCs w:val="24"/>
          <w:highlight w:val="none"/>
          <w:lang w:val="en-US" w:eastAsia="zh-CN"/>
        </w:rPr>
        <w:t>处理审批表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38.</w:t>
      </w:r>
      <w:r>
        <w:rPr>
          <w:rFonts w:hint="default" w:ascii="Times New Roman" w:hAnsi="Times New Roman" w:eastAsia="方正仿宋简体" w:cs="Times New Roman"/>
          <w:bCs/>
          <w:sz w:val="24"/>
          <w:szCs w:val="24"/>
          <w:highlight w:val="none"/>
        </w:rPr>
        <w:t>涉案物品清单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Cs/>
          <w:sz w:val="24"/>
          <w:szCs w:val="24"/>
          <w:highlight w:val="none"/>
          <w:lang w:val="en-US" w:eastAsia="zh-CN"/>
        </w:rPr>
        <w:t>39.</w:t>
      </w:r>
      <w:r>
        <w:rPr>
          <w:rFonts w:hint="default" w:ascii="Times New Roman" w:hAnsi="Times New Roman" w:eastAsia="方正仿宋简体" w:cs="Times New Roman"/>
          <w:bCs/>
          <w:color w:val="auto"/>
          <w:sz w:val="24"/>
          <w:szCs w:val="24"/>
          <w:highlight w:val="none"/>
          <w:lang w:eastAsia="zh-CN"/>
        </w:rPr>
        <w:t>行政</w:t>
      </w:r>
      <w:r>
        <w:rPr>
          <w:rFonts w:hint="default" w:ascii="Times New Roman" w:hAnsi="Times New Roman" w:eastAsia="方正仿宋简体" w:cs="Times New Roman"/>
          <w:bCs/>
          <w:color w:val="auto"/>
          <w:sz w:val="24"/>
          <w:szCs w:val="24"/>
          <w:highlight w:val="none"/>
          <w:lang w:val="en-US" w:eastAsia="zh-CN"/>
        </w:rPr>
        <w:t>处罚文书</w:t>
      </w:r>
      <w:r>
        <w:rPr>
          <w:rFonts w:hint="default" w:ascii="Times New Roman" w:hAnsi="Times New Roman" w:eastAsia="方正仿宋简体" w:cs="Times New Roman"/>
          <w:bCs/>
          <w:sz w:val="24"/>
          <w:szCs w:val="24"/>
          <w:highlight w:val="none"/>
        </w:rPr>
        <w:t>送达回证</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 xml:space="preserve">163    </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40.</w:t>
      </w:r>
      <w:r>
        <w:rPr>
          <w:rFonts w:hint="default" w:ascii="Times New Roman" w:hAnsi="Times New Roman" w:eastAsia="方正仿宋简体" w:cs="Times New Roman"/>
          <w:bCs/>
          <w:sz w:val="24"/>
          <w:szCs w:val="24"/>
          <w:highlight w:val="none"/>
          <w:lang w:eastAsia="zh-CN"/>
        </w:rPr>
        <w:t>卷内备考表</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权利救济权利说明</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165</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600" w:lineRule="exact"/>
        <w:jc w:val="both"/>
        <w:textAlignment w:val="auto"/>
        <w:rPr>
          <w:rFonts w:hint="default" w:ascii="Times New Roman" w:hAnsi="Times New Roman" w:eastAsia="方正黑体简体" w:cs="Times New Roman"/>
          <w:b w:val="0"/>
          <w:bCs w:val="0"/>
          <w:sz w:val="30"/>
          <w:szCs w:val="30"/>
          <w:highlight w:val="none"/>
          <w:lang w:val="en-US" w:eastAsia="zh-CN"/>
        </w:rPr>
      </w:pPr>
    </w:p>
    <w:p>
      <w:pPr>
        <w:keepNext w:val="0"/>
        <w:keepLines w:val="0"/>
        <w:pageBreakBefore w:val="0"/>
        <w:widowControl w:val="0"/>
        <w:tabs>
          <w:tab w:val="right" w:leader="dot" w:pos="7560"/>
        </w:tabs>
        <w:kinsoku/>
        <w:wordWrap/>
        <w:overflowPunct/>
        <w:topLinePunct w:val="0"/>
        <w:autoSpaceDE/>
        <w:autoSpaceDN/>
        <w:bidi w:val="0"/>
        <w:snapToGrid/>
        <w:jc w:val="center"/>
        <w:textAlignment w:val="auto"/>
        <w:rPr>
          <w:rFonts w:hint="default" w:ascii="Times New Roman" w:hAnsi="Times New Roman" w:eastAsia="黑体" w:cs="Times New Roman"/>
          <w:b w:val="0"/>
          <w:bCs w:val="0"/>
          <w:sz w:val="30"/>
          <w:szCs w:val="30"/>
          <w:highlight w:val="none"/>
          <w:lang w:val="en-US" w:eastAsia="zh-CN"/>
        </w:rPr>
      </w:pPr>
      <w:r>
        <w:rPr>
          <w:rFonts w:hint="default" w:ascii="Times New Roman" w:hAnsi="Times New Roman" w:eastAsia="黑体" w:cs="Times New Roman"/>
          <w:b w:val="0"/>
          <w:bCs w:val="0"/>
          <w:sz w:val="30"/>
          <w:szCs w:val="30"/>
          <w:highlight w:val="none"/>
          <w:lang w:val="en-US" w:eastAsia="zh-CN"/>
        </w:rPr>
        <w:t>相关法律法规文件</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1.立法体系</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169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2.中华人民共和国行政许可法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170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3.中华人民共和国行政强制法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187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4.中华人民共和国行政复议法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203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5.中华人民共和国行政诉讼法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214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6.中华人民共和国国家赔偿法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234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7.中华人民共和国政府信息公开条例</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242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8.罚款决定与罚款收缴分离实施办法</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254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9.违反行政事业性收费和罚没收入收</w:t>
      </w:r>
      <w:r>
        <w:rPr>
          <w:rFonts w:hint="default" w:ascii="Times New Roman" w:hAnsi="Times New Roman" w:eastAsia="方正仿宋简体" w:cs="Times New Roman"/>
          <w:bCs/>
          <w:sz w:val="24"/>
          <w:szCs w:val="24"/>
          <w:highlight w:val="none"/>
          <w:lang w:eastAsia="zh-CN"/>
        </w:rPr>
        <w:t>支</w:t>
      </w:r>
      <w:r>
        <w:rPr>
          <w:rFonts w:hint="default" w:ascii="Times New Roman" w:hAnsi="Times New Roman" w:eastAsia="方正仿宋简体" w:cs="Times New Roman"/>
          <w:bCs/>
          <w:sz w:val="24"/>
          <w:szCs w:val="24"/>
          <w:highlight w:val="none"/>
          <w:lang w:val="en-US" w:eastAsia="zh-CN"/>
        </w:rPr>
        <w:t>两条线管理规定行政处分暂行规定</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257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10.行政执法机关移送涉嫌犯罪案件的规定</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260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11.国务院关于进一步推进相对集中行政处罚权工作的决定</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265</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z w:val="24"/>
          <w:szCs w:val="24"/>
          <w:highlight w:val="none"/>
          <w:lang w:val="en-US" w:eastAsia="zh-CN"/>
        </w:rPr>
      </w:pPr>
      <w:r>
        <w:rPr>
          <w:rFonts w:hint="default" w:ascii="Times New Roman" w:hAnsi="Times New Roman" w:eastAsia="方正仿宋简体" w:cs="Times New Roman"/>
          <w:bCs/>
          <w:sz w:val="24"/>
          <w:szCs w:val="24"/>
          <w:highlight w:val="none"/>
          <w:lang w:val="en-US" w:eastAsia="zh-CN"/>
        </w:rPr>
        <w:t>12.</w:t>
      </w:r>
      <w:r>
        <w:rPr>
          <w:rFonts w:hint="default" w:ascii="Times New Roman" w:hAnsi="Times New Roman" w:eastAsia="方正仿宋简体" w:cs="Times New Roman"/>
          <w:bCs/>
          <w:spacing w:val="0"/>
          <w:w w:val="100"/>
          <w:sz w:val="24"/>
          <w:szCs w:val="24"/>
          <w:highlight w:val="none"/>
          <w:lang w:val="en-US" w:eastAsia="zh-CN"/>
        </w:rPr>
        <w:t>国务院办公厅关于全面推行行政执法公示制度执法全过程记录制度重大执法决定法制审核制度的指导意见</w:t>
      </w:r>
      <w:r>
        <w:rPr>
          <w:rFonts w:hint="default" w:ascii="Times New Roman" w:hAnsi="Times New Roman" w:eastAsia="方正仿宋简体" w:cs="Times New Roman"/>
          <w:bCs/>
          <w:sz w:val="24"/>
          <w:szCs w:val="24"/>
          <w:highlight w:val="none"/>
          <w:lang w:val="en-US" w:eastAsia="zh-CN"/>
        </w:rPr>
        <w:tab/>
      </w:r>
      <w:r>
        <w:rPr>
          <w:rFonts w:hint="default" w:ascii="Times New Roman" w:hAnsi="Times New Roman" w:eastAsia="方正仿宋简体" w:cs="Times New Roman"/>
          <w:bCs/>
          <w:sz w:val="24"/>
          <w:szCs w:val="24"/>
          <w:highlight w:val="none"/>
          <w:lang w:val="en-US" w:eastAsia="zh-CN"/>
        </w:rPr>
        <w:t>273</w:t>
      </w:r>
    </w:p>
    <w:p>
      <w:pPr>
        <w:keepNext w:val="0"/>
        <w:keepLines w:val="0"/>
        <w:pageBreakBefore w:val="0"/>
        <w:widowControl w:val="0"/>
        <w:numPr>
          <w:ilvl w:val="0"/>
          <w:numId w:val="0"/>
        </w:numPr>
        <w:tabs>
          <w:tab w:val="right" w:leader="dot" w:pos="7560"/>
        </w:tabs>
        <w:kinsoku/>
        <w:wordWrap/>
        <w:overflowPunct/>
        <w:topLinePunct w:val="0"/>
        <w:autoSpaceDE/>
        <w:autoSpaceDN/>
        <w:bidi w:val="0"/>
        <w:adjustRightInd/>
        <w:snapToGrid/>
        <w:spacing w:line="600" w:lineRule="exact"/>
        <w:textAlignment w:val="auto"/>
        <w:rPr>
          <w:rFonts w:hint="default" w:ascii="Times New Roman" w:hAnsi="Times New Roman" w:eastAsia="方正黑体简体" w:cs="Times New Roman"/>
          <w:b w:val="0"/>
          <w:bCs w:val="0"/>
          <w:sz w:val="30"/>
          <w:szCs w:val="30"/>
          <w:highlight w:val="none"/>
          <w:lang w:val="en-US" w:eastAsia="zh-CN"/>
        </w:rPr>
      </w:pPr>
    </w:p>
    <w:p>
      <w:pPr>
        <w:keepNext w:val="0"/>
        <w:keepLines w:val="0"/>
        <w:pageBreakBefore w:val="0"/>
        <w:widowControl w:val="0"/>
        <w:tabs>
          <w:tab w:val="right" w:leader="dot" w:pos="7560"/>
        </w:tabs>
        <w:kinsoku/>
        <w:wordWrap/>
        <w:overflowPunct/>
        <w:topLinePunct w:val="0"/>
        <w:autoSpaceDE/>
        <w:autoSpaceDN/>
        <w:bidi w:val="0"/>
        <w:snapToGrid/>
        <w:jc w:val="center"/>
        <w:textAlignment w:val="auto"/>
        <w:rPr>
          <w:rFonts w:hint="default" w:ascii="Times New Roman" w:hAnsi="Times New Roman" w:eastAsia="黑体" w:cs="Times New Roman"/>
          <w:b w:val="0"/>
          <w:bCs w:val="0"/>
          <w:sz w:val="30"/>
          <w:szCs w:val="30"/>
          <w:highlight w:val="none"/>
          <w:lang w:val="en-US" w:eastAsia="zh-CN"/>
        </w:rPr>
      </w:pPr>
      <w:r>
        <w:rPr>
          <w:rFonts w:hint="default" w:ascii="Times New Roman" w:hAnsi="Times New Roman" w:eastAsia="黑体" w:cs="Times New Roman"/>
          <w:b w:val="0"/>
          <w:bCs w:val="0"/>
          <w:sz w:val="30"/>
          <w:szCs w:val="30"/>
          <w:highlight w:val="none"/>
          <w:lang w:val="en-US" w:eastAsia="zh-CN"/>
        </w:rPr>
        <w:t>相关司法解释</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1.全国人大常委会法制工作委员会对建筑施工企业母公司承接工程后交由子公司实施是否属于转包以及行政处罚两年追溯期认定法律适用问题的意见</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285</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2.全国人民代表大会常务委员会法制工作委员会关于提请明确对行政处罚追诉时效“二年未被发现”认定问题的函的研究意见</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287</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3.全国人民代表大会常务委员会法制工作委员会关于环保部门就环境行政处罚决定申请人民法院强制执行的期限有关问题的答复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289</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4.全国人民代表大会常务委员会法制工作委员会关于如何理解“有行政处罚权的行政机关”问题的答复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292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5.全国人民代表大会常务委员会法制工作委员会关于地方性法规对法律规定的执法主体可否作出调整问题的答复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293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6.全国人民代表大会常务委员会法制工作委员会关于地方性法规对法律中没有规定的行政处罚行为可否作出补充规定问题的答复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294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7.最高人民法院关于安监部门是否有权适用《安全生产法》及《生产安全事故报告和调查处理条例》对道路交通安全问题予以行政处罚及适用法律问题的答复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296</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8.最高人民法院关于交通警察支队的下属大队能否作为行政处罚主体等问题的答复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300</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9.最高人民法院行政审判庭关于行政处罚的加处罚款在诉讼期间应否计算问题的答复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301</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10.最高人民法院关于没收财产是否应进行听证及没收经营药品行为等有关法律问题的答复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302</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11.最高人民法院关于审理涉及保险公司不正当竞争行为的行政处罚案件时如何确定行政主体问题的复函</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303</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12.最高人民法院关于诉商业银行行政处罚案件的适格被告问题的答复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304</w:t>
      </w:r>
    </w:p>
    <w:p>
      <w:pPr>
        <w:keepNext w:val="0"/>
        <w:keepLines w:val="0"/>
        <w:pageBreakBefore w:val="0"/>
        <w:widowControl w:val="0"/>
        <w:tabs>
          <w:tab w:val="right" w:leader="dot" w:pos="7560"/>
        </w:tabs>
        <w:kinsoku/>
        <w:wordWrap/>
        <w:overflowPunct/>
        <w:topLinePunct w:val="0"/>
        <w:autoSpaceDE/>
        <w:autoSpaceDN/>
        <w:bidi w:val="0"/>
        <w:adjustRightInd/>
        <w:snapToGrid/>
        <w:spacing w:line="420" w:lineRule="exact"/>
        <w:ind w:firstLine="480" w:firstLineChars="200"/>
        <w:jc w:val="left"/>
        <w:textAlignment w:val="auto"/>
        <w:rPr>
          <w:rFonts w:hint="default" w:ascii="Times New Roman" w:hAnsi="Times New Roman" w:eastAsia="方正仿宋简体" w:cs="Times New Roman"/>
          <w:bCs/>
          <w:spacing w:val="0"/>
          <w:sz w:val="24"/>
          <w:szCs w:val="24"/>
          <w:highlight w:val="none"/>
          <w:lang w:val="en-US" w:eastAsia="zh-CN"/>
        </w:rPr>
      </w:pPr>
      <w:r>
        <w:rPr>
          <w:rFonts w:hint="default" w:ascii="Times New Roman" w:hAnsi="Times New Roman" w:eastAsia="方正仿宋简体" w:cs="Times New Roman"/>
          <w:bCs/>
          <w:spacing w:val="0"/>
          <w:sz w:val="24"/>
          <w:szCs w:val="24"/>
          <w:highlight w:val="none"/>
          <w:lang w:val="en-US" w:eastAsia="zh-CN"/>
        </w:rPr>
        <w:t>13.</w:t>
      </w:r>
      <w:r>
        <w:rPr>
          <w:rFonts w:hint="default" w:ascii="Times New Roman" w:hAnsi="Times New Roman" w:eastAsia="方正仿宋简体" w:cs="Times New Roman"/>
          <w:bCs/>
          <w:spacing w:val="0"/>
          <w:w w:val="100"/>
          <w:sz w:val="24"/>
          <w:szCs w:val="24"/>
          <w:highlight w:val="none"/>
          <w:lang w:val="en-US" w:eastAsia="zh-CN"/>
        </w:rPr>
        <w:t>最高人民法院对《关于秦大树不服重庆市涪陵区林业局行政处</w:t>
      </w:r>
      <w:r>
        <w:rPr>
          <w:rFonts w:hint="default" w:ascii="Times New Roman" w:hAnsi="Times New Roman" w:eastAsia="方正仿宋简体" w:cs="Times New Roman"/>
          <w:bCs/>
          <w:spacing w:val="0"/>
          <w:w w:val="100"/>
          <w:sz w:val="24"/>
          <w:szCs w:val="24"/>
          <w:highlight w:val="none"/>
          <w:lang w:val="en-US" w:eastAsia="zh-CN"/>
        </w:rPr>
        <w:br w:type="textWrapping"/>
      </w:r>
      <w:r>
        <w:rPr>
          <w:rFonts w:hint="default" w:ascii="Times New Roman" w:hAnsi="Times New Roman" w:eastAsia="方正仿宋简体" w:cs="Times New Roman"/>
          <w:bCs/>
          <w:spacing w:val="0"/>
          <w:w w:val="100"/>
          <w:sz w:val="24"/>
          <w:szCs w:val="24"/>
          <w:highlight w:val="none"/>
          <w:lang w:val="en-US" w:eastAsia="zh-CN"/>
        </w:rPr>
        <w:t>罚争议再审一案如何适用法律的请示》的答复</w:t>
      </w:r>
      <w:r>
        <w:rPr>
          <w:rFonts w:hint="default" w:ascii="Times New Roman" w:hAnsi="Times New Roman" w:eastAsia="方正仿宋简体" w:cs="Times New Roman"/>
          <w:bCs/>
          <w:spacing w:val="0"/>
          <w:sz w:val="24"/>
          <w:szCs w:val="24"/>
          <w:highlight w:val="none"/>
          <w:lang w:val="en-US" w:eastAsia="zh-CN"/>
        </w:rPr>
        <w:tab/>
      </w:r>
      <w:r>
        <w:rPr>
          <w:rFonts w:hint="default" w:ascii="Times New Roman" w:hAnsi="Times New Roman" w:eastAsia="方正仿宋简体" w:cs="Times New Roman"/>
          <w:bCs/>
          <w:spacing w:val="0"/>
          <w:sz w:val="24"/>
          <w:szCs w:val="24"/>
          <w:highlight w:val="none"/>
          <w:lang w:val="en-US" w:eastAsia="zh-CN"/>
        </w:rPr>
        <w:t>309</w:t>
      </w:r>
    </w:p>
    <w:p>
      <w:pPr>
        <w:rPr>
          <w:rFonts w:hint="eastAsia"/>
        </w:rPr>
        <w:sectPr>
          <w:footerReference r:id="rId4" w:type="default"/>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r>
        <w:rPr>
          <w:rFonts w:hint="eastAsia" w:eastAsia="方正小标宋简体" w:asciiTheme="minorAscii" w:hAnsiTheme="minorAscii" w:cstheme="minorBidi"/>
          <w:kern w:val="44"/>
          <w:sz w:val="44"/>
          <w:szCs w:val="24"/>
          <w:highlight w:val="none"/>
          <w:lang w:val="en-US" w:eastAsia="zh-CN" w:bidi="ar-SA"/>
        </w:rPr>
        <w:t>《中华人民共和国行政处罚法》</w:t>
      </w:r>
    </w:p>
    <w:p>
      <w:pPr>
        <w:jc w:val="center"/>
        <w:rPr>
          <w:rFonts w:hint="eastAsia" w:eastAsia="方正小标宋简体" w:asciiTheme="minorAscii" w:hAnsiTheme="minorAscii" w:cstheme="minorBidi"/>
          <w:kern w:val="44"/>
          <w:sz w:val="36"/>
          <w:szCs w:val="36"/>
          <w:highlight w:val="none"/>
          <w:lang w:val="en-US" w:eastAsia="zh-CN" w:bidi="ar-SA"/>
        </w:rPr>
      </w:pPr>
      <w:r>
        <w:rPr>
          <w:rFonts w:hint="eastAsia" w:eastAsia="方正小标宋简体" w:asciiTheme="minorAscii" w:hAnsiTheme="minorAscii" w:cstheme="minorBidi"/>
          <w:kern w:val="44"/>
          <w:sz w:val="36"/>
          <w:szCs w:val="36"/>
          <w:highlight w:val="none"/>
          <w:lang w:val="en-US" w:eastAsia="zh-CN" w:bidi="ar-SA"/>
        </w:rPr>
        <w:t>（</w:t>
      </w:r>
      <w:r>
        <w:rPr>
          <w:rFonts w:hint="default" w:ascii="Times New Roman" w:hAnsi="Times New Roman" w:eastAsia="方正小标宋简体" w:cs="Times New Roman"/>
          <w:kern w:val="44"/>
          <w:sz w:val="36"/>
          <w:szCs w:val="36"/>
          <w:highlight w:val="none"/>
          <w:lang w:val="en-US" w:eastAsia="zh-CN" w:bidi="ar-SA"/>
        </w:rPr>
        <w:t>2021</w:t>
      </w:r>
      <w:r>
        <w:rPr>
          <w:rFonts w:hint="eastAsia" w:eastAsia="方正小标宋简体" w:asciiTheme="minorAscii" w:hAnsiTheme="minorAscii" w:cstheme="minorBidi"/>
          <w:kern w:val="44"/>
          <w:sz w:val="36"/>
          <w:szCs w:val="36"/>
          <w:highlight w:val="none"/>
          <w:lang w:val="en-US" w:eastAsia="zh-CN" w:bidi="ar-SA"/>
        </w:rPr>
        <w:t>年修订）</w:t>
      </w: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sectPr>
          <w:footerReference r:id="rId5" w:type="default"/>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rPr>
          <w:rFonts w:hint="eastAsia"/>
        </w:rPr>
        <w:sectPr>
          <w:footerReference r:id="rId6" w:type="default"/>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rPr>
          <w:rFonts w:hint="eastAsia"/>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36"/>
          <w:szCs w:val="36"/>
          <w:highlight w:val="none"/>
          <w:lang w:val="en-US" w:eastAsia="zh-CN"/>
        </w:rPr>
      </w:pPr>
      <w:r>
        <w:rPr>
          <w:rFonts w:hint="eastAsia"/>
          <w:sz w:val="36"/>
          <w:szCs w:val="36"/>
          <w:highlight w:val="none"/>
        </w:rPr>
        <w:t>《中华人民共和国行政处罚法》</w:t>
      </w:r>
      <w:r>
        <w:rPr>
          <w:rFonts w:hint="eastAsia"/>
          <w:sz w:val="36"/>
          <w:szCs w:val="36"/>
          <w:highlight w:val="none"/>
          <w:lang w:val="en-US" w:eastAsia="zh-CN"/>
        </w:rPr>
        <w:t>导读</w:t>
      </w: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《中华人民共和国行政处罚法》</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以下简称《行政处罚法》)是我国规范政府共同行政行为的一部重要法律，于1996年3月17日由第八届全国人民代表大会第四次会议通过，根据2009年8月27日第十一届全国人民代表大会常务委员会第十次会议《关于修改部分法律的决定》第一次修正，根据2017年9月1日第十二届全国人民代表大会常务委员会第二十九次会议《关于修改</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中华人民共和国法官法〉等八部法律的决定》第二次修正，2021年1月22日由第十三届全国人民代表大会常务委员会第二十五次会议修订通过，自2021年7月15日起</w:t>
      </w:r>
      <w:r>
        <w:rPr>
          <w:rFonts w:hint="eastAsia" w:ascii="方正仿宋简体" w:hAnsi="方正仿宋简体" w:eastAsia="方正仿宋简体" w:cs="方正仿宋简体"/>
          <w:sz w:val="24"/>
          <w:szCs w:val="24"/>
          <w:highlight w:val="none"/>
          <w:lang w:eastAsia="zh-CN"/>
        </w:rPr>
        <w:t>施行。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制定和修改《行政处罚法》，是我国行政法制建设中的一件大事，也是加强社会主义民主政治建设的一个重要步骤。《行政处罚法》的制定和修改，对于规范行政机</w:t>
      </w:r>
      <w:r>
        <w:rPr>
          <w:rFonts w:hint="eastAsia" w:ascii="方正仿宋简体" w:hAnsi="方正仿宋简体" w:eastAsia="方正仿宋简体" w:cs="方正仿宋简体"/>
          <w:sz w:val="24"/>
          <w:szCs w:val="24"/>
          <w:highlight w:val="none"/>
          <w:lang w:eastAsia="zh-CN"/>
        </w:rPr>
        <w:t>关</w:t>
      </w:r>
      <w:r>
        <w:rPr>
          <w:rFonts w:hint="eastAsia" w:ascii="方正仿宋简体" w:hAnsi="方正仿宋简体" w:eastAsia="方正仿宋简体" w:cs="方正仿宋简体"/>
          <w:sz w:val="24"/>
          <w:szCs w:val="24"/>
          <w:highlight w:val="none"/>
        </w:rPr>
        <w:t>有效地依法行政，改进行政管理工作，加强廉政建设，维护社会秩序和公共利益，保护公民的合法权益，促进社会主义市场经济的健康发展，起到重要作用。</w:t>
      </w:r>
    </w:p>
    <w:p>
      <w:pPr>
        <w:pStyle w:val="3"/>
        <w:keepNext w:val="0"/>
        <w:keepLines w:val="0"/>
        <w:pageBreakBefore w:val="0"/>
        <w:widowControl w:val="0"/>
        <w:kinsoku/>
        <w:wordWrap/>
        <w:overflowPunct/>
        <w:topLinePunct w:val="0"/>
        <w:autoSpaceDE/>
        <w:autoSpaceDN/>
        <w:bidi w:val="0"/>
        <w:snapToGrid/>
        <w:spacing w:line="420" w:lineRule="exact"/>
        <w:textAlignment w:val="auto"/>
        <w:rPr>
          <w:rFonts w:hint="eastAsia"/>
          <w:sz w:val="24"/>
          <w:szCs w:val="24"/>
        </w:rPr>
      </w:pPr>
      <w:r>
        <w:rPr>
          <w:rFonts w:hint="eastAsia"/>
          <w:sz w:val="24"/>
          <w:szCs w:val="24"/>
        </w:rPr>
        <w:t>一、《行政处罚法》的主要内容</w:t>
      </w:r>
    </w:p>
    <w:p>
      <w:pPr>
        <w:pStyle w:val="4"/>
        <w:keepNext w:val="0"/>
        <w:keepLines w:val="0"/>
        <w:pageBreakBefore w:val="0"/>
        <w:widowControl w:val="0"/>
        <w:kinsoku/>
        <w:wordWrap/>
        <w:overflowPunct/>
        <w:topLinePunct w:val="0"/>
        <w:autoSpaceDE/>
        <w:autoSpaceDN/>
        <w:bidi w:val="0"/>
        <w:snapToGrid/>
        <w:spacing w:line="420" w:lineRule="exact"/>
        <w:textAlignment w:val="auto"/>
        <w:rPr>
          <w:rFonts w:hint="eastAsia" w:ascii="楷体_GB2312" w:hAnsi="楷体_GB2312" w:eastAsia="楷体_GB2312" w:cs="楷体_GB2312"/>
          <w:sz w:val="24"/>
          <w:szCs w:val="24"/>
          <w:highlight w:val="none"/>
        </w:rPr>
      </w:pPr>
      <w:r>
        <w:rPr>
          <w:rFonts w:hint="eastAsia"/>
          <w:sz w:val="24"/>
          <w:szCs w:val="24"/>
          <w:lang w:eastAsia="zh-CN"/>
        </w:rPr>
        <w:t>（</w:t>
      </w:r>
      <w:r>
        <w:rPr>
          <w:rFonts w:hint="eastAsia"/>
          <w:sz w:val="24"/>
          <w:szCs w:val="24"/>
        </w:rPr>
        <w:t>一</w:t>
      </w:r>
      <w:r>
        <w:rPr>
          <w:rFonts w:hint="eastAsia"/>
          <w:sz w:val="24"/>
          <w:szCs w:val="24"/>
          <w:lang w:eastAsia="zh-CN"/>
        </w:rPr>
        <w:t>）</w:t>
      </w:r>
      <w:r>
        <w:rPr>
          <w:rFonts w:hint="eastAsia"/>
          <w:sz w:val="24"/>
          <w:szCs w:val="24"/>
        </w:rPr>
        <w:t>关于行政处罚的设定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行政处罚涉及公民的权利，实行法定原则，这包括三个方面:一是公民、法人或者其他组织的行为，只</w:t>
      </w:r>
      <w:r>
        <w:rPr>
          <w:rFonts w:hint="eastAsia" w:ascii="方正仿宋简体" w:hAnsi="方正仿宋简体" w:eastAsia="方正仿宋简体" w:cs="方正仿宋简体"/>
          <w:sz w:val="24"/>
          <w:szCs w:val="24"/>
          <w:highlight w:val="none"/>
          <w:lang w:eastAsia="zh-CN"/>
        </w:rPr>
        <w:t>有</w:t>
      </w:r>
      <w:r>
        <w:rPr>
          <w:rFonts w:hint="eastAsia" w:ascii="方正仿宋简体" w:hAnsi="方正仿宋简体" w:eastAsia="方正仿宋简体" w:cs="方正仿宋简体"/>
          <w:sz w:val="24"/>
          <w:szCs w:val="24"/>
          <w:highlight w:val="none"/>
        </w:rPr>
        <w:t>依法明文规定应予行政处罚的，才受处罚，没有依法</w:t>
      </w:r>
      <w:r>
        <w:rPr>
          <w:rFonts w:hint="eastAsia" w:ascii="方正仿宋简体" w:hAnsi="方正仿宋简体" w:eastAsia="方正仿宋简体" w:cs="方正仿宋简体"/>
          <w:sz w:val="24"/>
          <w:szCs w:val="24"/>
          <w:highlight w:val="none"/>
          <w:lang w:eastAsia="zh-CN"/>
        </w:rPr>
        <w:t>规</w:t>
      </w:r>
      <w:r>
        <w:rPr>
          <w:rFonts w:hint="eastAsia" w:ascii="方正仿宋简体" w:hAnsi="方正仿宋简体" w:eastAsia="方正仿宋简体" w:cs="方正仿宋简体"/>
          <w:sz w:val="24"/>
          <w:szCs w:val="24"/>
          <w:highlight w:val="none"/>
        </w:rPr>
        <w:t>定处罚的，不受处罚。二是行政处罚的设定依据包</w:t>
      </w:r>
      <w:r>
        <w:rPr>
          <w:rFonts w:hint="eastAsia" w:ascii="方正仿宋简体" w:hAnsi="方正仿宋简体" w:eastAsia="方正仿宋简体" w:cs="方正仿宋简体"/>
          <w:sz w:val="24"/>
          <w:szCs w:val="24"/>
          <w:highlight w:val="none"/>
          <w:lang w:eastAsia="zh-CN"/>
        </w:rPr>
        <w:t>括法</w:t>
      </w:r>
      <w:r>
        <w:rPr>
          <w:rFonts w:hint="eastAsia" w:ascii="方正仿宋简体" w:hAnsi="方正仿宋简体" w:eastAsia="方正仿宋简体" w:cs="方正仿宋简体"/>
          <w:sz w:val="24"/>
          <w:szCs w:val="24"/>
          <w:highlight w:val="none"/>
        </w:rPr>
        <w:t>律、行政法规、地方性法规、部门规章和地方政府</w:t>
      </w:r>
      <w:r>
        <w:rPr>
          <w:rFonts w:hint="eastAsia" w:ascii="方正仿宋简体" w:hAnsi="方正仿宋简体" w:eastAsia="方正仿宋简体" w:cs="方正仿宋简体"/>
          <w:sz w:val="24"/>
          <w:szCs w:val="24"/>
          <w:highlight w:val="none"/>
          <w:lang w:eastAsia="zh-CN"/>
        </w:rPr>
        <w:t>规章，</w:t>
      </w:r>
      <w:r>
        <w:rPr>
          <w:rFonts w:hint="eastAsia" w:ascii="方正仿宋简体" w:hAnsi="方正仿宋简体" w:eastAsia="方正仿宋简体" w:cs="方正仿宋简体"/>
          <w:sz w:val="24"/>
          <w:szCs w:val="24"/>
          <w:highlight w:val="none"/>
        </w:rPr>
        <w:t>必须由本法规定的国家机关在职权范围内依法设定，总</w:t>
      </w:r>
      <w:r>
        <w:rPr>
          <w:rFonts w:hint="eastAsia" w:ascii="方正仿宋简体" w:hAnsi="方正仿宋简体" w:eastAsia="方正仿宋简体" w:cs="方正仿宋简体"/>
          <w:sz w:val="24"/>
          <w:szCs w:val="24"/>
          <w:highlight w:val="none"/>
          <w:lang w:eastAsia="zh-CN"/>
        </w:rPr>
        <w:t>体</w:t>
      </w:r>
      <w:r>
        <w:rPr>
          <w:rFonts w:hint="eastAsia" w:ascii="方正仿宋简体" w:hAnsi="方正仿宋简体" w:eastAsia="方正仿宋简体" w:cs="方正仿宋简体"/>
          <w:sz w:val="24"/>
          <w:szCs w:val="24"/>
          <w:highlight w:val="none"/>
        </w:rPr>
        <w:t>的制定权配置与统</w:t>
      </w:r>
      <w:r>
        <w:rPr>
          <w:rFonts w:hint="eastAsia" w:ascii="方正仿宋简体" w:hAnsi="方正仿宋简体" w:eastAsia="方正仿宋简体" w:cs="方正仿宋简体"/>
          <w:sz w:val="24"/>
          <w:szCs w:val="24"/>
          <w:highlight w:val="none"/>
          <w:lang w:eastAsia="zh-CN"/>
        </w:rPr>
        <w:t>一</w:t>
      </w:r>
      <w:r>
        <w:rPr>
          <w:rFonts w:hint="eastAsia" w:ascii="方正仿宋简体" w:hAnsi="方正仿宋简体" w:eastAsia="方正仿宋简体" w:cs="方正仿宋简体"/>
          <w:sz w:val="24"/>
          <w:szCs w:val="24"/>
          <w:highlight w:val="none"/>
        </w:rPr>
        <w:t>的分层次立法体制相适应。不同的国家机关有权设定不同类型的行政处罚。三是行政机关</w:t>
      </w:r>
      <w:r>
        <w:rPr>
          <w:rFonts w:hint="eastAsia" w:ascii="方正仿宋简体" w:hAnsi="方正仿宋简体" w:eastAsia="方正仿宋简体" w:cs="方正仿宋简体"/>
          <w:sz w:val="24"/>
          <w:szCs w:val="24"/>
          <w:highlight w:val="none"/>
          <w:lang w:eastAsia="zh-CN"/>
        </w:rPr>
        <w:t>设</w:t>
      </w:r>
      <w:r>
        <w:rPr>
          <w:rFonts w:hint="eastAsia" w:ascii="方正仿宋简体" w:hAnsi="方正仿宋简体" w:eastAsia="方正仿宋简体" w:cs="方正仿宋简体"/>
          <w:sz w:val="24"/>
          <w:szCs w:val="24"/>
          <w:highlight w:val="none"/>
        </w:rPr>
        <w:t>定行政处罚，必须严格依据《立法法》《行政处罚</w:t>
      </w:r>
      <w:r>
        <w:rPr>
          <w:rFonts w:hint="eastAsia" w:ascii="方正仿宋简体" w:hAnsi="方正仿宋简体" w:eastAsia="方正仿宋简体" w:cs="方正仿宋简体"/>
          <w:sz w:val="24"/>
          <w:szCs w:val="24"/>
          <w:highlight w:val="none"/>
          <w:lang w:eastAsia="zh-CN"/>
        </w:rPr>
        <w:t>法》《</w:t>
      </w:r>
      <w:r>
        <w:rPr>
          <w:rFonts w:hint="eastAsia" w:ascii="方正仿宋简体" w:hAnsi="方正仿宋简体" w:eastAsia="方正仿宋简体" w:cs="方正仿宋简体"/>
          <w:sz w:val="24"/>
          <w:szCs w:val="24"/>
          <w:highlight w:val="none"/>
        </w:rPr>
        <w:t>行政法规制定程序条例》《规章制定程序条例》等进行</w:t>
      </w:r>
      <w:r>
        <w:rPr>
          <w:rFonts w:hint="eastAsia" w:ascii="方正仿宋简体" w:hAnsi="方正仿宋简体" w:eastAsia="方正仿宋简体" w:cs="方正仿宋简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二</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实施行政处罚的主体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行政处罚由具有行政处罚权的行政机关在法定职权范</w:t>
      </w:r>
      <w:r>
        <w:rPr>
          <w:rFonts w:hint="eastAsia" w:ascii="方正仿宋简体" w:hAnsi="方正仿宋简体" w:eastAsia="方正仿宋简体" w:cs="方正仿宋简体"/>
          <w:sz w:val="24"/>
          <w:szCs w:val="24"/>
          <w:highlight w:val="none"/>
          <w:lang w:eastAsia="zh-CN"/>
        </w:rPr>
        <w:t>围</w:t>
      </w:r>
      <w:r>
        <w:rPr>
          <w:rFonts w:hint="eastAsia" w:ascii="方正仿宋简体" w:hAnsi="方正仿宋简体" w:eastAsia="方正仿宋简体" w:cs="方正仿宋简体"/>
          <w:sz w:val="24"/>
          <w:szCs w:val="24"/>
          <w:highlight w:val="none"/>
        </w:rPr>
        <w:t>内实施。这是行政处罚与刑事处罚</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由法院</w:t>
      </w:r>
      <w:r>
        <w:rPr>
          <w:rFonts w:hint="eastAsia" w:ascii="方正仿宋简体" w:hAnsi="方正仿宋简体" w:eastAsia="方正仿宋简体" w:cs="方正仿宋简体"/>
          <w:sz w:val="24"/>
          <w:szCs w:val="24"/>
          <w:highlight w:val="none"/>
          <w:lang w:eastAsia="zh-CN"/>
        </w:rPr>
        <w:t>判决）</w:t>
      </w:r>
      <w:r>
        <w:rPr>
          <w:rFonts w:hint="eastAsia" w:ascii="方正仿宋简体" w:hAnsi="方正仿宋简体" w:eastAsia="方正仿宋简体" w:cs="方正仿宋简体"/>
          <w:sz w:val="24"/>
          <w:szCs w:val="24"/>
          <w:highlight w:val="none"/>
        </w:rPr>
        <w:t>不同的一个重要特点。一是不是所有的行政机关都</w:t>
      </w:r>
      <w:r>
        <w:rPr>
          <w:rFonts w:hint="eastAsia" w:ascii="方正仿宋简体" w:hAnsi="方正仿宋简体" w:eastAsia="方正仿宋简体" w:cs="方正仿宋简体"/>
          <w:sz w:val="24"/>
          <w:szCs w:val="24"/>
          <w:highlight w:val="none"/>
          <w:lang w:eastAsia="zh-CN"/>
        </w:rPr>
        <w:t>有</w:t>
      </w:r>
      <w:r>
        <w:rPr>
          <w:rFonts w:hint="eastAsia" w:ascii="方正仿宋简体" w:hAnsi="方正仿宋简体" w:eastAsia="方正仿宋简体" w:cs="方正仿宋简体"/>
          <w:sz w:val="24"/>
          <w:szCs w:val="24"/>
          <w:highlight w:val="none"/>
        </w:rPr>
        <w:t>行</w:t>
      </w:r>
      <w:r>
        <w:rPr>
          <w:rFonts w:hint="eastAsia" w:ascii="方正仿宋简体" w:hAnsi="方正仿宋简体" w:eastAsia="方正仿宋简体" w:cs="方正仿宋简体"/>
          <w:sz w:val="24"/>
          <w:szCs w:val="24"/>
          <w:highlight w:val="none"/>
          <w:lang w:eastAsia="zh-CN"/>
        </w:rPr>
        <w:t>政处罚权。二是行政机关</w:t>
      </w:r>
      <w:r>
        <w:rPr>
          <w:rFonts w:hint="eastAsia" w:ascii="方正仿宋简体" w:hAnsi="方正仿宋简体" w:eastAsia="方正仿宋简体" w:cs="方正仿宋简体"/>
          <w:sz w:val="24"/>
          <w:szCs w:val="24"/>
          <w:highlight w:val="none"/>
        </w:rPr>
        <w:t>只能对自己主管业务范围内</w:t>
      </w:r>
      <w:r>
        <w:rPr>
          <w:rFonts w:hint="eastAsia" w:ascii="方正仿宋简体" w:hAnsi="方正仿宋简体" w:eastAsia="方正仿宋简体" w:cs="方正仿宋简体"/>
          <w:sz w:val="24"/>
          <w:szCs w:val="24"/>
          <w:highlight w:val="none"/>
          <w:lang w:eastAsia="zh-CN"/>
        </w:rPr>
        <w:t>的违反行政管理秩序的行为给予行政处罚。三是每个行政机关有权给予什么种类的行政处罚，</w:t>
      </w:r>
      <w:r>
        <w:rPr>
          <w:rFonts w:hint="eastAsia" w:ascii="方正仿宋简体" w:hAnsi="方正仿宋简体" w:eastAsia="方正仿宋简体" w:cs="方正仿宋简体"/>
          <w:sz w:val="24"/>
          <w:szCs w:val="24"/>
          <w:highlight w:val="none"/>
        </w:rPr>
        <w:t>依法律</w:t>
      </w:r>
      <w:r>
        <w:rPr>
          <w:rFonts w:hint="eastAsia" w:ascii="方正仿宋简体" w:hAnsi="方正仿宋简体" w:eastAsia="方正仿宋简体" w:cs="方正仿宋简体"/>
          <w:sz w:val="24"/>
          <w:szCs w:val="24"/>
          <w:highlight w:val="none"/>
          <w:lang w:eastAsia="zh-CN"/>
        </w:rPr>
        <w:t>、法规、规章</w:t>
      </w:r>
      <w:r>
        <w:rPr>
          <w:rFonts w:hint="eastAsia" w:ascii="方正仿宋简体" w:hAnsi="方正仿宋简体" w:eastAsia="方正仿宋简体" w:cs="方正仿宋简体"/>
          <w:sz w:val="24"/>
          <w:szCs w:val="24"/>
          <w:highlight w:val="none"/>
        </w:rPr>
        <w:t>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（三）关于行政处罚的原则和程序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行政处罚法》对实施行政处罚的原则作了规定。主要有:一是处罚与教育相结合的原则。行政处罚的目的，重在纠正违法行为，教育公民、法人或者其他组织自觉遵守法律。二是依法原则。行政机关实施行政处罚，必须以法律为准绳，严格遵守法定程序。三是公正、公开的原则。给予行政处罚，必须查明事实，以事实为根据，与违法行为的事实、性质、情节以及社会危害程度相当。有关行政处罚的规定要公布，使公民和组织能够知道</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实施行政处罚要公开，以便人民群众进行监督。</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（四）关于当事人的权利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行政处罚法》对当事人的权利作了规定。一是陈述和包括听证在内的申辩权。二是申请行政复议或提起行政诉讼权。当事人对行政处罚不服，可以依法提请行政复议或者提起行政诉讼。三是要求行政赔偿权。公民、法人或者其他组织对于行政机关违法给予行政处罚受到损害的，有权依法取得赔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（五）法律责任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为了制止乱处罚、乱罚款，保护公民、法人或者其他组织的合法权益不受侵犯，《行政处罚法》规定，对行政机关及其执法人员滥用处罚权等规定了严格的法律责任，详见第七章。</w:t>
      </w:r>
    </w:p>
    <w:p>
      <w:pPr>
        <w:pStyle w:val="3"/>
        <w:keepNext w:val="0"/>
        <w:keepLines w:val="0"/>
        <w:pageBreakBefore w:val="0"/>
        <w:widowControl w:val="0"/>
        <w:kinsoku/>
        <w:wordWrap/>
        <w:overflowPunct/>
        <w:topLinePunct w:val="0"/>
        <w:autoSpaceDE/>
        <w:autoSpaceDN/>
        <w:bidi w:val="0"/>
        <w:snapToGrid/>
        <w:spacing w:line="420" w:lineRule="exact"/>
        <w:textAlignment w:val="auto"/>
        <w:rPr>
          <w:rFonts w:hint="eastAsia"/>
          <w:sz w:val="24"/>
          <w:szCs w:val="24"/>
        </w:rPr>
      </w:pPr>
      <w:r>
        <w:rPr>
          <w:rFonts w:hint="eastAsia"/>
          <w:sz w:val="24"/>
          <w:szCs w:val="24"/>
        </w:rPr>
        <w:t>二、《行政处罚法》2021年修订要点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本次修订的主要考虑包括:一是贯彻落实党中央重大决策部署，立法主动适应改革需要，体现和巩固行政执法领域中取得的重大改革成果。二是坚持问题身</w:t>
      </w:r>
      <w:r>
        <w:rPr>
          <w:rFonts w:hint="eastAsia" w:ascii="方正仿宋简体" w:hAnsi="方正仿宋简体" w:eastAsia="方正仿宋简体" w:cs="方正仿宋简体"/>
          <w:sz w:val="24"/>
          <w:szCs w:val="24"/>
          <w:highlight w:val="none"/>
          <w:lang w:eastAsia="zh-CN"/>
        </w:rPr>
        <w:t>导向</w:t>
      </w:r>
      <w:r>
        <w:rPr>
          <w:rFonts w:hint="eastAsia" w:ascii="方正仿宋简体" w:hAnsi="方正仿宋简体" w:eastAsia="方正仿宋简体" w:cs="方正仿宋简体"/>
          <w:sz w:val="24"/>
          <w:szCs w:val="24"/>
          <w:highlight w:val="none"/>
        </w:rPr>
        <w:t>，适应实践需要，扩大地方的行政处罚设定权限，加大重点领域行政处罚力度。三是坚持权由法定的法治原则</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增加综合行政执法，赋予乡镇人民政府、街道办事处行政处罚权，完善行政处罚程序，严格行政执法责任，</w:t>
      </w:r>
      <w:r>
        <w:rPr>
          <w:rFonts w:hint="eastAsia" w:ascii="方正仿宋简体" w:hAnsi="方正仿宋简体" w:eastAsia="方正仿宋简体" w:cs="方正仿宋简体"/>
          <w:sz w:val="24"/>
          <w:szCs w:val="24"/>
          <w:highlight w:val="none"/>
          <w:lang w:eastAsia="zh-CN"/>
        </w:rPr>
        <w:t>更</w:t>
      </w:r>
      <w:r>
        <w:rPr>
          <w:rFonts w:hint="eastAsia" w:ascii="方正仿宋简体" w:hAnsi="方正仿宋简体" w:eastAsia="方正仿宋简体" w:cs="方正仿宋简体"/>
          <w:sz w:val="24"/>
          <w:szCs w:val="24"/>
          <w:highlight w:val="none"/>
        </w:rPr>
        <w:t>好地保障严格规范公正文明执法。四是把握通用性，</w:t>
      </w:r>
      <w:r>
        <w:rPr>
          <w:rFonts w:hint="eastAsia" w:ascii="方正仿宋简体" w:hAnsi="方正仿宋简体" w:eastAsia="方正仿宋简体" w:cs="方正仿宋简体"/>
          <w:sz w:val="24"/>
          <w:szCs w:val="24"/>
          <w:highlight w:val="none"/>
          <w:lang w:eastAsia="zh-CN"/>
        </w:rPr>
        <w:t>从</w:t>
      </w:r>
      <w:r>
        <w:rPr>
          <w:rFonts w:hint="eastAsia" w:ascii="方正仿宋简体" w:hAnsi="方正仿宋简体" w:eastAsia="方正仿宋简体" w:cs="方正仿宋简体"/>
          <w:sz w:val="24"/>
          <w:szCs w:val="24"/>
          <w:highlight w:val="none"/>
        </w:rPr>
        <w:t>行政处罚法是行政处罚领域的通用规范出发，认真总结实践经验，发展和完善行政处罚的实体和程序规则，为单行法律、法规设定行政处罚和行政机关实施行政处罚</w:t>
      </w:r>
      <w:r>
        <w:rPr>
          <w:rFonts w:hint="eastAsia" w:ascii="方正仿宋简体" w:hAnsi="方正仿宋简体" w:eastAsia="方正仿宋简体" w:cs="方正仿宋简体"/>
          <w:sz w:val="24"/>
          <w:szCs w:val="24"/>
          <w:highlight w:val="none"/>
          <w:lang w:eastAsia="zh-CN"/>
        </w:rPr>
        <w:t>提供基本遵循。</w:t>
      </w:r>
    </w:p>
    <w:p>
      <w:pPr>
        <w:pStyle w:val="4"/>
        <w:keepNext w:val="0"/>
        <w:keepLines w:val="0"/>
        <w:pageBreakBefore w:val="0"/>
        <w:widowControl w:val="0"/>
        <w:kinsoku/>
        <w:wordWrap/>
        <w:overflowPunct/>
        <w:topLinePunct w:val="0"/>
        <w:autoSpaceDE/>
        <w:autoSpaceDN/>
        <w:bidi w:val="0"/>
        <w:snapToGrid/>
        <w:spacing w:line="420" w:lineRule="exact"/>
        <w:textAlignment w:val="auto"/>
        <w:rPr>
          <w:rFonts w:hint="eastAsia"/>
          <w:sz w:val="24"/>
          <w:szCs w:val="24"/>
        </w:rPr>
      </w:pPr>
      <w:r>
        <w:rPr>
          <w:rFonts w:hint="eastAsia"/>
          <w:sz w:val="24"/>
          <w:szCs w:val="24"/>
          <w:lang w:eastAsia="zh-CN"/>
        </w:rPr>
        <w:t>（</w:t>
      </w:r>
      <w:r>
        <w:rPr>
          <w:rFonts w:hint="eastAsia"/>
          <w:sz w:val="24"/>
          <w:szCs w:val="24"/>
        </w:rPr>
        <w:t>一</w:t>
      </w:r>
      <w:r>
        <w:rPr>
          <w:rFonts w:hint="eastAsia"/>
          <w:sz w:val="24"/>
          <w:szCs w:val="24"/>
          <w:lang w:eastAsia="zh-CN"/>
        </w:rPr>
        <w:t>）</w:t>
      </w:r>
      <w:r>
        <w:rPr>
          <w:rFonts w:hint="eastAsia"/>
          <w:sz w:val="24"/>
          <w:szCs w:val="24"/>
        </w:rPr>
        <w:t>增加行政处罚的定义、扩大行政处罚的种类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原《行政处罚法》 第八条列举了七项行政处罚种类，但没有规定何为行政处罚，实践中遇到不少困难，本次修订作了完善。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一是增加行政处罚的定义。第二条规定:“行政处罚是指行政机关依法对违反行政管理秩序的公民、法人或者其他组织，以减损权益或者增加义务的方式予以惩戒的行为。”简单来讲就是新的不利处分。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二是增加行政处罚种类。第九条增加规定通报批评、降低资质等级、限制开展生产经营活动、责令关闭、限制从业。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二</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扩大地方性法规设定行政处罚的权限</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为充分发挥地方性法规在地方治理中的作用，第十二条第三款</w:t>
      </w:r>
      <w:r>
        <w:rPr>
          <w:rFonts w:hint="eastAsia" w:ascii="方正仿宋简体" w:hAnsi="方正仿宋简体" w:eastAsia="方正仿宋简体" w:cs="方正仿宋简体"/>
          <w:sz w:val="24"/>
          <w:szCs w:val="24"/>
          <w:highlight w:val="none"/>
          <w:lang w:eastAsia="zh-CN"/>
        </w:rPr>
        <w:t>增加规定：“法律、行政法规对违</w:t>
      </w:r>
      <w:r>
        <w:rPr>
          <w:rFonts w:hint="eastAsia" w:ascii="方正仿宋简体" w:hAnsi="方正仿宋简体" w:eastAsia="方正仿宋简体" w:cs="方正仿宋简体"/>
          <w:sz w:val="24"/>
          <w:szCs w:val="24"/>
          <w:highlight w:val="none"/>
        </w:rPr>
        <w:t>法行为未作出行政处罚规定，地方性法规为实施法律、行政法规，可以补充设</w:t>
      </w:r>
      <w:r>
        <w:rPr>
          <w:rFonts w:hint="eastAsia" w:ascii="方正仿宋简体" w:hAnsi="方正仿宋简体" w:eastAsia="方正仿宋简体" w:cs="方正仿宋简体"/>
          <w:sz w:val="24"/>
          <w:szCs w:val="24"/>
          <w:highlight w:val="none"/>
          <w:lang w:eastAsia="zh-CN"/>
        </w:rPr>
        <w:t>定</w:t>
      </w:r>
      <w:r>
        <w:rPr>
          <w:rFonts w:hint="eastAsia" w:ascii="方正仿宋简体" w:hAnsi="方正仿宋简体" w:eastAsia="方正仿宋简体" w:cs="方正仿宋简体"/>
          <w:sz w:val="24"/>
          <w:szCs w:val="24"/>
          <w:highlight w:val="none"/>
        </w:rPr>
        <w:t>行政处</w:t>
      </w:r>
      <w:r>
        <w:rPr>
          <w:rFonts w:hint="eastAsia" w:ascii="方正仿宋简体" w:hAnsi="方正仿宋简体" w:eastAsia="方正仿宋简体" w:cs="方正仿宋简体"/>
          <w:sz w:val="24"/>
          <w:szCs w:val="24"/>
          <w:highlight w:val="none"/>
          <w:lang w:eastAsia="zh-CN"/>
        </w:rPr>
        <w:t>罚</w:t>
      </w:r>
      <w:r>
        <w:rPr>
          <w:rFonts w:hint="eastAsia" w:ascii="方正仿宋简体" w:hAnsi="方正仿宋简体" w:eastAsia="方正仿宋简体" w:cs="方正仿宋简体"/>
          <w:sz w:val="24"/>
          <w:szCs w:val="24"/>
          <w:highlight w:val="none"/>
        </w:rPr>
        <w:t>。</w:t>
      </w:r>
      <w:r>
        <w:rPr>
          <w:rFonts w:hint="eastAsia" w:ascii="方正仿宋简体" w:hAnsi="方正仿宋简体" w:eastAsia="方正仿宋简体" w:cs="方正仿宋简体"/>
          <w:sz w:val="24"/>
          <w:szCs w:val="24"/>
          <w:highlight w:val="none"/>
          <w:lang w:eastAsia="zh-CN"/>
        </w:rPr>
        <w:t>拟</w:t>
      </w:r>
      <w:r>
        <w:rPr>
          <w:rFonts w:hint="eastAsia" w:ascii="方正仿宋简体" w:hAnsi="方正仿宋简体" w:eastAsia="方正仿宋简体" w:cs="方正仿宋简体"/>
          <w:sz w:val="24"/>
          <w:szCs w:val="24"/>
          <w:highlight w:val="none"/>
        </w:rPr>
        <w:t>补充设定行政</w:t>
      </w:r>
      <w:r>
        <w:rPr>
          <w:rFonts w:hint="eastAsia" w:ascii="方正仿宋简体" w:hAnsi="方正仿宋简体" w:eastAsia="方正仿宋简体" w:cs="方正仿宋简体"/>
          <w:sz w:val="24"/>
          <w:szCs w:val="24"/>
          <w:highlight w:val="none"/>
          <w:lang w:eastAsia="zh-CN"/>
        </w:rPr>
        <w:t>处罚</w:t>
      </w:r>
      <w:r>
        <w:rPr>
          <w:rFonts w:hint="eastAsia" w:ascii="方正仿宋简体" w:hAnsi="方正仿宋简体" w:eastAsia="方正仿宋简体" w:cs="方正仿宋简体"/>
          <w:sz w:val="24"/>
          <w:szCs w:val="24"/>
          <w:highlight w:val="none"/>
        </w:rPr>
        <w:t>的，</w:t>
      </w:r>
      <w:r>
        <w:rPr>
          <w:rFonts w:hint="eastAsia" w:ascii="方正仿宋简体" w:hAnsi="方正仿宋简体" w:eastAsia="方正仿宋简体" w:cs="方正仿宋简体"/>
          <w:sz w:val="24"/>
          <w:szCs w:val="24"/>
          <w:highlight w:val="none"/>
          <w:lang w:eastAsia="zh-CN"/>
        </w:rPr>
        <w:t>应当</w:t>
      </w:r>
      <w:r>
        <w:rPr>
          <w:rFonts w:hint="eastAsia" w:ascii="方正仿宋简体" w:hAnsi="方正仿宋简体" w:eastAsia="方正仿宋简体" w:cs="方正仿宋简体"/>
          <w:sz w:val="24"/>
          <w:szCs w:val="24"/>
          <w:highlight w:val="none"/>
        </w:rPr>
        <w:t>通过听证会、论证会等形式广泛听取意见，</w:t>
      </w:r>
      <w:r>
        <w:rPr>
          <w:rFonts w:hint="eastAsia" w:ascii="方正仿宋简体" w:hAnsi="方正仿宋简体" w:eastAsia="方正仿宋简体" w:cs="方正仿宋简体"/>
          <w:sz w:val="24"/>
          <w:szCs w:val="24"/>
          <w:highlight w:val="none"/>
          <w:lang w:eastAsia="zh-CN"/>
        </w:rPr>
        <w:t>并</w:t>
      </w:r>
      <w:r>
        <w:rPr>
          <w:rFonts w:hint="eastAsia" w:ascii="方正仿宋简体" w:hAnsi="方正仿宋简体" w:eastAsia="方正仿宋简体" w:cs="方正仿宋简体"/>
          <w:sz w:val="24"/>
          <w:szCs w:val="24"/>
          <w:highlight w:val="none"/>
        </w:rPr>
        <w:t>向</w:t>
      </w:r>
      <w:r>
        <w:rPr>
          <w:rFonts w:hint="eastAsia" w:ascii="方正仿宋简体" w:hAnsi="方正仿宋简体" w:eastAsia="方正仿宋简体" w:cs="方正仿宋简体"/>
          <w:sz w:val="24"/>
          <w:szCs w:val="24"/>
          <w:highlight w:val="none"/>
          <w:lang w:eastAsia="zh-CN"/>
        </w:rPr>
        <w:t>制定机</w:t>
      </w:r>
      <w:r>
        <w:rPr>
          <w:rFonts w:hint="eastAsia" w:ascii="方正仿宋简体" w:hAnsi="方正仿宋简体" w:eastAsia="方正仿宋简体" w:cs="方正仿宋简体"/>
          <w:sz w:val="24"/>
          <w:szCs w:val="24"/>
          <w:highlight w:val="none"/>
        </w:rPr>
        <w:t>关作出书面说明。地方性法规报送备案时，应当说明补充设定行政处罚的情况。”同时，第十一条第三款进一步明确了行政法规设定行政处罚的创制性立法权。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三</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完善行政处罚实施主体规定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一是根据党和国家机构改革和行政执法体制改革要求，首次规定“综合行政执法”，在原第十六条基础上增加一款，作为第十八条第一款，规定:“国家在城市管理、市场监管、生态环境、文化市场、交通运输、应急管理、农业等领域推行建立综合行政执法制度，相对集中行政处罚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二是进一步规范委托行政处罚。在原第十八条基础上增加一款，作为第二十条第二款，规定“委托书应当载明委托的具体事项、权限、期限等内容。委托行政机关和受委托组织应当将委托书向社会公布。</w:t>
      </w:r>
      <w:r>
        <w:rPr>
          <w:rFonts w:hint="eastAsia" w:ascii="方正仿宋简体" w:hAnsi="方正仿宋简体" w:eastAsia="方正仿宋简体" w:cs="方正仿宋简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三是规定交由乡镇人民政府、街道办事处行使县级人民政府部门的行政处罚权，但第二十四条规定了基层管理迫切需要、能够有效承接、定期组织评估、省</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自治区、直辖市</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决定应当公布、加强执法能力建设、完善评议考核制度等诸多限制性要求。</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lang w:eastAsia="zh-CN"/>
        </w:rPr>
        <w:t>（四）</w:t>
      </w:r>
      <w:r>
        <w:rPr>
          <w:rFonts w:hint="eastAsia" w:ascii="楷体_GB2312" w:hAnsi="楷体_GB2312" w:eastAsia="楷体_GB2312" w:cs="楷体_GB2312"/>
          <w:sz w:val="24"/>
          <w:szCs w:val="24"/>
          <w:highlight w:val="none"/>
        </w:rPr>
        <w:t>完善行政处罚的适用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一是规定责令退赔和</w:t>
      </w:r>
      <w:r>
        <w:rPr>
          <w:rFonts w:hint="eastAsia" w:ascii="方正仿宋简体" w:hAnsi="方正仿宋简体" w:eastAsia="方正仿宋简体" w:cs="方正仿宋简体"/>
          <w:sz w:val="24"/>
          <w:szCs w:val="24"/>
          <w:highlight w:val="none"/>
          <w:lang w:val="en-US" w:eastAsia="zh-CN"/>
        </w:rPr>
        <w:t>违</w:t>
      </w:r>
      <w:r>
        <w:rPr>
          <w:rFonts w:hint="eastAsia" w:ascii="方正仿宋简体" w:hAnsi="方正仿宋简体" w:eastAsia="方正仿宋简体" w:cs="方正仿宋简体"/>
          <w:sz w:val="24"/>
          <w:szCs w:val="24"/>
          <w:highlight w:val="none"/>
        </w:rPr>
        <w:t>法所得为“</w:t>
      </w:r>
      <w:r>
        <w:rPr>
          <w:rFonts w:hint="eastAsia" w:ascii="方正仿宋简体" w:hAnsi="方正仿宋简体" w:eastAsia="方正仿宋简体" w:cs="方正仿宋简体"/>
          <w:sz w:val="24"/>
          <w:szCs w:val="24"/>
          <w:highlight w:val="none"/>
          <w:lang w:val="en-US" w:eastAsia="zh-CN"/>
        </w:rPr>
        <w:t>收入</w:t>
      </w:r>
      <w:r>
        <w:rPr>
          <w:rFonts w:hint="eastAsia" w:ascii="方正仿宋简体" w:hAnsi="方正仿宋简体" w:eastAsia="方正仿宋简体" w:cs="方正仿宋简体"/>
          <w:sz w:val="24"/>
          <w:szCs w:val="24"/>
          <w:highlight w:val="none"/>
        </w:rPr>
        <w:t>”。第二十</w:t>
      </w:r>
      <w:r>
        <w:rPr>
          <w:rFonts w:hint="eastAsia" w:ascii="方正仿宋简体" w:hAnsi="方正仿宋简体" w:eastAsia="方正仿宋简体" w:cs="方正仿宋简体"/>
          <w:sz w:val="24"/>
          <w:szCs w:val="24"/>
          <w:highlight w:val="none"/>
          <w:lang w:eastAsia="zh-CN"/>
        </w:rPr>
        <w:t>八</w:t>
      </w:r>
      <w:r>
        <w:rPr>
          <w:rFonts w:hint="eastAsia" w:ascii="方正仿宋简体" w:hAnsi="方正仿宋简体" w:eastAsia="方正仿宋简体" w:cs="方正仿宋简体"/>
          <w:sz w:val="24"/>
          <w:szCs w:val="24"/>
          <w:highlight w:val="none"/>
        </w:rPr>
        <w:t>条第二款规定:</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当事人有违法所得，除依法应当退赔的外，应当予以没收。违法所得是指实施违法行为所取</w:t>
      </w:r>
      <w:r>
        <w:rPr>
          <w:rFonts w:hint="eastAsia" w:ascii="方正仿宋简体" w:hAnsi="方正仿宋简体" w:eastAsia="方正仿宋简体" w:cs="方正仿宋简体"/>
          <w:sz w:val="24"/>
          <w:szCs w:val="24"/>
          <w:highlight w:val="none"/>
          <w:lang w:eastAsia="zh-CN"/>
        </w:rPr>
        <w:t>得</w:t>
      </w:r>
      <w:r>
        <w:rPr>
          <w:rFonts w:hint="eastAsia" w:ascii="方正仿宋简体" w:hAnsi="方正仿宋简体" w:eastAsia="方正仿宋简体" w:cs="方正仿宋简体"/>
          <w:sz w:val="24"/>
          <w:szCs w:val="24"/>
          <w:highlight w:val="none"/>
        </w:rPr>
        <w:t>的款项。法律、行政法规、部门规章对违法所得的计算另有规定的，从其规定。</w:t>
      </w:r>
      <w:r>
        <w:rPr>
          <w:rFonts w:hint="eastAsia" w:ascii="方正仿宋简体" w:hAnsi="方正仿宋简体" w:eastAsia="方正仿宋简体" w:cs="方正仿宋简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二是规定过错推定原则。这是对应受行政处罚行为构成要件的重大修改。第三十三条第二款规定:“当事人有证</w:t>
      </w:r>
      <w:r>
        <w:rPr>
          <w:rFonts w:hint="eastAsia" w:ascii="方正仿宋简体" w:hAnsi="方正仿宋简体" w:eastAsia="方正仿宋简体" w:cs="方正仿宋简体"/>
          <w:sz w:val="24"/>
          <w:szCs w:val="24"/>
          <w:highlight w:val="none"/>
          <w:lang w:eastAsia="zh-CN"/>
        </w:rPr>
        <w:t>据</w:t>
      </w:r>
      <w:r>
        <w:rPr>
          <w:rFonts w:hint="eastAsia" w:ascii="方正仿宋简体" w:hAnsi="方正仿宋简体" w:eastAsia="方正仿宋简体" w:cs="方正仿宋简体"/>
          <w:sz w:val="24"/>
          <w:szCs w:val="24"/>
          <w:highlight w:val="none"/>
        </w:rPr>
        <w:t>足以证明没有主观过错的，不予行政处罚。法律、行政法规另有规定的，从其规定。”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三是首次规定了行政协助。第二十六条规定:“行政机关因实施行政处罚的需要，可以向有关机关提出协助请求。协助事项属于被请求机关职权范围内的，应当依法予以协助。”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四是规定同一个违法行为违反多个法律规范应当给予罚款处罚的，按照罚款数额高的规定处罚。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五是完善了 “两法衔接”。首次要求从司法机关到行政机关的逆循环，及“对依法不需要追究刑事责任或者免予刑事处罚，但应当给予行政处罚的，司法机关应当及时将案件移送有关行政机关”，并对衔接机制作了进一步规定，要求“行政处罚实施机关与司法机关之间应当加强协调配合，建立健全案件移送制度，加强证据材料移交，接收衔接，完</w:t>
      </w:r>
      <w:r>
        <w:rPr>
          <w:rFonts w:hint="eastAsia" w:ascii="方正仿宋简体" w:hAnsi="方正仿宋简体" w:eastAsia="方正仿宋简体" w:cs="方正仿宋简体"/>
          <w:sz w:val="24"/>
          <w:szCs w:val="24"/>
          <w:highlight w:val="none"/>
          <w:lang w:eastAsia="zh-CN"/>
        </w:rPr>
        <w:t>善</w:t>
      </w:r>
      <w:r>
        <w:rPr>
          <w:rFonts w:hint="eastAsia" w:ascii="方正仿宋简体" w:hAnsi="方正仿宋简体" w:eastAsia="方正仿宋简体" w:cs="方正仿宋简体"/>
          <w:sz w:val="24"/>
          <w:szCs w:val="24"/>
          <w:highlight w:val="none"/>
        </w:rPr>
        <w:t>案件处理信息通报机制。”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六是规范行政处罚自由裁量权行使。完善了从轻或者减轻行政处罚，增加了初次违法可以不予处罚。增加规定行政机关可以依法制定行政处罚裁量基准。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七是完普追责时效，涉及公民生命健康安全、金融安全等重点领域的违法行为的追责期限由两年延长至五年。</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八是增加“从旧兼从轻”适用规则，实施行政处罚，适用违法行为发生时的法律、法规、规章的规定。但是，作出行政处罚决定时，法律、法规、规章已被修改或者废止，且新的规定处罚较轻或者不认为是违法的，适用新的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九是完善行政处罚决定无效制度。行政处罚没有依据或者实施主体不具有行政主体资格的，以及违反法定程序构成重大且明显违法的，行政处罚无效。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十是明确行政处罚证据种类和适用规则，规定证据必须经查证属实，方可作为认定案件事实的根据；以非法手段取得的证据，不得作为认定案件事实的根据。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十一是进一步明确适用范围。外国人、无国籍人、外国组织在中华人民共和国领域内有违法行为，应当给予行政处罚的，适用本法，法律另有规定的除外。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（五）完善行政处罚的程序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一是明确公示要求，增加规定行政处罚的实施机关、立案依据、实施程序和救济渠道等信息应当公示；具有一定社会影响的行政处罚决定应当依法公开。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lang w:eastAsia="zh-CN"/>
        </w:rPr>
        <w:t>二</w:t>
      </w:r>
      <w:r>
        <w:rPr>
          <w:rFonts w:hint="eastAsia" w:ascii="方正仿宋简体" w:hAnsi="方正仿宋简体" w:eastAsia="方正仿宋简体" w:cs="方正仿宋简体"/>
          <w:sz w:val="24"/>
          <w:szCs w:val="24"/>
          <w:highlight w:val="none"/>
        </w:rPr>
        <w:t>是体现全程记录，增加规定行政机关应当依法以文字、音像等形式，对行政处罚的启动、调查取证、</w:t>
      </w:r>
      <w:r>
        <w:rPr>
          <w:rFonts w:hint="eastAsia" w:ascii="方正仿宋简体" w:hAnsi="方正仿宋简体" w:eastAsia="方正仿宋简体" w:cs="方正仿宋简体"/>
          <w:sz w:val="24"/>
          <w:szCs w:val="24"/>
          <w:highlight w:val="none"/>
          <w:lang w:eastAsia="zh-CN"/>
        </w:rPr>
        <w:t>审</w:t>
      </w:r>
      <w:r>
        <w:rPr>
          <w:rFonts w:hint="eastAsia" w:ascii="方正仿宋简体" w:hAnsi="方正仿宋简体" w:eastAsia="方正仿宋简体" w:cs="方正仿宋简体"/>
          <w:sz w:val="24"/>
          <w:szCs w:val="24"/>
          <w:highlight w:val="none"/>
        </w:rPr>
        <w:t>核、决定、送达、执行等进行全过程记录，归档保存。</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三是细化法制审核程序，列明适用情形，明确未经法制审核或者审核未通过的，不得作出行政处罚决定。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四是规范非现场执法，利用电子技术监控设备收集、固定违法事实的，应当经过法制和技术审核，确保电子技术监控设备符合标准、设置合理、标志明显，设置地点应当向社会公布。电子技术监控设备记录违法事实应当真实、清晰、完整、准确。同时，要保障陈述权、申辩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五是进一步完善回避制度，细化回避情形，明确对回避申请应当依法审查，但不停止调查或者实施行政处罚。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六是增加规定发生重大传染病疫情等突发事件，为了控制、减轻和消除突发事件引起的社会危害，行政机关对违反突发事件应对措施的行为，依法快速、从重处罚，但不完全等于简化程序。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七是适应行政执法实际需要，将适用简易程序的罚款数额由五十元以下和一千元以下，分别提高至二百元以下和三千元以下。</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八是增加立案程序和办理时限，除当场作出的行政处罚外，行政机关认为符合立案标准的，应当立案</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案件办理时限原则上是九十日。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九是完善听证程序，扩大适用范围，增加了“</w:t>
      </w:r>
      <w:r>
        <w:rPr>
          <w:rFonts w:hint="eastAsia" w:ascii="方正仿宋简体" w:hAnsi="方正仿宋简体" w:eastAsia="方正仿宋简体" w:cs="方正仿宋简体"/>
          <w:sz w:val="24"/>
          <w:szCs w:val="24"/>
          <w:highlight w:val="none"/>
          <w:lang w:eastAsia="zh-CN"/>
        </w:rPr>
        <w:t>没收较大数额违法所得、没收较大价值非法财物，降低资质等级，责令关闭，限制从业，其他较重的行政处罚”等，适当延长申请期限，明确行政机关应当结合听证笔录作出决定。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十是增加电子送达，当事人同意并签订确认书的，行政机关可以采用传真、电子邮件等方式，将行政处罚决定书等送达当事人。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（六）完善行政处罚的执行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一是适应行政执法实际需要，将行政机关当场收缴的罚款数额由二十元以下提高至一百元以下。</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二是与《行政强制法》相衔接，完善行政处罚的强制执行程序，规定当事人逾期不履行行政处罚决定的，行政机关可以根据法律规定实施行政强制执行。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三是明确行政机关批准延期、分期缴纳罚款的，申请人民法院强制执行的期限，自暂缓或者分期缴纳罚款期限结束之日起计算。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四是增加对限制人身自由的行政处罚决定，当事人可以申请暂缓执行。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五是明确当事人申请行政复议或者提起行政诉讼的，加处罚款的数额在行政复议或者行政诉讼期间不予计算。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六是增加电子支付，当事人还可以通过电子支付系统缴纳罚款。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eastAsia="zh-CN"/>
        </w:rPr>
      </w:pPr>
      <w:r>
        <w:rPr>
          <w:rFonts w:hint="eastAsia" w:ascii="楷体_GB2312" w:hAnsi="楷体_GB2312" w:eastAsia="楷体_GB2312" w:cs="楷体_GB2312"/>
          <w:sz w:val="24"/>
          <w:szCs w:val="24"/>
          <w:highlight w:val="none"/>
          <w:lang w:eastAsia="zh-CN"/>
        </w:rPr>
        <w:t>（七）加强行政执法监督</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一是增加规定罚款、没收违法所得或者没收非法财物拍卖的款项，不得同作出行政处罚决定的行政机关及其工作人员的考核、考评直接或者变相挂钩。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二是增加规定县级以上人民政府应当定期组织开展行政执法评议、考核，加强对行政处罚的监督检查，规范和保障行政处罚的实施。</w:t>
      </w: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pStyle w:val="2"/>
        <w:bidi w:val="0"/>
        <w:rPr>
          <w:rFonts w:hint="eastAsia"/>
          <w:highlight w:val="none"/>
        </w:rPr>
      </w:pPr>
    </w:p>
    <w:p>
      <w:pPr>
        <w:pStyle w:val="2"/>
        <w:bidi w:val="0"/>
        <w:rPr>
          <w:rFonts w:hint="eastAsia"/>
          <w:highlight w:val="none"/>
        </w:rPr>
      </w:pPr>
      <w:r>
        <w:rPr>
          <w:rFonts w:hint="eastAsia"/>
          <w:highlight w:val="none"/>
        </w:rPr>
        <w:t>中华人民共和国行政处罚法</w:t>
      </w: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1996年3月17日第八届全国人民代表大会第四次会议通过</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根据2009年8月27日第十一届全国人民代表大会常务委员会第十次会议《关于修改部分法律的决定》第一次修正</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根据2017年9月1日第十二届全国人民代表大会常务委员会第二十九次会议《关于修改〈中华人民共和国法官法〉等八部法律的决定》第二次修正</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2021年1月22日第十三届全国人民代表大会常务委员会第二十五次会议修订</w:t>
      </w:r>
      <w:r>
        <w:rPr>
          <w:rFonts w:hint="eastAsia" w:ascii="方正仿宋简体" w:hAnsi="方正仿宋简体" w:eastAsia="方正仿宋简体" w:cs="方正仿宋简体"/>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2640" w:firstLineChars="1100"/>
        <w:jc w:val="both"/>
        <w:textAlignment w:val="auto"/>
        <w:rPr>
          <w:rFonts w:hint="eastAsia" w:ascii="方正仿宋简体" w:hAnsi="方正仿宋简体" w:eastAsia="方正仿宋简体" w:cs="方正仿宋简体"/>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2640" w:firstLineChars="1100"/>
        <w:jc w:val="both"/>
        <w:textAlignment w:val="auto"/>
        <w:rPr>
          <w:rFonts w:hint="eastAsia" w:ascii="方正仿宋简体" w:hAnsi="方正仿宋简体" w:eastAsia="方正仿宋简体" w:cs="方正仿宋简体"/>
          <w:sz w:val="24"/>
          <w:szCs w:val="24"/>
          <w:highlight w:val="none"/>
          <w:lang w:eastAsia="zh-CN"/>
        </w:rPr>
      </w:pPr>
      <w:r>
        <w:rPr>
          <w:rFonts w:hint="eastAsia" w:ascii="方正仿宋简体" w:hAnsi="方正仿宋简体" w:eastAsia="方正仿宋简体" w:cs="方正仿宋简体"/>
          <w:sz w:val="24"/>
          <w:szCs w:val="24"/>
          <w:highlight w:val="none"/>
        </w:rPr>
        <w:t>目</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lang w:eastAsia="zh-CN"/>
        </w:rPr>
        <w:t>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第一章</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总则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第二章</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行政处罚的种类和设定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第三章</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行政处罚的实施机关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第四章</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行政处罚的管辖和适用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第五章</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行政处罚的决定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720" w:firstLineChars="3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第一节</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lang w:eastAsia="zh-CN"/>
        </w:rPr>
        <w:t>一</w:t>
      </w:r>
      <w:r>
        <w:rPr>
          <w:rFonts w:hint="eastAsia" w:ascii="方正仿宋简体" w:hAnsi="方正仿宋简体" w:eastAsia="方正仿宋简体" w:cs="方正仿宋简体"/>
          <w:sz w:val="24"/>
          <w:szCs w:val="24"/>
          <w:highlight w:val="none"/>
        </w:rPr>
        <w:t>般规定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720" w:firstLineChars="3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第二节</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简易程序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720" w:firstLineChars="3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第三节</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普通程序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720" w:firstLineChars="3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第四节  听证程序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第六章  行政处罚的执行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第七章  法律责任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第八章  附则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第一条</w:t>
      </w:r>
      <w:r>
        <w:rPr>
          <w:rFonts w:hint="eastAsia" w:ascii="方正仿宋简体" w:hAnsi="方正仿宋简体" w:eastAsia="方正仿宋简体" w:cs="方正仿宋简体"/>
          <w:sz w:val="24"/>
          <w:szCs w:val="24"/>
          <w:highlight w:val="none"/>
          <w:lang w:val="en-US" w:eastAsia="zh-CN"/>
        </w:rPr>
        <w:t xml:space="preserve">  为了规范行政处罚的设定和实施，保障和监督行政机关有效实施行政管理，维护公共利益和社会秩序，保护公民、法人或者其他组织的合法权益，根据宪法，制定本法。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第二条</w:t>
      </w:r>
      <w:r>
        <w:rPr>
          <w:rFonts w:hint="eastAsia" w:ascii="方正仿宋简体" w:hAnsi="方正仿宋简体" w:eastAsia="方正仿宋简体" w:cs="方正仿宋简体"/>
          <w:sz w:val="24"/>
          <w:szCs w:val="24"/>
          <w:highlight w:val="none"/>
          <w:lang w:val="en-US" w:eastAsia="zh-CN"/>
        </w:rPr>
        <w:t xml:space="preserve">  行政处罚是指行政机关依法对违反行政管理秩序的公民、法人或者其他组织，以减损权益或者增加义务的方式予以惩戒的行为。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第三条</w:t>
      </w:r>
      <w:r>
        <w:rPr>
          <w:rFonts w:hint="eastAsia" w:ascii="方正仿宋简体" w:hAnsi="方正仿宋简体" w:eastAsia="方正仿宋简体" w:cs="方正仿宋简体"/>
          <w:sz w:val="24"/>
          <w:szCs w:val="24"/>
          <w:highlight w:val="none"/>
          <w:lang w:val="en-US" w:eastAsia="zh-CN"/>
        </w:rPr>
        <w:t xml:space="preserve">  行政处罚的设定和实施，适用本法。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第四条</w:t>
      </w:r>
      <w:r>
        <w:rPr>
          <w:rFonts w:hint="eastAsia" w:ascii="方正仿宋简体" w:hAnsi="方正仿宋简体" w:eastAsia="方正仿宋简体" w:cs="方正仿宋简体"/>
          <w:sz w:val="24"/>
          <w:szCs w:val="24"/>
          <w:highlight w:val="none"/>
          <w:lang w:val="en-US" w:eastAsia="zh-CN"/>
        </w:rPr>
        <w:t xml:space="preserve">  公民、法人或者其他组织违反行政管理秩序的行为，应当给予行政处罚的，依照本法由法律、法规、规章规定，并由行政机关依照本法规定的程序实施。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第五条</w:t>
      </w:r>
      <w:r>
        <w:rPr>
          <w:rFonts w:hint="eastAsia" w:ascii="方正仿宋简体" w:hAnsi="方正仿宋简体" w:eastAsia="方正仿宋简体" w:cs="方正仿宋简体"/>
          <w:sz w:val="24"/>
          <w:szCs w:val="24"/>
          <w:highlight w:val="none"/>
          <w:lang w:val="en-US" w:eastAsia="zh-CN"/>
        </w:rPr>
        <w:t xml:space="preserve">  行政处罚遵循公正、公开的原则。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设定和实施行政处罚必须以事实为依据，与违法行为的事实、性质、情节以及社会危害程度相当。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对违法行为给予行政处罚的规定必须公布；未经公布的，不得作为行政处罚的依据。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第六条</w:t>
      </w:r>
      <w:r>
        <w:rPr>
          <w:rFonts w:hint="eastAsia" w:ascii="方正仿宋简体" w:hAnsi="方正仿宋简体" w:eastAsia="方正仿宋简体" w:cs="方正仿宋简体"/>
          <w:sz w:val="24"/>
          <w:szCs w:val="24"/>
          <w:highlight w:val="none"/>
          <w:lang w:val="en-US" w:eastAsia="zh-CN"/>
        </w:rPr>
        <w:t xml:space="preserve">  实施行政处罚，纠正违法行为，应当坚持处罚与教育相结合，教育公民、法人或者其他组织自觉守法。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第七条</w:t>
      </w:r>
      <w:r>
        <w:rPr>
          <w:rFonts w:hint="eastAsia" w:ascii="方正仿宋简体" w:hAnsi="方正仿宋简体" w:eastAsia="方正仿宋简体" w:cs="方正仿宋简体"/>
          <w:sz w:val="24"/>
          <w:szCs w:val="24"/>
          <w:highlight w:val="none"/>
          <w:lang w:val="en-US" w:eastAsia="zh-CN"/>
        </w:rPr>
        <w:t xml:space="preserve">  公民、法人或者其他组织对行政机关所给予的行政处罚，享有陈述权、申辩权；对行政处罚不服的，有权依法申请行政复议或者提起行政诉讼。</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公民、法人或者其他组织因行政机关违法给予行政处罚受到损害的，有权依法提出赔偿要求。</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第八条</w:t>
      </w:r>
      <w:r>
        <w:rPr>
          <w:rFonts w:hint="eastAsia" w:ascii="方正仿宋简体" w:hAnsi="方正仿宋简体" w:eastAsia="方正仿宋简体" w:cs="方正仿宋简体"/>
          <w:sz w:val="24"/>
          <w:szCs w:val="24"/>
          <w:highlight w:val="none"/>
          <w:lang w:val="en-US" w:eastAsia="zh-CN"/>
        </w:rPr>
        <w:t xml:space="preserve">  公民、法人或者其他组织因违法行为受到行政处罚，其违法行为对他人造成损害的，应当依法承担民事责任。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违法行为构成犯罪，应当依法追究刑事责任的，不得以行政处罚代替刑事处罚。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第二章  行政处罚的种类和设定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第九条</w:t>
      </w:r>
      <w:r>
        <w:rPr>
          <w:rFonts w:hint="eastAsia" w:ascii="方正仿宋简体" w:hAnsi="方正仿宋简体" w:eastAsia="方正仿宋简体" w:cs="方正仿宋简体"/>
          <w:sz w:val="24"/>
          <w:szCs w:val="24"/>
          <w:highlight w:val="none"/>
          <w:lang w:val="en-US" w:eastAsia="zh-CN"/>
        </w:rPr>
        <w:t xml:space="preserve">  行政处罚的种类: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（一）警告、通报批评；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（二）罚款、没收违法所得、没收非法财物；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（三）暂扣许可证件、降低资质等级、吊销许可证件；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（四）限制开展生产经营活动、责令停产停业、责令关闭、限制从业；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（五）行政拘留；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（六）法律、行政法规规定的其他行政处罚。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第十条</w:t>
      </w:r>
      <w:r>
        <w:rPr>
          <w:rFonts w:hint="eastAsia" w:ascii="方正仿宋简体" w:hAnsi="方正仿宋简体" w:eastAsia="方正仿宋简体" w:cs="方正仿宋简体"/>
          <w:sz w:val="24"/>
          <w:szCs w:val="24"/>
          <w:highlight w:val="none"/>
          <w:lang w:val="en-US" w:eastAsia="zh-CN"/>
        </w:rPr>
        <w:t xml:space="preserve">  法律可以设定各种行政处罚。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限制人身自由的行政处罚，只能由法律设定。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第十一条</w:t>
      </w:r>
      <w:r>
        <w:rPr>
          <w:rFonts w:hint="eastAsia" w:ascii="方正仿宋简体" w:hAnsi="方正仿宋简体" w:eastAsia="方正仿宋简体" w:cs="方正仿宋简体"/>
          <w:sz w:val="24"/>
          <w:szCs w:val="24"/>
          <w:highlight w:val="none"/>
          <w:lang w:val="en-US" w:eastAsia="zh-CN"/>
        </w:rPr>
        <w:t xml:space="preserve">  行政法规可以设定除限制人身自由以外的行政处罚。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法律对违法行为已经做出行政处罚规定，行政法规需要作出具体规定的，必须在法律规定的给予行政处罚的行为、种类和幅度的范围内规定。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第十二条</w:t>
      </w:r>
      <w:r>
        <w:rPr>
          <w:rFonts w:hint="eastAsia" w:ascii="方正仿宋简体" w:hAnsi="方正仿宋简体" w:eastAsia="方正仿宋简体" w:cs="方正仿宋简体"/>
          <w:sz w:val="24"/>
          <w:szCs w:val="24"/>
          <w:highlight w:val="none"/>
          <w:lang w:val="en-US" w:eastAsia="zh-CN"/>
        </w:rPr>
        <w:t xml:space="preserve">  地方性法规可以设定除限制人身自由、吊销营业执照以外的行政处罚。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法律、行政法规对违法行为已经作出行政处罚规定，地方性法规需要作出具体规定的，必须在法律、行政法规规定的给予行政处罚的行为、种类和幅度的范围内规定。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第十三条</w:t>
      </w:r>
      <w:r>
        <w:rPr>
          <w:rFonts w:hint="eastAsia" w:ascii="方正仿宋简体" w:hAnsi="方正仿宋简体" w:eastAsia="方正仿宋简体" w:cs="方正仿宋简体"/>
          <w:sz w:val="24"/>
          <w:szCs w:val="24"/>
          <w:highlight w:val="none"/>
          <w:lang w:val="en-US" w:eastAsia="zh-CN"/>
        </w:rPr>
        <w:t xml:space="preserve">  国务院部门规章可以在法律、行政法规规定的给予行政处罚的行为、种类和幅度的范围内作出具体规定。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尚未制定法律、行政法规的，国务院部门规章对违反行政管理秩序的行为，可以设定警告、通报批评或者一定数额罚款的行政处罚。罚款的限额由国务院规定。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第十四条</w:t>
      </w:r>
      <w:r>
        <w:rPr>
          <w:rFonts w:hint="eastAsia" w:ascii="方正仿宋简体" w:hAnsi="方正仿宋简体" w:eastAsia="方正仿宋简体" w:cs="方正仿宋简体"/>
          <w:sz w:val="24"/>
          <w:szCs w:val="24"/>
          <w:highlight w:val="none"/>
          <w:lang w:val="en-US" w:eastAsia="zh-CN"/>
        </w:rPr>
        <w:t xml:space="preserve">  地方政府规章可以在法律、法规规定的给予行政处罚的行为、种类和幅度的范围内作出具体规定。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尚未制定法律、法规的，地方政府规章对违反行政管理秩序的行为，可以设定警告、通报批评或者一定数额罚款的行政处罚。罚款的限额由省、自治区、直辖市人民代表大会常务委员会规定。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第十五条</w:t>
      </w:r>
      <w:r>
        <w:rPr>
          <w:rFonts w:hint="eastAsia" w:ascii="方正仿宋简体" w:hAnsi="方正仿宋简体" w:eastAsia="方正仿宋简体" w:cs="方正仿宋简体"/>
          <w:sz w:val="24"/>
          <w:szCs w:val="24"/>
          <w:highlight w:val="none"/>
          <w:lang w:val="en-US" w:eastAsia="zh-CN"/>
        </w:rPr>
        <w:t xml:space="preserve">  国务院部门和省、 自治区、直辖市人民政府及其有关部门应当定期组织评估行政处罚的实施情况和必要性，对不适当的行政处罚事项及种类、罚款数额等，应当提出修改或者废止的建议。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第十六条</w:t>
      </w:r>
      <w:r>
        <w:rPr>
          <w:rFonts w:hint="eastAsia" w:ascii="方正仿宋简体" w:hAnsi="方正仿宋简体" w:eastAsia="方正仿宋简体" w:cs="方正仿宋简体"/>
          <w:sz w:val="24"/>
          <w:szCs w:val="24"/>
          <w:highlight w:val="none"/>
          <w:lang w:val="en-US" w:eastAsia="zh-CN"/>
        </w:rPr>
        <w:t xml:space="preserve">  除法律、 法规、规章外，其他规范性文件不得设定行政处罚。</w:t>
      </w:r>
      <w:r>
        <w:rPr>
          <w:rFonts w:hint="eastAsia" w:ascii="方正仿宋简体" w:hAnsi="方正仿宋简体" w:eastAsia="方正仿宋简体" w:cs="方正仿宋简体"/>
          <w:sz w:val="24"/>
          <w:szCs w:val="24"/>
          <w:highlight w:val="none"/>
          <w:lang w:val="en-US" w:eastAsia="zh-CN"/>
        </w:rPr>
        <w:br w:type="textWrapping"/>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第三章  行政处罚的实施机关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第十七条</w:t>
      </w:r>
      <w:r>
        <w:rPr>
          <w:rFonts w:hint="eastAsia" w:ascii="方正仿宋简体" w:hAnsi="方正仿宋简体" w:eastAsia="方正仿宋简体" w:cs="方正仿宋简体"/>
          <w:sz w:val="24"/>
          <w:szCs w:val="24"/>
          <w:highlight w:val="none"/>
          <w:lang w:val="en-US" w:eastAsia="zh-CN"/>
        </w:rPr>
        <w:t xml:space="preserve">  行政处罚由具有行政处罚权的行政机关在法定职权范围内实施。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第十八条</w:t>
      </w:r>
      <w:r>
        <w:rPr>
          <w:rFonts w:hint="eastAsia" w:ascii="方正仿宋简体" w:hAnsi="方正仿宋简体" w:eastAsia="方正仿宋简体" w:cs="方正仿宋简体"/>
          <w:sz w:val="24"/>
          <w:szCs w:val="24"/>
          <w:highlight w:val="none"/>
          <w:lang w:val="en-US" w:eastAsia="zh-CN"/>
        </w:rPr>
        <w:t xml:space="preserve">  国家在城市管理、 市场监管、生态环境、文化市场、交通运输、应急管理、农业等领域推行建立综合行政执法制度，相对集中行政处罚权。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国务院或者省、自治区、直辖市人民政府可以决定一个行政机关行使有关行政机关的行政处罚权。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限制人身自由的行政处罚权只能由公安机关和法律规定的其他机关行使。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第十九条</w:t>
      </w:r>
      <w:r>
        <w:rPr>
          <w:rFonts w:hint="eastAsia" w:ascii="方正仿宋简体" w:hAnsi="方正仿宋简体" w:eastAsia="方正仿宋简体" w:cs="方正仿宋简体"/>
          <w:sz w:val="24"/>
          <w:szCs w:val="24"/>
          <w:highlight w:val="none"/>
          <w:lang w:val="en-US" w:eastAsia="zh-CN"/>
        </w:rPr>
        <w:t xml:space="preserve">  法律、法规授权的具有管理公共事务职能的组织可以在法定授权范围内实施行政处罚。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第二十条</w:t>
      </w:r>
      <w:r>
        <w:rPr>
          <w:rFonts w:hint="eastAsia" w:ascii="方正仿宋简体" w:hAnsi="方正仿宋简体" w:eastAsia="方正仿宋简体" w:cs="方正仿宋简体"/>
          <w:sz w:val="24"/>
          <w:szCs w:val="24"/>
          <w:highlight w:val="none"/>
          <w:lang w:val="en-US" w:eastAsia="zh-CN"/>
        </w:rPr>
        <w:t xml:space="preserve">  行政机关依照法律、法规、规章的规定，可以在其法定权限内书面委托符合本法第二十一条规定条件的组织实施行政处罚。行政机关不得委托其他组织或者个人实施行政处罚。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委托书应当载明委托的具体事项、权限、期限等内容。委托行政机关和受委托组织应当将委托书向社会公布。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委托行政机关对受委托组织实施行政处罚的行为应当负责监督，并对该行为的后果承担法律责任。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受委托组织在委托范围内，以委托行政机关名义实施行政处罚；不得再委托其他组织或者个人实施行政处罚。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第二十一条</w:t>
      </w:r>
      <w:r>
        <w:rPr>
          <w:rFonts w:hint="eastAsia" w:ascii="方正仿宋简体" w:hAnsi="方正仿宋简体" w:eastAsia="方正仿宋简体" w:cs="方正仿宋简体"/>
          <w:sz w:val="24"/>
          <w:szCs w:val="24"/>
          <w:highlight w:val="none"/>
          <w:lang w:val="en-US" w:eastAsia="zh-CN"/>
        </w:rPr>
        <w:t xml:space="preserve">  受委托组织必须符合以下条件: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（一）依法成立并具有管理公共事务职能；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（二）有熟悉有关法律、法规、规章和业务并取得行政执法资格的工作人员；</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（三）需要进行技术检查或者技术鉴定的，应当有条件组织进行相应的技术检查或者技术鉴定。</w:t>
      </w:r>
      <w:r>
        <w:rPr>
          <w:rFonts w:hint="eastAsia" w:ascii="方正仿宋简体" w:hAnsi="方正仿宋简体" w:eastAsia="方正仿宋简体" w:cs="方正仿宋简体"/>
          <w:sz w:val="24"/>
          <w:szCs w:val="24"/>
          <w:highlight w:val="none"/>
          <w:lang w:val="en-US" w:eastAsia="zh-CN"/>
        </w:rPr>
        <w:br w:type="textWrapping"/>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第四章  行政处罚的管辖和适用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第二十二条</w:t>
      </w:r>
      <w:r>
        <w:rPr>
          <w:rFonts w:hint="eastAsia" w:ascii="方正仿宋简体" w:hAnsi="方正仿宋简体" w:eastAsia="方正仿宋简体" w:cs="方正仿宋简体"/>
          <w:sz w:val="24"/>
          <w:szCs w:val="24"/>
          <w:highlight w:val="none"/>
          <w:lang w:val="en-US" w:eastAsia="zh-CN"/>
        </w:rPr>
        <w:t xml:space="preserve">  行政处罚由违法行为发生地的行政机关管辖。法律、行政法规、部门规章另有规定的，从其规定。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第二十三条</w:t>
      </w:r>
      <w:r>
        <w:rPr>
          <w:rFonts w:hint="eastAsia" w:ascii="方正仿宋简体" w:hAnsi="方正仿宋简体" w:eastAsia="方正仿宋简体" w:cs="方正仿宋简体"/>
          <w:sz w:val="24"/>
          <w:szCs w:val="24"/>
          <w:highlight w:val="none"/>
          <w:lang w:val="en-US" w:eastAsia="zh-CN"/>
        </w:rPr>
        <w:t xml:space="preserve">  行政处罚由县级以上地方人民政府具有行政处罚权的行政机关管辖。法律、行政法规另有规定的，从其规定。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第二十四条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pacing w:val="-11"/>
          <w:sz w:val="24"/>
          <w:szCs w:val="24"/>
          <w:highlight w:val="none"/>
          <w:lang w:val="en-US" w:eastAsia="zh-CN"/>
        </w:rPr>
        <w:t>省、自治区、直辖市根据当地实际情况，可以决定将基层管理迫切需要的县级人民政府部门的行政处罚权交由能够有效承接的乡镇人民政府、街道办事处行使，并定期组织评估。决定应当公布。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承接行政处罚权的乡镇人民政府、街道办事处应当加强执法能力建设，按照规定范围、依照法定程序实施行政处罚。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有关地方人民政府及其部门应当加强组织协调、业务指导、执法监督，建立健全行政处罚协调配合机制，完善评议、考核制度。</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第二十五条</w:t>
      </w:r>
      <w:r>
        <w:rPr>
          <w:rFonts w:hint="eastAsia" w:ascii="方正仿宋简体" w:hAnsi="方正仿宋简体" w:eastAsia="方正仿宋简体" w:cs="方正仿宋简体"/>
          <w:sz w:val="24"/>
          <w:szCs w:val="24"/>
          <w:highlight w:val="none"/>
          <w:lang w:val="en-US" w:eastAsia="zh-CN"/>
        </w:rPr>
        <w:t xml:space="preserve">  两个以上行政机关都有管辖权的，由最先立案的行政机关管辖。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对管辖发生争议的，应当协商解决，协商不成的，报请共同的上一级行政机关指定管辖；也可以直接由共同的上一级行政机关指定管辖。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第二十六条</w:t>
      </w:r>
      <w:r>
        <w:rPr>
          <w:rFonts w:hint="eastAsia" w:ascii="方正仿宋简体" w:hAnsi="方正仿宋简体" w:eastAsia="方正仿宋简体" w:cs="方正仿宋简体"/>
          <w:sz w:val="24"/>
          <w:szCs w:val="24"/>
          <w:highlight w:val="none"/>
          <w:lang w:val="en-US" w:eastAsia="zh-CN"/>
        </w:rPr>
        <w:t xml:space="preserve">  行政机关因实施行政处罚的需要，可以向有关机关提出协助请求。协助事项属于被请求机关职权范围内的，应当依法予以协助。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第二十七条  </w:t>
      </w:r>
      <w:r>
        <w:rPr>
          <w:rFonts w:hint="eastAsia" w:ascii="方正仿宋简体" w:hAnsi="方正仿宋简体" w:eastAsia="方正仿宋简体" w:cs="方正仿宋简体"/>
          <w:sz w:val="24"/>
          <w:szCs w:val="24"/>
          <w:highlight w:val="none"/>
          <w:lang w:val="en-US" w:eastAsia="zh-CN"/>
        </w:rPr>
        <w:t>违法行为涉嫌犯罪的，行政机关应当及时将案件移送司法机关，依法追究刑事责任。对依法不需要追究刑事责任或者免予刑事处罚，但应当给予行政处罚的，司法机关应当及时将案件移送有关行政机关。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行政处罚实施机关与司法机关之间应当加强协调配合，建立健全案件移送制度，加强证据材料移交、接收衔接，完善案件处理信息通报机制。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第二十八条  </w:t>
      </w:r>
      <w:r>
        <w:rPr>
          <w:rFonts w:hint="eastAsia" w:ascii="方正仿宋简体" w:hAnsi="方正仿宋简体" w:eastAsia="方正仿宋简体" w:cs="方正仿宋简体"/>
          <w:sz w:val="24"/>
          <w:szCs w:val="24"/>
          <w:highlight w:val="none"/>
          <w:lang w:val="en-US" w:eastAsia="zh-CN"/>
        </w:rPr>
        <w:t>行政机关实施行政处罚时，应当责令当事人改正或者限期改正违法行为。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当事人有违法所得，除依法应当退赔的外，应当予以没收。违法所得是指实施违法行为所取得的款项。法律、行政法规、部门规章对违法所得的计算另有规定的，从其规定。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第二十九条  </w:t>
      </w:r>
      <w:r>
        <w:rPr>
          <w:rFonts w:hint="eastAsia" w:ascii="方正仿宋简体" w:hAnsi="方正仿宋简体" w:eastAsia="方正仿宋简体" w:cs="方正仿宋简体"/>
          <w:sz w:val="24"/>
          <w:szCs w:val="24"/>
          <w:highlight w:val="none"/>
          <w:lang w:val="en-US" w:eastAsia="zh-CN"/>
        </w:rPr>
        <w:t>对当事人的同 一个违法行为，不得给予两次以上罚款的行政处罚。同一个违法行为违反多个法律规范应当给予罚款处罚的，按照罚款数额高的规定处罚。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第三十条  </w:t>
      </w:r>
      <w:r>
        <w:rPr>
          <w:rFonts w:hint="eastAsia" w:ascii="方正仿宋简体" w:hAnsi="方正仿宋简体" w:eastAsia="方正仿宋简体" w:cs="方正仿宋简体"/>
          <w:sz w:val="24"/>
          <w:szCs w:val="24"/>
          <w:highlight w:val="none"/>
          <w:lang w:val="en-US" w:eastAsia="zh-CN"/>
        </w:rPr>
        <w:t>不满十四周岁的未成年人有违法行为的，不予行政处罚，责令监护人加以管教；已满十四周岁不满十八周岁的未成年人有违法行为的，应当从轻或者减轻行政处罚。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第三十一条  </w:t>
      </w:r>
      <w:r>
        <w:rPr>
          <w:rFonts w:hint="eastAsia" w:ascii="方正仿宋简体" w:hAnsi="方正仿宋简体" w:eastAsia="方正仿宋简体" w:cs="方正仿宋简体"/>
          <w:sz w:val="24"/>
          <w:szCs w:val="24"/>
          <w:highlight w:val="none"/>
          <w:lang w:val="en-US" w:eastAsia="zh-CN"/>
        </w:rPr>
        <w:t>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第三十二条</w:t>
      </w:r>
      <w:r>
        <w:rPr>
          <w:rFonts w:hint="eastAsia" w:ascii="方正仿宋简体" w:hAnsi="方正仿宋简体" w:eastAsia="方正仿宋简体" w:cs="方正仿宋简体"/>
          <w:sz w:val="24"/>
          <w:szCs w:val="24"/>
          <w:highlight w:val="none"/>
          <w:lang w:val="en-US" w:eastAsia="zh-CN"/>
        </w:rPr>
        <w:t xml:space="preserve">  当事人有下列情形之一，应当从轻或者减轻行政处罚: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（一）主动消除或者减轻违法行为危害后果的；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（二）受他人胁迫或者诱骗实施违法行为的；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（三）主动供述行政机关尚未掌握的违法行为的；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（四）配合行政机关查处违法行为有立功表现的；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（五）法律、法规、规章规定其他应当从轻或者减轻行政处罚的。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第三十三条</w:t>
      </w:r>
      <w:r>
        <w:rPr>
          <w:rFonts w:hint="eastAsia" w:ascii="方正仿宋简体" w:hAnsi="方正仿宋简体" w:eastAsia="方正仿宋简体" w:cs="方正仿宋简体"/>
          <w:sz w:val="24"/>
          <w:szCs w:val="24"/>
          <w:highlight w:val="none"/>
          <w:lang w:val="en-US" w:eastAsia="zh-CN"/>
        </w:rPr>
        <w:t xml:space="preserve">  违法行为轻微并及时改正，没有造成危害后果的，不予行政处罚。初次违法且危害后果轻微并及时改正的，可以不予行政处罚。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当事人有证据足以证明没有主观过错的，不予行政处罚。法律、行政法规另有规定的，从其规定。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对当事人的违法行为依法不予行政处罚的，行政机关应当对当事人进行教育。</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第三十四条</w:t>
      </w:r>
      <w:r>
        <w:rPr>
          <w:rFonts w:hint="eastAsia" w:ascii="方正仿宋简体" w:hAnsi="方正仿宋简体" w:eastAsia="方正仿宋简体" w:cs="方正仿宋简体"/>
          <w:sz w:val="24"/>
          <w:szCs w:val="24"/>
          <w:highlight w:val="none"/>
          <w:lang w:val="en-US" w:eastAsia="zh-CN"/>
        </w:rPr>
        <w:t xml:space="preserve">  行政机关可以依法制定行政处罚裁量基准，规范行使行政处罚裁量权。行政处罚裁量基准应当向社会公布。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第三十五条</w:t>
      </w:r>
      <w:r>
        <w:rPr>
          <w:rFonts w:hint="eastAsia" w:ascii="方正仿宋简体" w:hAnsi="方正仿宋简体" w:eastAsia="方正仿宋简体" w:cs="方正仿宋简体"/>
          <w:sz w:val="24"/>
          <w:szCs w:val="24"/>
          <w:highlight w:val="none"/>
          <w:lang w:val="en-US" w:eastAsia="zh-CN"/>
        </w:rPr>
        <w:t xml:space="preserve">  违法行为构成犯罪，人民法院判处拘役或者有期徒刑时，行政机关已经给予当事人行政拘留的，应当依法折抵相应刑期。</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违法行为构成犯罪，人民法院判处罚金时，行政机关已经给予当事人罚款的，应当折抵相应罚金；行政机关尚未给予当事人罚款的，不再给予罚款。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第三十六条</w:t>
      </w:r>
      <w:r>
        <w:rPr>
          <w:rFonts w:hint="eastAsia" w:ascii="方正仿宋简体" w:hAnsi="方正仿宋简体" w:eastAsia="方正仿宋简体" w:cs="方正仿宋简体"/>
          <w:sz w:val="24"/>
          <w:szCs w:val="24"/>
          <w:highlight w:val="none"/>
          <w:lang w:val="en-US" w:eastAsia="zh-CN"/>
        </w:rPr>
        <w:t xml:space="preserve">  违法行为在二年内未被发现的，不再给予行政处罚；涉及公民生命健康安全、金融安全且有危害后果的，上述期限延长至五年。法律另有规定的除外。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前款规定的期限，从违法行为发生之日起计算；违法行为有连续或者继续状态的，从行为终了之日起计算。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第三十七条</w:t>
      </w:r>
      <w:r>
        <w:rPr>
          <w:rFonts w:hint="eastAsia" w:ascii="方正仿宋简体" w:hAnsi="方正仿宋简体" w:eastAsia="方正仿宋简体" w:cs="方正仿宋简体"/>
          <w:sz w:val="24"/>
          <w:szCs w:val="24"/>
          <w:highlight w:val="none"/>
          <w:lang w:val="en-US" w:eastAsia="zh-CN"/>
        </w:rPr>
        <w:t xml:space="preserve">  实施行政处罚， 适用违法行为发生时的法律、法规、规章的规定。但是，作出行政处罚决定时，法律、法规、规章已被修改或者废止，且新的规定处罚较轻或者不认为是违法的，适用新的规定。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第三十八条</w:t>
      </w:r>
      <w:r>
        <w:rPr>
          <w:rFonts w:hint="eastAsia" w:ascii="方正仿宋简体" w:hAnsi="方正仿宋简体" w:eastAsia="方正仿宋简体" w:cs="方正仿宋简体"/>
          <w:sz w:val="24"/>
          <w:szCs w:val="24"/>
          <w:highlight w:val="none"/>
          <w:lang w:val="en-US" w:eastAsia="zh-CN"/>
        </w:rPr>
        <w:t xml:space="preserve">  行政处罚没有依据或者实施主体不具有行政主体资格的，行政处罚无效。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违反法定程序构成重大且明显违法的，行政处罚无效。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br w:type="textWrapping"/>
      </w:r>
      <w:r>
        <w:rPr>
          <w:rFonts w:hint="eastAsia" w:ascii="黑体" w:hAnsi="黑体" w:eastAsia="黑体" w:cs="黑体"/>
          <w:sz w:val="24"/>
          <w:szCs w:val="24"/>
          <w:highlight w:val="none"/>
          <w:lang w:val="en-US" w:eastAsia="zh-CN"/>
        </w:rPr>
        <w:t>第五章  行政处罚的决定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第一节  一般规定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第三十九条  </w:t>
      </w:r>
      <w:r>
        <w:rPr>
          <w:rFonts w:hint="eastAsia" w:ascii="方正仿宋简体" w:hAnsi="方正仿宋简体" w:eastAsia="方正仿宋简体" w:cs="方正仿宋简体"/>
          <w:sz w:val="24"/>
          <w:szCs w:val="24"/>
          <w:highlight w:val="none"/>
          <w:lang w:val="en-US" w:eastAsia="zh-CN"/>
        </w:rPr>
        <w:t>行政处罚的实施机关、立案依据、实施程序和救济渠道等信息应当公示。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第四十条  </w:t>
      </w:r>
      <w:r>
        <w:rPr>
          <w:rFonts w:hint="eastAsia" w:ascii="方正仿宋简体" w:hAnsi="方正仿宋简体" w:eastAsia="方正仿宋简体" w:cs="方正仿宋简体"/>
          <w:sz w:val="24"/>
          <w:szCs w:val="24"/>
          <w:highlight w:val="none"/>
          <w:lang w:val="en-US" w:eastAsia="zh-CN"/>
        </w:rPr>
        <w:t>公民、法人或者其他组织违反行政管理秩序的行为，依法应当给予行政处罚的，行政机关必须查明事实；违法事实不清、证据不足的，不得给予行政处罚。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第四十一条  </w:t>
      </w:r>
      <w:r>
        <w:rPr>
          <w:rFonts w:hint="eastAsia" w:ascii="方正仿宋简体" w:hAnsi="方正仿宋简体" w:eastAsia="方正仿宋简体" w:cs="方正仿宋简体"/>
          <w:sz w:val="24"/>
          <w:szCs w:val="24"/>
          <w:highlight w:val="none"/>
          <w:lang w:val="en-US" w:eastAsia="zh-CN"/>
        </w:rPr>
        <w:t>行政机关依照法律、行政法规规定利用电子技术监控设备收集、固定违法事实的，应当经过法制和技术审核，确保电子技术监控设备符合标准、设置合理、标志明显，设置地点应当向社会公布。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电子技术监控设备记录违法事实应当真实、 清晰、完整、准确。行政机关应当审核记录内容是否符合要求；未经审核或者经审核不符合要求的，不得作为行政处罚的证据。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行政机关应当及时告知当事人违法事实，并采取信息化手段或者其他措施，为当事人查询、陈述和申辩提供便利。不得限制或者变相限制当事人享有的陈述权、申辩权。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第四十二条  </w:t>
      </w:r>
      <w:r>
        <w:rPr>
          <w:rFonts w:hint="eastAsia" w:ascii="方正仿宋简体" w:hAnsi="方正仿宋简体" w:eastAsia="方正仿宋简体" w:cs="方正仿宋简体"/>
          <w:sz w:val="24"/>
          <w:szCs w:val="24"/>
          <w:highlight w:val="none"/>
          <w:lang w:val="en-US" w:eastAsia="zh-CN"/>
        </w:rPr>
        <w:t>行政处罚应当由具有行政执法资格的执法人员实施。执法人员不得少于两人，法律另有规定的除外。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执法人员应当文明执法，尊重和保护当事人合法权益。</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第四十三条  </w:t>
      </w:r>
      <w:r>
        <w:rPr>
          <w:rFonts w:hint="eastAsia" w:ascii="方正仿宋简体" w:hAnsi="方正仿宋简体" w:eastAsia="方正仿宋简体" w:cs="方正仿宋简体"/>
          <w:sz w:val="24"/>
          <w:szCs w:val="24"/>
          <w:highlight w:val="none"/>
          <w:lang w:val="en-US" w:eastAsia="zh-CN"/>
        </w:rPr>
        <w:t>执法人员与案件有直接利害关系或者有其他关系可能影响公正执法的，应当回避。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当事人认为执法人员与案件有直接利害关系或者有其他关系可能影响公正执法的，有权申请回避。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当事人提出回避申请的，行政机关应当依法审查，由行政机关负责人决定。决定作出之前，不停止调查。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第四十四条  </w:t>
      </w:r>
      <w:r>
        <w:rPr>
          <w:rFonts w:hint="eastAsia" w:ascii="方正仿宋简体" w:hAnsi="方正仿宋简体" w:eastAsia="方正仿宋简体" w:cs="方正仿宋简体"/>
          <w:sz w:val="24"/>
          <w:szCs w:val="24"/>
          <w:highlight w:val="none"/>
          <w:lang w:val="en-US" w:eastAsia="zh-CN"/>
        </w:rPr>
        <w:t>行政机关在作出行政处罚决定之前，应当告知当事人拟作出的行政处罚内容及事实、理由、依据，并告知当事人依法享有的陈述、申辩、要求听证等权利。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第四十五条  </w:t>
      </w:r>
      <w:r>
        <w:rPr>
          <w:rFonts w:hint="eastAsia" w:ascii="方正仿宋简体" w:hAnsi="方正仿宋简体" w:eastAsia="方正仿宋简体" w:cs="方正仿宋简体"/>
          <w:sz w:val="24"/>
          <w:szCs w:val="24"/>
          <w:highlight w:val="none"/>
          <w:lang w:val="en-US" w:eastAsia="zh-CN"/>
        </w:rPr>
        <w:t>当事人有权进行陈述和申辩。 行政机关必须充分听取当事人的意见，对当事人提出的事实、理由和证据，应当进行复核；当事人提出的事实、理由或者证据成立的，行政机关应当采纳。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行政机关不得因当事人陈述、申辩而给予更重的处罚。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第四十六条  </w:t>
      </w:r>
      <w:r>
        <w:rPr>
          <w:rFonts w:hint="eastAsia" w:ascii="方正仿宋简体" w:hAnsi="方正仿宋简体" w:eastAsia="方正仿宋简体" w:cs="方正仿宋简体"/>
          <w:sz w:val="24"/>
          <w:szCs w:val="24"/>
          <w:highlight w:val="none"/>
          <w:lang w:val="en-US" w:eastAsia="zh-CN"/>
        </w:rPr>
        <w:t>证据包括:</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（一）书证；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（二）物证；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（三）视听资料；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（四）电子数据；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（五）证人证言；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（六）当事人的陈述；</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（七）鉴定意见；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（八）勘验笔录、现场笔录。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证据必须经查证属实，方可作为认定案件事实的根据。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以非法手段取得的证据，不得作为认定案件事实的根据。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第四十七条  </w:t>
      </w:r>
      <w:r>
        <w:rPr>
          <w:rFonts w:hint="eastAsia" w:ascii="方正仿宋简体" w:hAnsi="方正仿宋简体" w:eastAsia="方正仿宋简体" w:cs="方正仿宋简体"/>
          <w:sz w:val="24"/>
          <w:szCs w:val="24"/>
          <w:highlight w:val="none"/>
          <w:lang w:val="en-US" w:eastAsia="zh-CN"/>
        </w:rPr>
        <w:t>行政机关应当依法以文字、音像等形式，对行政处罚的启动、调查取证、审核、决定、送达、执行等进行全过程记录，归档保存。</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第四十八条  </w:t>
      </w:r>
      <w:r>
        <w:rPr>
          <w:rFonts w:hint="eastAsia" w:ascii="方正仿宋简体" w:hAnsi="方正仿宋简体" w:eastAsia="方正仿宋简体" w:cs="方正仿宋简体"/>
          <w:sz w:val="24"/>
          <w:szCs w:val="24"/>
          <w:highlight w:val="none"/>
          <w:lang w:val="en-US" w:eastAsia="zh-CN"/>
        </w:rPr>
        <w:t>具有一定社会影响的行政处罚决定应当依法公开。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公开的行政处罚决定被依法变更、撤销、确认违法或者确认无效的，行政机关应当在三日内撤回行政处罚决定信息并公开说明理由。</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第四十九条  </w:t>
      </w:r>
      <w:r>
        <w:rPr>
          <w:rFonts w:hint="eastAsia" w:ascii="方正仿宋简体" w:hAnsi="方正仿宋简体" w:eastAsia="方正仿宋简体" w:cs="方正仿宋简体"/>
          <w:sz w:val="24"/>
          <w:szCs w:val="24"/>
          <w:highlight w:val="none"/>
          <w:lang w:val="en-US" w:eastAsia="zh-CN"/>
        </w:rPr>
        <w:t>发生重大传染病疫情等突发事件，为了控制、减轻和消除突发事件引起的社会危害，行政机关对违反突发事件应对措施的行为，依法快速、从重处罚。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黑体" w:hAnsi="黑体" w:eastAsia="黑体" w:cs="黑体"/>
          <w:sz w:val="24"/>
          <w:szCs w:val="24"/>
          <w:highlight w:val="none"/>
          <w:lang w:val="en-US" w:eastAsia="zh-CN"/>
        </w:rPr>
        <w:t xml:space="preserve">第五十条  </w:t>
      </w:r>
      <w:r>
        <w:rPr>
          <w:rFonts w:hint="eastAsia" w:ascii="方正仿宋简体" w:hAnsi="方正仿宋简体" w:eastAsia="方正仿宋简体" w:cs="方正仿宋简体"/>
          <w:sz w:val="24"/>
          <w:szCs w:val="24"/>
          <w:highlight w:val="none"/>
          <w:lang w:val="en-US" w:eastAsia="zh-CN"/>
        </w:rPr>
        <w:t>行政机关及其工作人员对实施行政处罚过程中知悉的国家秘密、商业秘密或者个人隐私，应当依法予以保密。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第二节  简易程序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第五十一条  </w:t>
      </w:r>
      <w:r>
        <w:rPr>
          <w:rFonts w:hint="eastAsia" w:ascii="方正仿宋简体" w:hAnsi="方正仿宋简体" w:eastAsia="方正仿宋简体" w:cs="方正仿宋简体"/>
          <w:sz w:val="24"/>
          <w:szCs w:val="24"/>
          <w:highlight w:val="none"/>
          <w:lang w:val="en-US" w:eastAsia="zh-CN"/>
        </w:rPr>
        <w:t>违法事实确凿并有法定依据，对公民处以二百元以下、对法人或者其他组织处以三千元以下罚款或者警告的行政处罚的，可以当场作出行政处罚决定。法律另有规定的，从其规定。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第五十二条  </w:t>
      </w:r>
      <w:r>
        <w:rPr>
          <w:rFonts w:hint="eastAsia" w:ascii="方正仿宋简体" w:hAnsi="方正仿宋简体" w:eastAsia="方正仿宋简体" w:cs="方正仿宋简体"/>
          <w:sz w:val="24"/>
          <w:szCs w:val="24"/>
          <w:highlight w:val="none"/>
          <w:lang w:val="en-US" w:eastAsia="zh-CN"/>
        </w:rPr>
        <w:t>执法人员当场作出行政处罚决定的，应当向当事人出示执法证件，填写预定格式、编有号码的行政处罚决定书，并当场交付当事人。当事人拒绝签收的，应当在行政处罚决定书上注明。</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前款规定的行政处罚决定书应当载明当事人的违法行为，行政处罚的种类和依据、罚款数额、时间、地点，申请行政复议、提起行政诉讼的途径和期限以及行政机关名称，并由执法人员签名或者盖章。</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执法人员当场作出的行政处罚决定，应当报所属行政机关备案。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第五十三条  </w:t>
      </w:r>
      <w:r>
        <w:rPr>
          <w:rFonts w:hint="eastAsia" w:ascii="方正仿宋简体" w:hAnsi="方正仿宋简体" w:eastAsia="方正仿宋简体" w:cs="方正仿宋简体"/>
          <w:sz w:val="24"/>
          <w:szCs w:val="24"/>
          <w:highlight w:val="none"/>
          <w:lang w:val="en-US" w:eastAsia="zh-CN"/>
        </w:rPr>
        <w:t>对当场作出的行政处罚决定，当事人应当依照本法第六十七条至第六十九条的规定履行。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第三节  普通程序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第五十四条  </w:t>
      </w:r>
      <w:r>
        <w:rPr>
          <w:rFonts w:hint="eastAsia" w:ascii="方正仿宋简体" w:hAnsi="方正仿宋简体" w:eastAsia="方正仿宋简体" w:cs="方正仿宋简体"/>
          <w:sz w:val="24"/>
          <w:szCs w:val="24"/>
          <w:highlight w:val="none"/>
          <w:lang w:val="en-US" w:eastAsia="zh-CN"/>
        </w:rPr>
        <w:t>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符合立案标准的，行政机关应当及时立案。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第五十五条  </w:t>
      </w:r>
      <w:r>
        <w:rPr>
          <w:rFonts w:hint="eastAsia" w:ascii="方正仿宋简体" w:hAnsi="方正仿宋简体" w:eastAsia="方正仿宋简体" w:cs="方正仿宋简体"/>
          <w:sz w:val="24"/>
          <w:szCs w:val="24"/>
          <w:highlight w:val="none"/>
          <w:lang w:val="en-US" w:eastAsia="zh-CN"/>
        </w:rPr>
        <w:t>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当事人或者有关人员应当如实回答询问，并协助调查或者检查，不得拒绝或者阻挠。询问或者检查应当制作笔录。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第五十六条  </w:t>
      </w:r>
      <w:r>
        <w:rPr>
          <w:rFonts w:hint="eastAsia" w:ascii="方正仿宋简体" w:hAnsi="方正仿宋简体" w:eastAsia="方正仿宋简体" w:cs="方正仿宋简体"/>
          <w:sz w:val="24"/>
          <w:szCs w:val="24"/>
          <w:highlight w:val="none"/>
          <w:lang w:val="en-US" w:eastAsia="zh-CN"/>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第五十七条  </w:t>
      </w:r>
      <w:r>
        <w:rPr>
          <w:rFonts w:hint="eastAsia" w:ascii="方正仿宋简体" w:hAnsi="方正仿宋简体" w:eastAsia="方正仿宋简体" w:cs="方正仿宋简体"/>
          <w:sz w:val="24"/>
          <w:szCs w:val="24"/>
          <w:highlight w:val="none"/>
          <w:lang w:val="en-US" w:eastAsia="zh-CN"/>
        </w:rPr>
        <w:t>调查终结，行政机关负责人应当对调查结果进行审查，根据不同情况，分别作出如下决定: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（一）确有应受行政处罚的违法行为的，根据情节轻重及具体情况，作出行政处罚决定；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（二）违法行为轻微，依法可以不予行政处罚的，不予行政处罚；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（三）违法事实不能成立的，不予行政处罚；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（四）违法行为涉嫌犯罪的，移送司法机关。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对情节复杂或者重大违法行为给予行政处罚，行政机关负责人应当集体讨论决定。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第五十八条  </w:t>
      </w:r>
      <w:r>
        <w:rPr>
          <w:rFonts w:hint="eastAsia" w:ascii="方正仿宋简体" w:hAnsi="方正仿宋简体" w:eastAsia="方正仿宋简体" w:cs="方正仿宋简体"/>
          <w:sz w:val="24"/>
          <w:szCs w:val="24"/>
          <w:highlight w:val="none"/>
          <w:lang w:val="en-US" w:eastAsia="zh-CN"/>
        </w:rPr>
        <w:t>有下列情形之一， 在行政机关负责人作出行政处罚的决定之前，应当由从事行政处罚决定法制审核的人员进行法制审核；未经法制审核或者审核未通过的，不得作出决定: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（一）涉及重大公共利益的；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（二）直接关系当事人或者第三人重大权益，经过听证程序的；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（三）案件情况疑难复杂、涉及多个法律关系的；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 法律、法规规定应当进行法制审核的其他情形。</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行政机关中初次从事行政处罚决定法制审核的人员，应当通过国家统一法律职业资格考试取得法律职业资格。</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第五十九条  </w:t>
      </w:r>
      <w:r>
        <w:rPr>
          <w:rFonts w:hint="eastAsia" w:ascii="方正仿宋简体" w:hAnsi="方正仿宋简体" w:eastAsia="方正仿宋简体" w:cs="方正仿宋简体"/>
          <w:sz w:val="24"/>
          <w:szCs w:val="24"/>
          <w:highlight w:val="none"/>
          <w:lang w:val="en-US" w:eastAsia="zh-CN"/>
        </w:rPr>
        <w:t>行政机关依照本法第五十七条的规定给予行政处罚，应当制作行政处罚决定书。行政处罚决定书应当载明下列事项: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（一）当事人的姓名或者名称、地址；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（二）违反法律、法规、规章的事实和证据；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（三）行政处罚的种类和依据；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（四）行政处罚的履行方式和期限；</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（五）申请行政复议、提起行政诉讼的途径和期限；</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（六）作出行政处罚决定的行政机关名称和作出决定的日期。</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行政处罚决定书必须盖有作出行政处罚决定的行政机关的印章。</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第六十条  </w:t>
      </w:r>
      <w:r>
        <w:rPr>
          <w:rFonts w:hint="eastAsia" w:ascii="方正仿宋简体" w:hAnsi="方正仿宋简体" w:eastAsia="方正仿宋简体" w:cs="方正仿宋简体"/>
          <w:sz w:val="24"/>
          <w:szCs w:val="24"/>
          <w:highlight w:val="none"/>
          <w:lang w:val="en-US" w:eastAsia="zh-CN"/>
        </w:rPr>
        <w:t>行政机关应当自行政处罚案件立案之日起九十日内作出行政处罚决定。法律、法规、规章另有规定的，从其规定。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第六十一条  </w:t>
      </w:r>
      <w:r>
        <w:rPr>
          <w:rFonts w:hint="eastAsia" w:ascii="方正仿宋简体" w:hAnsi="方正仿宋简体" w:eastAsia="方正仿宋简体" w:cs="方正仿宋简体"/>
          <w:sz w:val="24"/>
          <w:szCs w:val="24"/>
          <w:highlight w:val="none"/>
          <w:lang w:val="en-US" w:eastAsia="zh-CN"/>
        </w:rPr>
        <w:t>行政处罚决定书应当在宣告后当场交付当事人；当事人不在场的，行政机关应当在七日内依照《中华人民共和国民事诉讼法》的有关规定，将行政处罚决定书送达当事人。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当事人同意并签订确认书的，行政机关可以采用传真、电子邮件等方式，将行政处罚决定书等送达当事人。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第六十二条  </w:t>
      </w:r>
      <w:r>
        <w:rPr>
          <w:rFonts w:hint="eastAsia" w:ascii="方正仿宋简体" w:hAnsi="方正仿宋简体" w:eastAsia="方正仿宋简体" w:cs="方正仿宋简体"/>
          <w:sz w:val="24"/>
          <w:szCs w:val="24"/>
          <w:highlight w:val="none"/>
          <w:lang w:val="en-US" w:eastAsia="zh-CN"/>
        </w:rPr>
        <w:t>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第四节 听证程序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第六十三条  </w:t>
      </w:r>
      <w:r>
        <w:rPr>
          <w:rFonts w:hint="eastAsia" w:ascii="方正仿宋简体" w:hAnsi="方正仿宋简体" w:eastAsia="方正仿宋简体" w:cs="方正仿宋简体"/>
          <w:sz w:val="24"/>
          <w:szCs w:val="24"/>
          <w:highlight w:val="none"/>
          <w:lang w:val="en-US" w:eastAsia="zh-CN"/>
        </w:rPr>
        <w:t>行政机关拟作出下列行政处罚决定，应当告知当事人有要求听证的权利，当事人要求听证的，行政机关应当组织听证: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（一）较大数额罚款；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（二）没收较大数额违法所得、没收较大价值非法财物；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（三）降低资质等级、吊销许可证件；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（四）责令停产停业、责令关闭、限制从业；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（五）其他较重的行政处罚；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（六）法律、法规、规章规定的其他情形。</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当事人不承担行政机关组织听证的费用。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第六十四条  </w:t>
      </w:r>
      <w:r>
        <w:rPr>
          <w:rFonts w:hint="eastAsia" w:ascii="方正仿宋简体" w:hAnsi="方正仿宋简体" w:eastAsia="方正仿宋简体" w:cs="方正仿宋简体"/>
          <w:sz w:val="24"/>
          <w:szCs w:val="24"/>
          <w:highlight w:val="none"/>
          <w:lang w:val="en-US" w:eastAsia="zh-CN"/>
        </w:rPr>
        <w:t>听证应当依照以下程序组织:</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（一）当事人要求听证的，应当在行政机关告知后五日内提出；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（二）行政机关应当在举行听证的七日前，通知当事人及有关人员听证的时间、地点；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（三）除涉及国家秘密、商业秘密或者个人隐私依法予以保密外，听证公开举行；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（四）听证由行政机关指定的非本案调查人员主持；当事人认为主持人与本案有直接利害关系的，有权申请回避；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（五）当事人可以亲自参加听证，也可以委托一至二人代理；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（六）当事人及其代理人无正当理由拒不出席听证或者未经许可中途退出听证的，视为放弃听证权利，行政机关终止听证；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（七）举行听证时，调查人员提出当事人违法的事实、证据和行政处罚建议，当事人进行申辩和质证；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（八）听证应当制作笔录。笔录应当交当事人或者其代理人核对无误后签字或者盖章。当事人或者其代理人拒绝签字或者盖章的，由听证主持人在笔录中注明。</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第六十五条  </w:t>
      </w:r>
      <w:r>
        <w:rPr>
          <w:rFonts w:hint="eastAsia" w:ascii="方正仿宋简体" w:hAnsi="方正仿宋简体" w:eastAsia="方正仿宋简体" w:cs="方正仿宋简体"/>
          <w:sz w:val="24"/>
          <w:szCs w:val="24"/>
          <w:highlight w:val="none"/>
          <w:lang w:val="en-US" w:eastAsia="zh-CN"/>
        </w:rPr>
        <w:t>听证结束后，行政机关应当根据听证笔录，依照本法第五十七条的规定，作出决定。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br w:type="textWrapping"/>
      </w:r>
      <w:r>
        <w:rPr>
          <w:rFonts w:hint="eastAsia" w:ascii="黑体" w:hAnsi="黑体" w:eastAsia="黑体" w:cs="黑体"/>
          <w:sz w:val="24"/>
          <w:szCs w:val="24"/>
          <w:highlight w:val="none"/>
          <w:lang w:val="en-US" w:eastAsia="zh-CN"/>
        </w:rPr>
        <w:t>第六章  行政处罚的执行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第六十六条  </w:t>
      </w:r>
      <w:r>
        <w:rPr>
          <w:rFonts w:hint="eastAsia" w:ascii="方正仿宋简体" w:hAnsi="方正仿宋简体" w:eastAsia="方正仿宋简体" w:cs="方正仿宋简体"/>
          <w:sz w:val="24"/>
          <w:szCs w:val="24"/>
          <w:highlight w:val="none"/>
          <w:lang w:val="en-US" w:eastAsia="zh-CN"/>
        </w:rPr>
        <w:t>行政处罚决定依法作出后，当事人应当在行政处罚决定书载明的期限内，予以履行。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当事人确有经济困难，需要延期或者分期缴纳罚款的，经当事人申请和行政机关批准，可以暂缓或者分期缴纳。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第六十七条  </w:t>
      </w:r>
      <w:r>
        <w:rPr>
          <w:rFonts w:hint="eastAsia" w:ascii="方正仿宋简体" w:hAnsi="方正仿宋简体" w:eastAsia="方正仿宋简体" w:cs="方正仿宋简体"/>
          <w:sz w:val="24"/>
          <w:szCs w:val="24"/>
          <w:highlight w:val="none"/>
          <w:lang w:val="en-US" w:eastAsia="zh-CN"/>
        </w:rPr>
        <w:t>作出罚款决定的行政机关应当与收缴罚款的机构分离。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除依照本法第六十八条、第六十九条的规定当场收缴的罚款外，作出行政处罚决定的行政机关及其执法人员不得自行收缴罚款。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当事人应当自收到行政处罚决定书之日起十五日内，到指定的银行或者通过电子支付系统缴纳罚款。银行应当收受罚款，并将罚款直接上缴国库。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第六十八条  </w:t>
      </w:r>
      <w:r>
        <w:rPr>
          <w:rFonts w:hint="eastAsia" w:ascii="方正仿宋简体" w:hAnsi="方正仿宋简体" w:eastAsia="方正仿宋简体" w:cs="方正仿宋简体"/>
          <w:sz w:val="24"/>
          <w:szCs w:val="24"/>
          <w:highlight w:val="none"/>
          <w:lang w:val="en-US" w:eastAsia="zh-CN"/>
        </w:rPr>
        <w:t>依照本法第五十一条的规定当场作出行政处罚决定，有下列情形之-，执法人员可以当场收缴罚款: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（一）依法给予一百元以下罚款的；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（二）不当场收缴事后难以执行的。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第六十九条  </w:t>
      </w:r>
      <w:r>
        <w:rPr>
          <w:rFonts w:hint="eastAsia" w:ascii="方正仿宋简体" w:hAnsi="方正仿宋简体" w:eastAsia="方正仿宋简体" w:cs="方正仿宋简体"/>
          <w:sz w:val="24"/>
          <w:szCs w:val="24"/>
          <w:highlight w:val="none"/>
          <w:lang w:val="en-US" w:eastAsia="zh-CN"/>
        </w:rPr>
        <w:t>在边远、 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第七十条</w:t>
      </w:r>
      <w:r>
        <w:rPr>
          <w:rFonts w:hint="eastAsia" w:ascii="方正仿宋简体" w:hAnsi="方正仿宋简体" w:eastAsia="方正仿宋简体" w:cs="方正仿宋简体"/>
          <w:sz w:val="24"/>
          <w:szCs w:val="24"/>
          <w:highlight w:val="none"/>
          <w:lang w:val="en-US" w:eastAsia="zh-CN"/>
        </w:rPr>
        <w:t xml:space="preserve"> 行政机关及其执法人员当场收缴罚款的，必须向当事人出具国务院财政部门或者省、自治区、直辖市人民政府财政部门统一制发的专用票据；不出具财政部门统一制发的专用票据的，当事人有权拒绝缴纳罚款。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第七十一条  </w:t>
      </w:r>
      <w:r>
        <w:rPr>
          <w:rFonts w:hint="eastAsia" w:ascii="方正仿宋简体" w:hAnsi="方正仿宋简体" w:eastAsia="方正仿宋简体" w:cs="方正仿宋简体"/>
          <w:sz w:val="24"/>
          <w:szCs w:val="24"/>
          <w:highlight w:val="none"/>
          <w:lang w:val="en-US" w:eastAsia="zh-CN"/>
        </w:rPr>
        <w:t>执法人员当场收缴的罚款，应当自收缴罚款之日起二日内，交至行政机关；在水上当场收缴的罚款，应当自抵岸之日起二日内交至行政机关；行政机关应当在二日内将罚款缴付指定的银行。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第七十二条  </w:t>
      </w:r>
      <w:r>
        <w:rPr>
          <w:rFonts w:hint="eastAsia" w:ascii="方正仿宋简体" w:hAnsi="方正仿宋简体" w:eastAsia="方正仿宋简体" w:cs="方正仿宋简体"/>
          <w:sz w:val="24"/>
          <w:szCs w:val="24"/>
          <w:highlight w:val="none"/>
          <w:lang w:val="en-US" w:eastAsia="zh-CN"/>
        </w:rPr>
        <w:t>当事人逾期不履行行政处罚决定的，作出行政处罚决定的行政机关可以采取下列措施: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（一）到期不缴纳罚款的，每日按罚款数额的百分之三加处罚款，加处罚款的数额不得超出罚款的数额；</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（二）根据法律规定，将查封、扣押的财物拍卖、依法处理或者将冻结的存款、汇款划拨抵缴罚款；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（三）根据法律规定，采取其他行政强制执行方式；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（四）依照《中华人民共和国行政强制法》的规定申请人民法院强制执行。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行政机关批准延期、分期缴纳罚款的，申请人民法院强制执行的期限，自暂缓或者分期缴纳罚款期限结束之日起计算。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第七十三条  </w:t>
      </w:r>
      <w:r>
        <w:rPr>
          <w:rFonts w:hint="eastAsia" w:ascii="方正仿宋简体" w:hAnsi="方正仿宋简体" w:eastAsia="方正仿宋简体" w:cs="方正仿宋简体"/>
          <w:sz w:val="24"/>
          <w:szCs w:val="24"/>
          <w:highlight w:val="none"/>
          <w:lang w:val="en-US" w:eastAsia="zh-CN"/>
        </w:rPr>
        <w:t>当事人对行政处罚决定不服，申请行政复议或者提起行政诉讼的，行政处罚不停止执行，法律另有规定的除外。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当事人对限制人身自由的行政处罚决定不服，申请行政复议或者提起行政诉讼的，可以向作出决定的机关提出暂缓执行申请。符合法律规定情形的，应当暂缓执行。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当事人申请行政复议或者提起行政诉讼的，加处罚款的数额在行政复议或者行政诉讼期间不予计算。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第七十四条  </w:t>
      </w:r>
      <w:r>
        <w:rPr>
          <w:rFonts w:hint="eastAsia" w:ascii="方正仿宋简体" w:hAnsi="方正仿宋简体" w:eastAsia="方正仿宋简体" w:cs="方正仿宋简体"/>
          <w:sz w:val="24"/>
          <w:szCs w:val="24"/>
          <w:highlight w:val="none"/>
          <w:lang w:val="en-US" w:eastAsia="zh-CN"/>
        </w:rPr>
        <w:t>除依法应当予以销毁的物品外，依法没收的非法财物必须按照国家规定公开拍卖或者按照国家有关规定处理。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罚款、没收的违法所得或者没收非法财物拍卖的款项，必须全部上缴国库，任何行政机关或者个人不得以任何形式截留、私分或者变相私分。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第七十五条  </w:t>
      </w:r>
      <w:r>
        <w:rPr>
          <w:rFonts w:hint="eastAsia" w:ascii="方正仿宋简体" w:hAnsi="方正仿宋简体" w:eastAsia="方正仿宋简体" w:cs="方正仿宋简体"/>
          <w:sz w:val="24"/>
          <w:szCs w:val="24"/>
          <w:highlight w:val="none"/>
          <w:lang w:val="en-US" w:eastAsia="zh-CN"/>
        </w:rPr>
        <w:t>行政机关应当建立健全对行政处罚的监督制度。县级以上人民政府应当定期组织开展行政执法评议、考核，加强对行政处罚的监督检查，规范和保障行政处罚的实施。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行政机关实施行政处罚应当接受社会监督。公民、法人或者其他组织对行政机关实施行政处罚的行为，有权申诉或者检举；行政机关应当认真审查，发现有错误的，应当主动改正。</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br w:type="textWrapping"/>
      </w:r>
      <w:r>
        <w:rPr>
          <w:rFonts w:hint="eastAsia" w:ascii="黑体" w:hAnsi="黑体" w:eastAsia="黑体" w:cs="黑体"/>
          <w:sz w:val="24"/>
          <w:szCs w:val="24"/>
          <w:highlight w:val="none"/>
          <w:lang w:val="en-US" w:eastAsia="zh-CN"/>
        </w:rPr>
        <w:t>第七章  法律责任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pacing w:val="-11"/>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第七十六条  </w:t>
      </w:r>
      <w:r>
        <w:rPr>
          <w:rFonts w:hint="eastAsia" w:ascii="方正仿宋简体" w:hAnsi="方正仿宋简体" w:eastAsia="方正仿宋简体" w:cs="方正仿宋简体"/>
          <w:sz w:val="24"/>
          <w:szCs w:val="24"/>
          <w:highlight w:val="none"/>
          <w:lang w:val="en-US" w:eastAsia="zh-CN"/>
        </w:rPr>
        <w:t>行</w:t>
      </w:r>
      <w:r>
        <w:rPr>
          <w:rFonts w:hint="eastAsia" w:ascii="方正仿宋简体" w:hAnsi="方正仿宋简体" w:eastAsia="方正仿宋简体" w:cs="方正仿宋简体"/>
          <w:spacing w:val="-11"/>
          <w:sz w:val="24"/>
          <w:szCs w:val="24"/>
          <w:highlight w:val="none"/>
          <w:lang w:val="en-US" w:eastAsia="zh-CN"/>
        </w:rPr>
        <w:t>政机关实施行政处罚，有下列情形之一，由上级行政机关或者有关机关责令改正，对直接负责的主管人员和其他直接责任人员依法给予处分: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（一）没有法定的行政处罚依据的；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（二）擅自改变行政处罚种类、幅度的；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（三）违反法定的行政处罚程序的；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（四）违反本法第二十条关于委托处罚的规定的；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（五）执法人员未取得执法证件的。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行政机关对符合立案标准的案件不及时立案的，依照前款规定予以处理。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第七十七条  </w:t>
      </w:r>
      <w:r>
        <w:rPr>
          <w:rFonts w:hint="eastAsia" w:ascii="方正仿宋简体" w:hAnsi="方正仿宋简体" w:eastAsia="方正仿宋简体" w:cs="方正仿宋简体"/>
          <w:sz w:val="24"/>
          <w:szCs w:val="24"/>
          <w:highlight w:val="none"/>
          <w:lang w:val="en-US" w:eastAsia="zh-CN"/>
        </w:rPr>
        <w:t>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第七十八条  </w:t>
      </w:r>
      <w:r>
        <w:rPr>
          <w:rFonts w:hint="eastAsia" w:ascii="方正仿宋简体" w:hAnsi="方正仿宋简体" w:eastAsia="方正仿宋简体" w:cs="方正仿宋简体"/>
          <w:sz w:val="24"/>
          <w:szCs w:val="24"/>
          <w:highlight w:val="none"/>
          <w:lang w:val="en-US" w:eastAsia="zh-CN"/>
        </w:rPr>
        <w:t>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第七十九条  </w:t>
      </w:r>
      <w:r>
        <w:rPr>
          <w:rFonts w:hint="eastAsia" w:ascii="方正仿宋简体" w:hAnsi="方正仿宋简体" w:eastAsia="方正仿宋简体" w:cs="方正仿宋简体"/>
          <w:sz w:val="24"/>
          <w:szCs w:val="24"/>
          <w:highlight w:val="none"/>
          <w:lang w:val="en-US" w:eastAsia="zh-CN"/>
        </w:rPr>
        <w:t>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执法人员利用职务上的便利，索取或者收受他人财物、将收缴罚款据为己有，构成犯罪的，依法追究刑事责任；情节轻微不构成犯罪的，依法给予处分。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第八十条  </w:t>
      </w:r>
      <w:r>
        <w:rPr>
          <w:rFonts w:hint="eastAsia" w:ascii="方正仿宋简体" w:hAnsi="方正仿宋简体" w:eastAsia="方正仿宋简体" w:cs="方正仿宋简体"/>
          <w:sz w:val="24"/>
          <w:szCs w:val="24"/>
          <w:highlight w:val="none"/>
          <w:lang w:val="en-US" w:eastAsia="zh-CN"/>
        </w:rPr>
        <w:t>行政机关使用或者损毁查封、扣押的财物，对当事人造成损失的，应当依法予以赔偿，对直接负责的主管人员和其他直接责任人员依法给予处分。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第八十一条</w:t>
      </w:r>
      <w:r>
        <w:rPr>
          <w:rFonts w:hint="eastAsia" w:ascii="方正仿宋简体" w:hAnsi="方正仿宋简体" w:eastAsia="方正仿宋简体" w:cs="方正仿宋简体"/>
          <w:sz w:val="24"/>
          <w:szCs w:val="24"/>
          <w:highlight w:val="none"/>
          <w:lang w:val="en-US" w:eastAsia="zh-CN"/>
        </w:rPr>
        <w:t xml:space="preserve">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第八十二条 </w:t>
      </w:r>
      <w:r>
        <w:rPr>
          <w:rFonts w:hint="eastAsia" w:ascii="方正仿宋简体" w:hAnsi="方正仿宋简体" w:eastAsia="方正仿宋简体" w:cs="方正仿宋简体"/>
          <w:sz w:val="24"/>
          <w:szCs w:val="24"/>
          <w:highlight w:val="none"/>
          <w:lang w:val="en-US" w:eastAsia="zh-CN"/>
        </w:rPr>
        <w:t xml:space="preserve">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第八十三条</w:t>
      </w:r>
      <w:r>
        <w:rPr>
          <w:rFonts w:hint="eastAsia" w:ascii="方正仿宋简体" w:hAnsi="方正仿宋简体" w:eastAsia="方正仿宋简体" w:cs="方正仿宋简体"/>
          <w:sz w:val="24"/>
          <w:szCs w:val="24"/>
          <w:highlight w:val="none"/>
          <w:lang w:val="en-US" w:eastAsia="zh-CN"/>
        </w:rPr>
        <w:t xml:space="preserve">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br w:type="textWrapping"/>
      </w:r>
      <w:r>
        <w:rPr>
          <w:rFonts w:hint="eastAsia" w:ascii="黑体" w:hAnsi="黑体" w:eastAsia="黑体" w:cs="黑体"/>
          <w:sz w:val="24"/>
          <w:szCs w:val="24"/>
          <w:highlight w:val="none"/>
          <w:lang w:val="en-US" w:eastAsia="zh-CN"/>
        </w:rPr>
        <w:t>第八章  附则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第八十四条  </w:t>
      </w:r>
      <w:r>
        <w:rPr>
          <w:rFonts w:hint="eastAsia" w:ascii="方正仿宋简体" w:hAnsi="方正仿宋简体" w:eastAsia="方正仿宋简体" w:cs="方正仿宋简体"/>
          <w:sz w:val="24"/>
          <w:szCs w:val="24"/>
          <w:highlight w:val="none"/>
          <w:lang w:val="en-US" w:eastAsia="zh-CN"/>
        </w:rPr>
        <w:t>外国人、无国籍人、外国组织在中华人民共和国领域内有违法行为，应当给予行政处罚的，适用本法，法律另有规定的除外。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第八十五条  </w:t>
      </w:r>
      <w:r>
        <w:rPr>
          <w:rFonts w:hint="eastAsia" w:ascii="方正仿宋简体" w:hAnsi="方正仿宋简体" w:eastAsia="方正仿宋简体" w:cs="方正仿宋简体"/>
          <w:sz w:val="24"/>
          <w:szCs w:val="24"/>
          <w:highlight w:val="none"/>
          <w:lang w:val="en-US" w:eastAsia="zh-CN"/>
        </w:rPr>
        <w:t>本法中“二日”“三日”“五日”“七日”的规定是指工作日，不含法定节假日。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黑体" w:cs="方正仿宋简体"/>
          <w:sz w:val="24"/>
          <w:szCs w:val="24"/>
          <w:highlight w:val="none"/>
          <w:lang w:val="en-US" w:eastAsia="zh-CN"/>
        </w:rPr>
        <w:t xml:space="preserve">第八十六条  </w:t>
      </w:r>
      <w:r>
        <w:rPr>
          <w:rFonts w:hint="eastAsia" w:ascii="方正仿宋简体" w:hAnsi="方正仿宋简体" w:eastAsia="方正仿宋简体" w:cs="方正仿宋简体"/>
          <w:sz w:val="24"/>
          <w:szCs w:val="24"/>
          <w:highlight w:val="none"/>
          <w:lang w:val="en-US" w:eastAsia="zh-CN"/>
        </w:rPr>
        <w:t>本法自2021年7月15日起施行。</w:t>
      </w: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pStyle w:val="2"/>
        <w:rPr>
          <w:rFonts w:hint="eastAsia"/>
          <w:highlight w:val="none"/>
        </w:rPr>
      </w:pPr>
    </w:p>
    <w:p>
      <w:pPr>
        <w:pStyle w:val="2"/>
        <w:keepNext/>
        <w:keepLines/>
        <w:pageBreakBefore w:val="0"/>
        <w:widowControl w:val="0"/>
        <w:kinsoku/>
        <w:wordWrap/>
        <w:overflowPunct/>
        <w:topLinePunct w:val="0"/>
        <w:autoSpaceDE/>
        <w:autoSpaceDN/>
        <w:bidi w:val="0"/>
        <w:adjustRightInd/>
        <w:snapToGrid/>
        <w:spacing w:line="560" w:lineRule="exact"/>
        <w:textAlignment w:val="auto"/>
        <w:rPr>
          <w:sz w:val="36"/>
          <w:szCs w:val="36"/>
          <w:highlight w:val="none"/>
        </w:rPr>
      </w:pPr>
      <w:r>
        <w:rPr>
          <w:rFonts w:hint="eastAsia"/>
          <w:sz w:val="36"/>
          <w:szCs w:val="36"/>
          <w:highlight w:val="none"/>
        </w:rPr>
        <w:t>关于《中华人民共和国行政处罚法</w:t>
      </w:r>
    </w:p>
    <w:p>
      <w:pPr>
        <w:pStyle w:val="2"/>
        <w:keepNext/>
        <w:keepLines/>
        <w:pageBreakBefore w:val="0"/>
        <w:widowControl w:val="0"/>
        <w:kinsoku/>
        <w:wordWrap/>
        <w:overflowPunct/>
        <w:topLinePunct w:val="0"/>
        <w:autoSpaceDE/>
        <w:autoSpaceDN/>
        <w:bidi w:val="0"/>
        <w:adjustRightInd/>
        <w:snapToGrid/>
        <w:spacing w:line="560" w:lineRule="exact"/>
        <w:textAlignment w:val="auto"/>
        <w:rPr>
          <w:sz w:val="36"/>
          <w:szCs w:val="36"/>
          <w:highlight w:val="none"/>
        </w:rPr>
      </w:pPr>
      <w:r>
        <w:rPr>
          <w:rFonts w:hint="eastAsia"/>
          <w:sz w:val="36"/>
          <w:szCs w:val="36"/>
          <w:highlight w:val="none"/>
        </w:rPr>
        <w:t>（修订草案）》的说明</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2020年6月28日第十三届全国人民代表大会常务委员会第二十次会议</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p>
    <w:p>
      <w:pPr>
        <w:pageBreakBefore w:val="0"/>
        <w:widowControl w:val="0"/>
        <w:kinsoku/>
        <w:wordWrap/>
        <w:overflowPunct/>
        <w:topLinePunct w:val="0"/>
        <w:autoSpaceDE/>
        <w:autoSpaceDN/>
        <w:bidi w:val="0"/>
        <w:adjustRightInd w:val="0"/>
        <w:snapToGrid/>
        <w:spacing w:line="420" w:lineRule="exact"/>
        <w:ind w:firstLine="1440" w:firstLineChars="6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全国人大常委会法制工作委员会副主任 许安标</w:t>
      </w:r>
    </w:p>
    <w:p>
      <w:pPr>
        <w:pageBreakBefore w:val="0"/>
        <w:widowControl w:val="0"/>
        <w:kinsoku/>
        <w:wordWrap/>
        <w:overflowPunct/>
        <w:topLinePunct w:val="0"/>
        <w:autoSpaceDE/>
        <w:autoSpaceDN/>
        <w:bidi w:val="0"/>
        <w:adjustRightInd w:val="0"/>
        <w:snapToGrid/>
        <w:spacing w:line="420" w:lineRule="exact"/>
        <w:jc w:val="left"/>
        <w:textAlignment w:val="auto"/>
        <w:rPr>
          <w:rFonts w:hint="eastAsia" w:ascii="方正仿宋简体" w:hAnsi="方正仿宋简体" w:eastAsia="方正仿宋简体" w:cs="方正仿宋简体"/>
          <w:sz w:val="24"/>
          <w:szCs w:val="24"/>
          <w:highlight w:val="none"/>
        </w:rPr>
      </w:pPr>
    </w:p>
    <w:p>
      <w:pPr>
        <w:pageBreakBefore w:val="0"/>
        <w:widowControl w:val="0"/>
        <w:kinsoku/>
        <w:wordWrap/>
        <w:overflowPunct/>
        <w:topLinePunct w:val="0"/>
        <w:autoSpaceDE/>
        <w:autoSpaceDN/>
        <w:bidi w:val="0"/>
        <w:adjustRightInd w:val="0"/>
        <w:snapToGrid/>
        <w:spacing w:line="420" w:lineRule="exact"/>
        <w:jc w:val="left"/>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全国人民代表大会常务委员会:</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我受委员长会议的委托，作关于《中华人民共和国行政处罚法（修订草案》的说明。</w:t>
      </w:r>
    </w:p>
    <w:p>
      <w:pPr>
        <w:pStyle w:val="3"/>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一、修改的必要性和起草过程</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行政处罚是行政机关有效实施行政管理，保障法律、法规贯彻施行的重要手段。现行行政处罚法于1996年由第八届全国人大第四次会议通过，2009年和2017年先后两次作了个别条文修改，对行政处罚的种类、设定和实施作了基本规定。该法颁布施行以来，对增强行政机关及其工作人员依法行政理念，依法惩处各类行政违法行为，推动解决乱处罚问题，保护公民、法人和其他组织合法权益发挥了重要作用，积累了宝贵经验，同时，执法实践中也提出了一些新问题。党的十八大以来，以习近平同志为核心的党中央推进全面依法治国，深化行政执法体制改革，建立权责统一，权威高效的行政执法体制</w:t>
      </w:r>
      <w:r>
        <w:rPr>
          <w:rFonts w:hint="eastAsia" w:ascii="方正仿宋简体" w:hAnsi="方正仿宋简体" w:eastAsia="方正仿宋简体" w:cs="方正仿宋简体"/>
          <w:color w:val="000000" w:themeColor="text1"/>
          <w:sz w:val="24"/>
          <w:szCs w:val="24"/>
          <w:highlight w:val="none"/>
          <w:lang w:eastAsia="zh-CN"/>
          <w14:textFill>
            <w14:solidFill>
              <w14:schemeClr w14:val="tx1"/>
            </w14:solidFill>
          </w14:textFill>
        </w:rPr>
        <w:t>；</w:t>
      </w:r>
      <w:r>
        <w:rPr>
          <w:rFonts w:hint="eastAsia" w:ascii="方正仿宋简体" w:hAnsi="方正仿宋简体" w:eastAsia="方正仿宋简体" w:cs="方正仿宋简体"/>
          <w:sz w:val="24"/>
          <w:szCs w:val="24"/>
          <w:highlight w:val="none"/>
        </w:rPr>
        <w:t>完善行政执法程序，坚持严格规范公正文明执法。为贯彻落实党中央重大改革决策部署，推进国家治理体系和治理能力现代化，加强法治政府建设，完善行政处罚制度，解决执法实践中遇到的突出问题，有必要修改行政处罚法。</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党的十八大以来，先后有近两百名全国人大代表、政协委员提出修改行政处罚法的议案、建议和提案，有关方面也陆续提出修改行政处罚法的意见和建议。行政处罚法修改列入十三届全国人大常委会立法规划。法制工作委员会于2018年启动行政处罚法的修改工作，先后到北京、江西、广东、内蒙古、天津、河南等地进行调研，多次召开国务院部门、地方人大、政府法制机构、专家学者、律师和企业座谈会，听取各方面的意见和建议。通过上海虹桥街道基层立法联系点走访基层执法部门了解实际情况，委托部分国务院部门、地方人大、基层立法联系点收集法律实施过程中存在的突出问题。通过课题委托、专题研究等方式，认真研究相关问题。在广泛征求意见和深入研究的基础上，2019年10月形成修改草案征求意见稿，书面征求国务院部门、31个省（区、市）和部分设区的市人大常委会法制工作机构，以及基层立法联系点、部分高等院校、科研单位的意见。召开座谈会，专门听取部分省、直辖市人大常委会法制工作机构主要负责同志意见。2020年1月，分别召开中央政法委、中央改革办、中央依法治国办、中央编办以及部分国务院部门、法院系统同志参加的座谈会，再次征求意见。根据各方面意见，对征求意见稿进一步修改完善，形成了行政处罚法修订草案。</w:t>
      </w:r>
    </w:p>
    <w:p>
      <w:pPr>
        <w:pStyle w:val="3"/>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二、修改的指导思想和主要考虑</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修改工作坚持以习近平新时代中国特色社会主义思想为指导，深入贯彻党的十九大和十九届二中、三中、四中全会精神，全面贯彻习近平总书记全面依法治国新理念新思想新战略，适应推进全面依法治国的需要，落实完善行政执法体制、严格规范公正文明执法的改革要求，推进国家治理体系和治理能力现代化。</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根据各方面意见，修改工作把握以下几点:一是贯彻落实党中央重大决策部署，立法主动适应改革需要，体现和巩固行政执法领域中取得的重大改革成果。二是坚持问题导向，适应实践需要，扩大地方的行政处罚设定权限，加大重点领域行政处罚力度。三是坚持权由法定的法治原则，增加综合行政执法，赋予乡镇街道行政处罚权，完善行政处罚程序，严格行政执法责任，更好地保障严格规范公正文明执法。四是把握通用性，从行政处罚法是行政处罚领域的通用规范出发，认真总结实践经验，发展和完善行政处罚的实体和程序规则，为单行法律、法规设定行政处罚和行政机关实施行政处罚提供基本遵循。</w:t>
      </w:r>
    </w:p>
    <w:p>
      <w:pPr>
        <w:pStyle w:val="3"/>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三、修改的主要内容</w:t>
      </w:r>
    </w:p>
    <w:p>
      <w:pPr>
        <w:pStyle w:val="4"/>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（一）关于行政处罚的定义和种类</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现行行政处罚法第八条列举了七项行政处罚种类。一些意见反映，行政处罚法未对行政处罚进行界定，所列举的处罚种类较少，不利于行政执法实践和法律的实施。据此，作以下修改:一是增加行政处罚的定义，明确行政处罚是指行政机关在行政管理过程中，对违反行政管理秩序的公民、法人或者其他组织，以依法减损权利或者增加义务的方式予以惩戒的行为。</w:t>
      </w:r>
      <w:r>
        <w:rPr>
          <w:rFonts w:hint="eastAsia" w:ascii="方正仿宋简体" w:hAnsi="方正仿宋简体" w:eastAsia="方正仿宋简体" w:cs="方正仿宋简体"/>
          <w:sz w:val="24"/>
          <w:szCs w:val="24"/>
          <w:highlight w:val="none"/>
          <w:lang w:eastAsia="zh-CN"/>
        </w:rPr>
        <w:t>二</w:t>
      </w:r>
      <w:r>
        <w:rPr>
          <w:rFonts w:hint="eastAsia" w:ascii="方正仿宋简体" w:hAnsi="方正仿宋简体" w:eastAsia="方正仿宋简体" w:cs="方正仿宋简体"/>
          <w:sz w:val="24"/>
          <w:szCs w:val="24"/>
          <w:highlight w:val="none"/>
        </w:rPr>
        <w:t>是将现行单行法律、法规中已经明确规定，行政执法实践中常用的行政处罚种类纳入本法，增加规定通报批评、降低资质等级、不得申请行政许可、限制开展生产经营活动、限制从业、责令停止行为、责令作出行为等行政处罚种类。</w:t>
      </w:r>
    </w:p>
    <w:p>
      <w:pPr>
        <w:pStyle w:val="4"/>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（二）关于地方性法规设定行政处罚的权限</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现行行政处罚法第十一条规定:“地方性法规可以设定除限制人身自由、吊销企业营业执照以外的行政处罚。”“法律、行政法规对违法行为已经作出行政处罚规定，地方性法规需要作出具体规定的，必须在法律、行政法规规定的给予行政处罚的行为、种类和幅度的范围内规定。”多年来，一些地方人大同志反映，现行政处罚法中有关地方性法规设定行政处</w:t>
      </w:r>
      <w:r>
        <w:rPr>
          <w:rFonts w:hint="eastAsia" w:ascii="方正仿宋简体" w:hAnsi="方正仿宋简体" w:eastAsia="方正仿宋简体" w:cs="方正仿宋简体"/>
          <w:sz w:val="24"/>
          <w:szCs w:val="24"/>
          <w:highlight w:val="none"/>
          <w:lang w:eastAsia="zh-CN"/>
        </w:rPr>
        <w:t>罚</w:t>
      </w:r>
      <w:r>
        <w:rPr>
          <w:rFonts w:hint="eastAsia" w:ascii="方正仿宋简体" w:hAnsi="方正仿宋简体" w:eastAsia="方正仿宋简体" w:cs="方正仿宋简体"/>
          <w:sz w:val="24"/>
          <w:szCs w:val="24"/>
          <w:highlight w:val="none"/>
        </w:rPr>
        <w:t>的规定限制过严，地方保障法律法规实施的手段受限，建议扩大地方性法规的行政处罚设定权限。为充分发挥地方性法规在地方治理中的作用，增加规定:地方性法规为实施法律、行政法规，对法律，行政法规未规定的违法行为可以补充设定行政处罚。地方性法规拟补充设定行政处罚的，应当通过听证会、论证会等形式听取意见，并向制定机关作出说明。</w:t>
      </w:r>
    </w:p>
    <w:p>
      <w:pPr>
        <w:pStyle w:val="4"/>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（三）关于行政处罚实施主体</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根据党和国家机构改革和行政执法体制改革要求，明确综合行政执法的法律地位，增加规定:国家在城市管理、市场监管、生态环境、文化市场、交通运输、农业等领域实行综合行政执法</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相对集中行政处罚权，由</w:t>
      </w:r>
      <w:r>
        <w:rPr>
          <w:rFonts w:hint="eastAsia" w:ascii="方正仿宋简体" w:hAnsi="方正仿宋简体" w:eastAsia="方正仿宋简体" w:cs="方正仿宋简体"/>
          <w:sz w:val="24"/>
          <w:szCs w:val="24"/>
          <w:highlight w:val="none"/>
          <w:lang w:eastAsia="zh-CN"/>
        </w:rPr>
        <w:t>一</w:t>
      </w:r>
      <w:r>
        <w:rPr>
          <w:rFonts w:hint="eastAsia" w:ascii="方正仿宋简体" w:hAnsi="方正仿宋简体" w:eastAsia="方正仿宋简体" w:cs="方正仿宋简体"/>
          <w:sz w:val="24"/>
          <w:szCs w:val="24"/>
          <w:highlight w:val="none"/>
        </w:rPr>
        <w:t>个行政机关统一实施相关领域的行政处罚。同时，根据基层整合审批服务执法力量改革要求，推进行政执法权限和力量向基层延伸和下沉，增加规定:省、自治区、直辖市根据当地实际情况，可以决定符合条件的乡镇人民政府、街道办事处对其管辖区域内的违法行为行使有关县级人民政府部门的部分行政处罚权。</w:t>
      </w:r>
    </w:p>
    <w:p>
      <w:pPr>
        <w:pStyle w:val="4"/>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（四）关于行政处罚的适用</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经过多年的执法实践，行政处罚的适用规则不断发展完善，在总结实践经验基础上，作以下补充完善:一是明确行政机关实施行政处罚时，有违法所得的，应当予以没收。二是规范行政处罚自由政量权行使，完善从轻、减轻的法定情形，增加规定当事人有证据证明没有主观过错的，不予行政处罚，法律、行政法规有特别规定的，依照其规定</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行政机关可以依法制定行政处罚裁量基准。三是加大重点领域执法力度，涉及公民生命健康安全的违法行为的追责期限由两年延长至五年。四是增加“从旧兼从轻”</w:t>
      </w:r>
      <w:r>
        <w:rPr>
          <w:rFonts w:hint="eastAsia" w:ascii="方正仿宋简体" w:hAnsi="方正仿宋简体" w:eastAsia="方正仿宋简体" w:cs="方正仿宋简体"/>
          <w:sz w:val="24"/>
          <w:szCs w:val="24"/>
          <w:highlight w:val="none"/>
          <w:lang w:eastAsia="zh-CN"/>
        </w:rPr>
        <w:t>适</w:t>
      </w:r>
      <w:r>
        <w:rPr>
          <w:rFonts w:hint="eastAsia" w:ascii="方正仿宋简体" w:hAnsi="方正仿宋简体" w:eastAsia="方正仿宋简体" w:cs="方正仿宋简体"/>
          <w:sz w:val="24"/>
          <w:szCs w:val="24"/>
          <w:highlight w:val="none"/>
        </w:rPr>
        <w:t>用规则，行政处罚的依据适用违法行为发生时的法律、法规和规章的规定，但是新的法律、法规和规章的规定更有利于</w:t>
      </w:r>
      <w:r>
        <w:rPr>
          <w:rFonts w:hint="eastAsia" w:ascii="方正仿宋简体" w:hAnsi="方正仿宋简体" w:eastAsia="方正仿宋简体" w:cs="方正仿宋简体"/>
          <w:sz w:val="24"/>
          <w:szCs w:val="24"/>
          <w:highlight w:val="none"/>
          <w:lang w:eastAsia="zh-CN"/>
        </w:rPr>
        <w:t>当</w:t>
      </w:r>
      <w:r>
        <w:rPr>
          <w:rFonts w:hint="eastAsia" w:ascii="方正仿宋简体" w:hAnsi="方正仿宋简体" w:eastAsia="方正仿宋简体" w:cs="方正仿宋简体"/>
          <w:sz w:val="24"/>
          <w:szCs w:val="24"/>
          <w:highlight w:val="none"/>
        </w:rPr>
        <w:t>事人的，适用新的法律、法规和规章的规定。五是完善行政处罚决定无效制度，行政处罚没有法定依据或者实施主体不具有行政主体资格的，行政处罚无效</w:t>
      </w:r>
      <w:r>
        <w:rPr>
          <w:rFonts w:hint="eastAsia" w:ascii="方正仿宋简体" w:hAnsi="方正仿宋简体" w:eastAsia="方正仿宋简体" w:cs="方正仿宋简体"/>
          <w:sz w:val="24"/>
          <w:szCs w:val="24"/>
          <w:highlight w:val="none"/>
          <w:lang w:eastAsia="zh-CN"/>
        </w:rPr>
        <w:t>；</w:t>
      </w:r>
      <w:r>
        <w:rPr>
          <w:rFonts w:hint="eastAsia" w:ascii="方正仿宋简体" w:hAnsi="方正仿宋简体" w:eastAsia="方正仿宋简体" w:cs="方正仿宋简体"/>
          <w:sz w:val="24"/>
          <w:szCs w:val="24"/>
          <w:highlight w:val="none"/>
        </w:rPr>
        <w:t>不遵守法定程序构成重大且明显违法的，行政处罚无效。六是明确行政处罚证据种类和适用规则。规定证据必须经查证属实，方可作为认定案件事实的根据；以非法手段取得的证据，不得作为认定案件事实的根据。七是进一步明确适用范围，外国人、无国籍人、外国组织在中华人民共和国领域内有违法行为，应当给予行政处罚的，适用本法，法律另有规定的除外。</w:t>
      </w:r>
    </w:p>
    <w:p>
      <w:pPr>
        <w:pStyle w:val="4"/>
        <w:keepNext w:val="0"/>
        <w:keepLines w:val="0"/>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（五）关于行政处罚的程序</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为推进严格规范公正文明执法，巩固行政执法公示制度、行政执法全过程记录制度、重大执法决定法制审核制度“三项制度”改革成果，进</w:t>
      </w:r>
      <w:r>
        <w:rPr>
          <w:rFonts w:hint="eastAsia" w:ascii="方正仿宋简体" w:hAnsi="方正仿宋简体" w:eastAsia="方正仿宋简体" w:cs="方正仿宋简体"/>
          <w:sz w:val="24"/>
          <w:szCs w:val="24"/>
          <w:highlight w:val="none"/>
          <w:lang w:eastAsia="zh-CN"/>
        </w:rPr>
        <w:t>一</w:t>
      </w:r>
      <w:r>
        <w:rPr>
          <w:rFonts w:hint="eastAsia" w:ascii="方正仿宋简体" w:hAnsi="方正仿宋简体" w:eastAsia="方正仿宋简体" w:cs="方正仿宋简体"/>
          <w:sz w:val="24"/>
          <w:szCs w:val="24"/>
          <w:highlight w:val="none"/>
        </w:rPr>
        <w:t>步完善行政处罚程序， 作以下修改:一是明确公示要求，增加规定行政处罚的实施机关、立案依据、实施程序和救济渠道等信息应当公示；行政处罚决定应当依法公开。二是体现全程记录，增加规定行政机关应当依法以文字、音像等形式，对行政处罚的启动、调查取证、审核、决定、送达、执行等进行全过程记录，归档保存。三是细化法制审核程序，列明适用情形，明确未经法制审核或者审核未通过的不得作出行政处罚决定。四是规范非现场执法，增加规定行政机关依照法律、行政法规规定利用电子技术监控设备收集、固定违法事实的，应当经过法制和技术审核，确保设置合理、标准合格、标志明显，设置地点应当向社会公布，并对记录内容和方便当事人查询作出相应规定。五是进一步完善回避制度，细化回避情形，明确对回避申请应当依法审查，但不停止调查或者实施行政处罚。六是增加规定发生重大传染病疫情等突发事件，为了控制、减轻和消除突发事件引起的社会危害，行政机关对违反突发事件应对措施的行为，依法从</w:t>
      </w:r>
      <w:r>
        <w:rPr>
          <w:rFonts w:hint="eastAsia" w:ascii="方正仿宋简体" w:hAnsi="方正仿宋简体" w:eastAsia="方正仿宋简体" w:cs="方正仿宋简体"/>
          <w:sz w:val="24"/>
          <w:szCs w:val="24"/>
          <w:highlight w:val="none"/>
          <w:lang w:eastAsia="zh-CN"/>
        </w:rPr>
        <w:t>重</w:t>
      </w:r>
      <w:r>
        <w:rPr>
          <w:rFonts w:hint="eastAsia" w:ascii="方正仿宋简体" w:hAnsi="方正仿宋简体" w:eastAsia="方正仿宋简体" w:cs="方正仿宋简体"/>
          <w:sz w:val="24"/>
          <w:szCs w:val="24"/>
          <w:highlight w:val="none"/>
        </w:rPr>
        <w:t>处罚，并可以简化程序。七是适应行政执法实际需要，将适用简易程序的罚款数</w:t>
      </w:r>
      <w:r>
        <w:rPr>
          <w:rFonts w:hint="eastAsia" w:ascii="方正仿宋简体" w:hAnsi="方正仿宋简体" w:eastAsia="方正仿宋简体" w:cs="方正仿宋简体"/>
          <w:sz w:val="24"/>
          <w:szCs w:val="24"/>
          <w:highlight w:val="none"/>
          <w:lang w:eastAsia="zh-CN"/>
        </w:rPr>
        <w:t>额</w:t>
      </w:r>
      <w:r>
        <w:rPr>
          <w:rFonts w:hint="eastAsia" w:ascii="方正仿宋简体" w:hAnsi="方正仿宋简体" w:eastAsia="方正仿宋简体" w:cs="方正仿宋简体"/>
          <w:sz w:val="24"/>
          <w:szCs w:val="24"/>
          <w:highlight w:val="none"/>
        </w:rPr>
        <w:t>由五十元以下和</w:t>
      </w:r>
      <w:r>
        <w:rPr>
          <w:rFonts w:hint="eastAsia" w:ascii="方正仿宋简体" w:hAnsi="方正仿宋简体" w:eastAsia="方正仿宋简体" w:cs="方正仿宋简体"/>
          <w:sz w:val="24"/>
          <w:szCs w:val="24"/>
          <w:highlight w:val="none"/>
          <w:lang w:eastAsia="zh-CN"/>
        </w:rPr>
        <w:t>一</w:t>
      </w:r>
      <w:r>
        <w:rPr>
          <w:rFonts w:hint="eastAsia" w:ascii="方正仿宋简体" w:hAnsi="方正仿宋简体" w:eastAsia="方正仿宋简体" w:cs="方正仿宋简体"/>
          <w:sz w:val="24"/>
          <w:szCs w:val="24"/>
          <w:highlight w:val="none"/>
        </w:rPr>
        <w:t>千元以下，分别</w:t>
      </w:r>
      <w:r>
        <w:rPr>
          <w:rFonts w:hint="eastAsia" w:ascii="方正仿宋简体" w:hAnsi="方正仿宋简体" w:eastAsia="方正仿宋简体" w:cs="方正仿宋简体"/>
          <w:sz w:val="24"/>
          <w:szCs w:val="24"/>
          <w:highlight w:val="none"/>
          <w:lang w:eastAsia="zh-CN"/>
        </w:rPr>
        <w:t>提</w:t>
      </w:r>
      <w:r>
        <w:rPr>
          <w:rFonts w:hint="eastAsia" w:ascii="方正仿宋简体" w:hAnsi="方正仿宋简体" w:eastAsia="方正仿宋简体" w:cs="方正仿宋简体"/>
          <w:sz w:val="24"/>
          <w:szCs w:val="24"/>
          <w:highlight w:val="none"/>
        </w:rPr>
        <w:t>高至二百元以下和三千元以下。</w:t>
      </w:r>
      <w:r>
        <w:rPr>
          <w:rFonts w:hint="eastAsia" w:ascii="方正仿宋简体" w:hAnsi="方正仿宋简体" w:eastAsia="方正仿宋简体" w:cs="方正仿宋简体"/>
          <w:sz w:val="24"/>
          <w:szCs w:val="24"/>
          <w:highlight w:val="none"/>
          <w:lang w:eastAsia="zh-CN"/>
        </w:rPr>
        <w:t>八</w:t>
      </w:r>
      <w:r>
        <w:rPr>
          <w:rFonts w:hint="eastAsia" w:ascii="方正仿宋简体" w:hAnsi="方正仿宋简体" w:eastAsia="方正仿宋简体" w:cs="方正仿宋简体"/>
          <w:sz w:val="24"/>
          <w:szCs w:val="24"/>
          <w:highlight w:val="none"/>
        </w:rPr>
        <w:t>是增加立案程序，除当场作出的行政处罚外，行政机关认为符合立案标准的，应当立案。九是完善听证程序，扩大适用范围，适当延长申请期限，明确行政机关应当结合听证笔录作出决定。</w:t>
      </w:r>
    </w:p>
    <w:p>
      <w:pPr>
        <w:pStyle w:val="4"/>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（六）关于行政处罚的执行</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为保障行政处罚决定的依法履行，补充完善执行制度，作以下修改:一是适应行政执法实际需要，将行政机关当场收缴的罚款数额由二十元以下提高至一百元以下。二是与行政强制法相衔接，完善行政处罚的强制执行程序，规定当事人逾期不履行行政处罚决定的，行政机关可以根据法律规定实施行政强制执行。三是明确行政机关批准延期、分期缴纳罚款的，申请人民法院强制执行的期限，自暂缓或者分期缴纳罚款期限结束之日起计算。四是明确当事人申请行政复议或者提起行政诉讼的，加处罚款的数额在行政复议或者行政诉讼期间不予计算。</w:t>
      </w:r>
    </w:p>
    <w:p>
      <w:pPr>
        <w:pStyle w:val="4"/>
        <w:pageBreakBefore w:val="0"/>
        <w:widowControl w:val="0"/>
        <w:kinsoku/>
        <w:wordWrap/>
        <w:overflowPunct/>
        <w:topLinePunct w:val="0"/>
        <w:autoSpaceDE/>
        <w:autoSpaceDN/>
        <w:bidi w:val="0"/>
        <w:snapToGrid/>
        <w:spacing w:line="420" w:lineRule="exact"/>
        <w:textAlignment w:val="auto"/>
        <w:rPr>
          <w:sz w:val="24"/>
          <w:szCs w:val="24"/>
        </w:rPr>
      </w:pPr>
      <w:r>
        <w:rPr>
          <w:rFonts w:hint="eastAsia"/>
          <w:sz w:val="24"/>
          <w:szCs w:val="24"/>
        </w:rPr>
        <w:t>（七）关于执法监督</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为贯彻落实行政执法责任制和责任追究制度，强化对行政处罚行为的监督，作以下修改:一是增加规定罚款、没收违法所得或者没收非法财物拍卖的款项，不得同作出行政处罚决定的行政机关及其工作人员的考核、考评直接或者变相挂钩。二是增加规定县级以上人民政府应当定期组织开展行政执法评议、考核，加强对行政处罚的监督检查，规范和保障行政处罚的实施。</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此外，修订草案对管辖、行政执法协助、行政执法资格等规定也作了补充完善。</w:t>
      </w:r>
    </w:p>
    <w:p>
      <w:pPr>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行政处罚法修订草案和以上说明是否妥当，请审议。</w:t>
      </w:r>
    </w:p>
    <w:p>
      <w:pPr>
        <w:pStyle w:val="2"/>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p>
    <w:p>
      <w:pPr>
        <w:pStyle w:val="2"/>
      </w:pPr>
      <w:r>
        <w:rPr>
          <w:rFonts w:hint="eastAsia"/>
        </w:rPr>
        <w:t>全国人民代表大会宪法和法律委员会</w:t>
      </w:r>
    </w:p>
    <w:p>
      <w:pPr>
        <w:pStyle w:val="2"/>
      </w:pPr>
      <w:r>
        <w:rPr>
          <w:rFonts w:hint="eastAsia"/>
        </w:rPr>
        <w:t>关于《中华人民共和国行政处罚法</w:t>
      </w:r>
    </w:p>
    <w:p>
      <w:pPr>
        <w:pStyle w:val="2"/>
      </w:pPr>
      <w:r>
        <w:rPr>
          <w:rFonts w:hint="eastAsia"/>
        </w:rPr>
        <w:t>（修订草案）》修改情况的汇报</w:t>
      </w:r>
    </w:p>
    <w:p>
      <w:pPr>
        <w:adjustRightInd w:val="0"/>
        <w:spacing w:line="580" w:lineRule="exact"/>
        <w:rPr>
          <w:rFonts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spacing w:line="420" w:lineRule="exact"/>
        <w:ind w:firstLine="0" w:firstLineChars="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全国人民代表大会常务委员会: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常委会第二十次会议对行政处罚法修订草案进行了初次审议。会后，法制工作委员会将修订草案印发各省（区、市）、立法联系点和中央有关部门等征求意见，在中国人大网公布修订草案全文，征求社会公众意见。宪法和法律委员会、法制工作委员会联合召开座谈会，听取部分全国人大代表和有关部门、专家、企业、行业协会等的意见；到辽宁、四川和广东等地调研，召开专题座谈会，听取地方人大、行政机关和企业的意见，实地了解综合行政执法实施情况；并就修订草案中的主要问题与有关部门交换意见，共同研究。宪法和法律委员会于9月15日召开会议，根据常委会组成人员的审议意见和各方面意见，对修订草案进行了逐条审议。司法部、最高人民法院的有关负责同志列席了会议。9月29日，宪法和法律委员会召开会议，再次进行了审议。现将行政处罚法修订草案主要问题修改情况汇报如下:</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一、修订草案第九条列举了六项行政处罚种类。有些常委委员、部门、地方和专家提出，有的常用的行政处罚种类尚未纳入，有些行政处罚种类与其他行政管理措施的边界不够清晰，建议进一步完善行政处罚种类的规定。宪法和法律委员会经研究，建议适当调整行政处罚种类：一是增加“责令关闭”的行政处罚种类；二是删去“不得申请行政许可”“责令停止行为”“责令作出行为”的行政处罚种类。</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二、修订草案第十二条第三款对地方性法规补充设定行政处罚作了规定。有些常委委员、地方和社会公众提出，适当扩大地方性法规设定行政处罚的权限是必要的，建议进一步明确范围、完善程序，增加约束性要求。同时，司法部建议对行政法规补充设定行政处罚也作出相应规定。宪法和法律委员会经研究，建议增加规定:“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并对地方性法规补充设定行政处罚的规定作相应完善。</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三、中央编办提出，为了简政放权、优化营商环境，应当定期对已经设定的行政处罚进行评估，减少不必要的行政处罚事项。宪法和法律委员会经研究，建议增加规定:“ 国务院部门和省、自治区、直辖市人民政府及其有关部门应当定期组织评估行政处罚的实施情况和必要性，对不适当的行政处罚事项，应当提出修改或者废止的建议。”</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四、修订草案第十七条第一款对综合行政执法作了规定。有些常委委员、部门、地方和社会公众提出，综合行政执法改革正在推进过程中，需要根据实践总结完善，立法应当为改革探索留有空间。宪法和法律委员会经研究，建议修改为:“国家在城市管理、市场监管、生态环境、文化市场、交通运输、农业等领域推行建立综合行政执法制度，相对集中行政处罚权。”</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五、修订草案第二十二条第二款对行政处罚权下放乡镇、街道作了规定。有些常委会组成人员、部门、地方和社会公众提出，为满足基层执法需求，保障行政处罚权“放得下、接得住、管得好”，应当进一步明确下放行政处罚权的条件和情形。宪法和法律委员会经研究，建议修改为:“省、自治区、直辖市根据当地实际情况，可以决定将基层管理迫切需要的县级人民政府部门的行政处罚权交由能够有效承接且符合条件的乡镇人民政府、街道办事处行使。”</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六、有些常委会组成人员、部门、地方和专家学者提出，行政处罚法的重要内容是规范行政处罚程序，建议进一步完善相关程序。宪法和法律委员会经研究，建议作以下修改: 一是完善立案程序，规定符合立案标准的，行政机关应当及时立案。同时，对应当立案不及时立案的，设定相应法律责任。二是明确行政处罚期限，增加规定行政机关应当自行政处罚案件立案之日起九十日内作出行政处罚决定，法律、法规、规章另有规定的除外。三是完善听证程序，在听证范围中增加“降低资质等级”的行政处罚种类；明确听证结束后，行政机关应当根据听证笔录作出行政处罚决定。四是增加文明执法内容，执法人员应当文明执法，尊重和保护当事人合法权益。五是完善回避程序，增加规定执法人员的回避由行政机关负责人决定。六是细化行政处罚决定公开要求，明确行政处罚决定应当按照政府信息公开的有关规定予以公开。</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此外，还对修订草案作了一些文字修改。</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修订草案二次审议稿已按上述意见作了修改，宪法和法律委员会建议提请本次常委会会议继续审议。</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修订草案二次审议稿和以上汇报是否妥当，请审议。</w:t>
      </w:r>
    </w:p>
    <w:p>
      <w:pPr>
        <w:keepNext w:val="0"/>
        <w:keepLines w:val="0"/>
        <w:pageBreakBefore w:val="0"/>
        <w:widowControl w:val="0"/>
        <w:kinsoku/>
        <w:wordWrap/>
        <w:overflowPunct/>
        <w:topLinePunct w:val="0"/>
        <w:autoSpaceDE/>
        <w:autoSpaceDN/>
        <w:bidi w:val="0"/>
        <w:adjustRightInd w:val="0"/>
        <w:snapToGrid/>
        <w:spacing w:line="420" w:lineRule="exact"/>
        <w:ind w:firstLine="1680" w:firstLineChars="700"/>
        <w:textAlignment w:val="auto"/>
        <w:rPr>
          <w:rFonts w:hint="eastAsia" w:ascii="方正仿宋简体" w:hAnsi="方正仿宋简体" w:eastAsia="方正仿宋简体" w:cs="方正仿宋简体"/>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420" w:lineRule="exact"/>
        <w:ind w:firstLine="1680" w:firstLineChars="700"/>
        <w:textAlignment w:val="auto"/>
        <w:rPr>
          <w:rFonts w:hint="eastAsia" w:ascii="方正仿宋简体" w:hAnsi="方正仿宋简体" w:eastAsia="方正仿宋简体" w:cs="方正仿宋简体"/>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420" w:lineRule="exact"/>
        <w:ind w:firstLine="3360" w:firstLineChars="14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全国人民代表大会宪法和法律委员会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 xml:space="preserve">             </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 xml:space="preserve">   2020年10月13日</w:t>
      </w:r>
    </w:p>
    <w:p>
      <w:pPr>
        <w:adjustRightInd w:val="0"/>
        <w:spacing w:line="580" w:lineRule="exact"/>
        <w:ind w:firstLine="640" w:firstLineChars="200"/>
        <w:rPr>
          <w:rFonts w:hint="eastAsia" w:ascii="仿宋_GB2312" w:hAnsi="方正仿宋简体" w:eastAsia="仿宋_GB2312" w:cs="方正仿宋简体"/>
          <w:sz w:val="32"/>
          <w:szCs w:val="32"/>
        </w:rPr>
      </w:pPr>
    </w:p>
    <w:p>
      <w:pPr>
        <w:adjustRightInd w:val="0"/>
        <w:spacing w:line="580" w:lineRule="exact"/>
        <w:ind w:firstLine="640" w:firstLineChars="200"/>
        <w:rPr>
          <w:rFonts w:hint="eastAsia" w:ascii="仿宋_GB2312" w:hAnsi="方正仿宋简体" w:eastAsia="仿宋_GB2312" w:cs="方正仿宋简体"/>
          <w:sz w:val="32"/>
          <w:szCs w:val="32"/>
        </w:rPr>
      </w:pPr>
    </w:p>
    <w:p>
      <w:pPr>
        <w:adjustRightInd w:val="0"/>
        <w:spacing w:line="580" w:lineRule="exact"/>
        <w:ind w:firstLine="640" w:firstLineChars="200"/>
        <w:rPr>
          <w:rFonts w:hint="eastAsia" w:ascii="仿宋_GB2312" w:hAnsi="方正仿宋简体" w:eastAsia="仿宋_GB2312" w:cs="方正仿宋简体"/>
          <w:sz w:val="32"/>
          <w:szCs w:val="32"/>
        </w:rPr>
      </w:pPr>
    </w:p>
    <w:p>
      <w:pPr>
        <w:adjustRightInd w:val="0"/>
        <w:spacing w:line="580" w:lineRule="exact"/>
        <w:ind w:firstLine="640" w:firstLineChars="200"/>
        <w:rPr>
          <w:rFonts w:hint="eastAsia" w:ascii="仿宋_GB2312" w:hAnsi="方正仿宋简体" w:eastAsia="仿宋_GB2312" w:cs="方正仿宋简体"/>
          <w:sz w:val="32"/>
          <w:szCs w:val="32"/>
        </w:rPr>
      </w:pPr>
    </w:p>
    <w:p>
      <w:pPr>
        <w:adjustRightInd w:val="0"/>
        <w:spacing w:line="580" w:lineRule="exact"/>
        <w:ind w:firstLine="640" w:firstLineChars="200"/>
        <w:rPr>
          <w:rFonts w:hint="eastAsia" w:ascii="仿宋_GB2312" w:hAnsi="方正仿宋简体" w:eastAsia="仿宋_GB2312" w:cs="方正仿宋简体"/>
          <w:sz w:val="32"/>
          <w:szCs w:val="32"/>
        </w:rPr>
      </w:pPr>
    </w:p>
    <w:p>
      <w:pPr>
        <w:adjustRightInd w:val="0"/>
        <w:spacing w:line="580" w:lineRule="exact"/>
        <w:ind w:firstLine="640" w:firstLineChars="200"/>
        <w:rPr>
          <w:rFonts w:hint="eastAsia" w:ascii="仿宋_GB2312" w:hAnsi="方正仿宋简体" w:eastAsia="仿宋_GB2312" w:cs="方正仿宋简体"/>
          <w:sz w:val="32"/>
          <w:szCs w:val="32"/>
        </w:rPr>
      </w:pPr>
    </w:p>
    <w:p>
      <w:pPr>
        <w:pStyle w:val="2"/>
        <w:rPr>
          <w:rFonts w:hint="eastAsia" w:ascii="方正小标宋简体"/>
        </w:rPr>
      </w:pPr>
    </w:p>
    <w:p>
      <w:pPr>
        <w:pStyle w:val="2"/>
        <w:rPr>
          <w:rFonts w:hint="eastAsia" w:ascii="方正小标宋简体"/>
        </w:rPr>
      </w:pPr>
      <w:r>
        <w:rPr>
          <w:rFonts w:hint="eastAsia" w:ascii="方正小标宋简体"/>
        </w:rPr>
        <w:t>全国人民代表大会宪法和法律委员会</w:t>
      </w:r>
    </w:p>
    <w:p>
      <w:pPr>
        <w:pStyle w:val="2"/>
        <w:rPr>
          <w:rFonts w:hint="eastAsia" w:ascii="方正小标宋简体"/>
        </w:rPr>
      </w:pPr>
      <w:r>
        <w:rPr>
          <w:rFonts w:hint="eastAsia" w:ascii="方正小标宋简体"/>
        </w:rPr>
        <w:t>关于《中华人民共和国行政处罚法</w:t>
      </w:r>
    </w:p>
    <w:p>
      <w:pPr>
        <w:pStyle w:val="2"/>
        <w:rPr>
          <w:rFonts w:hint="eastAsia" w:ascii="仿宋_GB2312" w:eastAsia="仿宋_GB2312"/>
        </w:rPr>
      </w:pPr>
      <w:r>
        <w:rPr>
          <w:rFonts w:hint="eastAsia" w:ascii="方正小标宋简体"/>
        </w:rPr>
        <w:t>（修订草案）》审议结果的报告</w:t>
      </w:r>
    </w:p>
    <w:p>
      <w:pPr>
        <w:adjustRightInd w:val="0"/>
        <w:spacing w:line="580" w:lineRule="exact"/>
        <w:rPr>
          <w:rFonts w:hint="eastAsia" w:ascii="仿宋_GB2312" w:hAnsi="方正仿宋简体" w:eastAsia="仿宋_GB2312" w:cs="方正仿宋简体"/>
          <w:sz w:val="32"/>
          <w:szCs w:val="32"/>
        </w:rPr>
      </w:pPr>
    </w:p>
    <w:p>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全国人民代表大会常务委员会: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常委会第二十二次会议对行政处罚法修订草案进行了二次审议。会后，法制工作委员会在中国人大网全文公布修订草案二次审议稿，再次征求社会公众的意见；到北京、河北、上海调研，召开专题座谈会，听取部分全国人大代表和行政执法机关、乡镇街道、基层立法联系点、专家学者、企业等的意见，实地了解综合行政执法、乡镇街道行使行政处罚权、行政处罚信息化建设等情况；就修订草案中的主要问题与有关部门交换意见，共同研究。宪法和法律委员会于2020年12月30日召开会议，根据常委会组成人员的审议意见和各方面的意见，对修订草案进行了审议。司法部、最高人民法院的有关负责同志列席了会议。2021年1月13日，宪法和法律委员会召开会议，再次进行了审议。宪法和法律委员会认为，为了深入贯彻习近平法治思想，贯彻落实党中央关于全面依法治国重大决策部署，完善行政处罚制度，推进国家治理体系和治理能力现代化，对行政处罚法进行修订是必要的，修订草案经过两次审议修改，已经比较成熟。同时，提出以下主要修改意见:</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一、修订草案二次审议稿第十八条第三款规定，限制人身自由的行政处罚权只能由公安机关行使。有的部门、地方提出，根据反间谍法和国家情报法的规定，国家安全机关也可以行使限制人身自由的行政处罚权，需要做好衔接。宪法和法律委员会经研究，建议修改为：“限制人身自由的行政处罚权只能由公安机和法律规定的其他机关行使。”</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二、修订草案二次审议稿第二十三条第二款对行政处罚权下放乡镇街道作了规定。有的常委委员、地方和社会公众提出，行政处罚权下放乡镇街道是必要的，但需要进一步规范，防止出现问题。宪法和法律委员会经研究，建议增加以下规定:一是省、自治区、直辖市将行政处罚权下放乡镇街道的决定应当公布。二是承接行政处罚权的乡镇人民政府、街道办事处应当加强执法能力建设，按照规定范围、依照法定程序实施行政处罚。三是有关地方人民政府及其部门应当加强组织协调、监督指导，建立健全行政处罚协调配合机制，完善评议、考核制度。</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三、有的常委委员、地方、专家学者和社会公众建议完善行政处罚和刑事司法衔接机制，推动解决案件移送中的问题。宪法和法律委员会经研究，建议增加以下规定:一是对依法不需要追究刑事责任或者免予刑事处罚，但应当给予行政处罚的，司法机关应当及时将案件移送有关行政机关。二是行政处罚实施机关与司法机关之间应当加强协调配合，建立健全案件移送制度，加强证据材料移交、接收衔接，完善案件处理信息通报机制。三是违法行为构成犯罪判处罚金的，行政机关尚未给予当事人罚款的，不再给予罚款。</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四、有的常委委员、地方和社会公众建议进一步细化过罚相当原则，强化行政处罚的教育功能。宪法和法律委员会经研究，建议增加以下规定；一是尚未完全丧失辨认或者控制自己行为能力的精神病人有违法行为的，可以从轻或者减轻行政处罚。二是初次违法且危害后果轻微并及时改正的，可以不予行政处罚。三是对当事人的违法行为不予行政处罚的，行政机关应当对当事人进行教育。</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五、有的常委委员、部门、专家学者和社会公众提出，对运用信息化等手段实施行政处罚应当加强规范，在提高行政效率的同时，也要体现便民原则，保护当事人的陈述、申辩等权利。宪法和法律委员会经研究，建议作以下修改:一是进一步要求行政机关及时告知当事人电子技术监控设备记录的违法事实，并采取信息化手段或者其他措施，为当事人查询、陈述和申辩提供便利。不得限制或者变相限制当事人享有的陈述权、申辩权。二是增加规定当事人同意并签订确认书的，行政机关可以采用传真、电子邮件等方式，将行政处罚决定书等送达当事人。三是明确当事人可以通过电子支付系统缴纳罚款。</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六</w:t>
      </w:r>
      <w:r>
        <w:rPr>
          <w:rFonts w:hint="eastAsia" w:ascii="方正仿宋简体" w:hAnsi="方正仿宋简体" w:eastAsia="方正仿宋简体" w:cs="方正仿宋简体"/>
          <w:spacing w:val="-11"/>
          <w:sz w:val="24"/>
          <w:szCs w:val="24"/>
        </w:rPr>
        <w:t>、有的常委委员、代表、地方、专家学者和社会公众建议进一步完善行政处罚程序，健全行政处罚执行制度。宪法和法律委员会经研究，建议作以下修改：一是明确行政处罚决定公开的适当范围，要求具有一定社会影响的行政处罚决定依法公开。二是扩大听证范围，明确将其他较重的行政处罚纳入听证范围。三是增加规定当事人对限制人身自由的行政处罚决定不服，申请行政复议或者提起行政诉讼的，可以向作出决定的机关提出暂缓执行申请。符合法律规定情形的，应当暂缓执行。</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七、有的常委委员、部门、地方、专家学者和社会公众建议完善行政处罚的适用规则，加强对行政处罚的社会监督。宪法和法律委员会经研究，建议作以下修改：一是增加规定违法所得是指实施违法行为所取得的款项，法律、行政法规、部门规章另有规定的除外。二是明确违法行为涉及公民生命健康安全、金融安全且有危害后果的，追责期限延长至五年。三是明确行政机关实施行政处罚应当接受社会监督。</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此外，还对修订草案二次审议稿作了一些文字修改。</w:t>
      </w:r>
    </w:p>
    <w:p>
      <w:pPr>
        <w:keepNext w:val="0"/>
        <w:keepLines w:val="0"/>
        <w:pageBreakBefore w:val="0"/>
        <w:widowControl w:val="0"/>
        <w:kinsoku/>
        <w:wordWrap/>
        <w:overflowPunct/>
        <w:topLinePunct w:val="0"/>
        <w:autoSpaceDE/>
        <w:autoSpaceDN/>
        <w:bidi w:val="0"/>
        <w:adjustRightInd w:val="0"/>
        <w:snapToGrid/>
        <w:spacing w:line="420" w:lineRule="exact"/>
        <w:ind w:firstLine="456" w:firstLineChars="200"/>
        <w:textAlignment w:val="auto"/>
        <w:rPr>
          <w:rFonts w:hint="eastAsia" w:ascii="方正仿宋简体" w:hAnsi="方正仿宋简体" w:eastAsia="方正仿宋简体" w:cs="方正仿宋简体"/>
          <w:spacing w:val="-6"/>
          <w:sz w:val="24"/>
          <w:szCs w:val="24"/>
        </w:rPr>
      </w:pPr>
      <w:r>
        <w:rPr>
          <w:rFonts w:hint="eastAsia" w:ascii="方正仿宋简体" w:hAnsi="方正仿宋简体" w:eastAsia="方正仿宋简体" w:cs="方正仿宋简体"/>
          <w:spacing w:val="-6"/>
          <w:sz w:val="24"/>
          <w:szCs w:val="24"/>
        </w:rPr>
        <w:t>2021年1月12日法制工作委员会召开会议，邀请部分全国人大代表和行政执法机关、乡镇街道、专家学者、企业等就修订草案中主要制度规范的可行性、出台时机、实施的社会效果和可能出现的问题等进行评估。与会人员普遍认为，完善行政处罚制度，是法治政府建设的重要内容，修改行政处罚法是必要和及时的。修订草案坚持以习近平法治思想为指导，巩固行政执法领域重大改革成果，回应人民群众期待和实践需求，健全行政处罚实体和程序规则，制度规范可行。修订草案充分吸收了各方面意见，已经比较成熟，建议尽快通过实施。与会人员还对修订草案提出了一些具体修改意见，宪法和法律委员会进行了认真研究，对有的意见予以采纳。</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修订草案三次审议稿已按上述意见作了修改，宪法和法律委员会建议提请本次常委会会议审议通过。</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修订草案三次审议稿和以上报告是否妥当，请审议。</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righ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全国人民代表大会宪法和法律委员会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w:t>
      </w:r>
      <w:r>
        <w:rPr>
          <w:rFonts w:hint="eastAsia" w:ascii="方正仿宋简体" w:hAnsi="方正仿宋简体" w:eastAsia="方正仿宋简体" w:cs="方正仿宋简体"/>
          <w:sz w:val="24"/>
          <w:szCs w:val="24"/>
          <w:lang w:val="en-US" w:eastAsia="zh-CN"/>
        </w:rPr>
        <w:t xml:space="preserve">               </w:t>
      </w:r>
      <w:r>
        <w:rPr>
          <w:rFonts w:hint="eastAsia" w:ascii="方正仿宋简体" w:hAnsi="方正仿宋简体" w:eastAsia="方正仿宋简体" w:cs="方正仿宋简体"/>
          <w:sz w:val="24"/>
          <w:szCs w:val="24"/>
        </w:rPr>
        <w:t>2021年1月20日</w:t>
      </w: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rPr>
      </w:pPr>
    </w:p>
    <w:p>
      <w:pPr>
        <w:rPr>
          <w:rFonts w:hint="eastAsia"/>
        </w:rPr>
      </w:pPr>
    </w:p>
    <w:p>
      <w:pPr>
        <w:rPr>
          <w:rFonts w:hint="eastAsia"/>
        </w:rPr>
      </w:pPr>
    </w:p>
    <w:p>
      <w:pPr>
        <w:pStyle w:val="2"/>
        <w:keepNext w:val="0"/>
        <w:keepLines w:val="0"/>
        <w:pageBreakBefore w:val="0"/>
        <w:widowControl w:val="0"/>
        <w:kinsoku/>
        <w:wordWrap/>
        <w:overflowPunct/>
        <w:topLinePunct w:val="0"/>
        <w:autoSpaceDE/>
        <w:autoSpaceDN/>
        <w:bidi w:val="0"/>
        <w:adjustRightInd/>
        <w:snapToGrid/>
        <w:textAlignment w:val="auto"/>
      </w:pPr>
      <w:r>
        <w:rPr>
          <w:rFonts w:hint="eastAsia"/>
        </w:rPr>
        <w:t>全国人民代表大会宪法和法律委员会</w:t>
      </w:r>
    </w:p>
    <w:p>
      <w:pPr>
        <w:pStyle w:val="2"/>
      </w:pPr>
      <w:r>
        <w:rPr>
          <w:rFonts w:hint="eastAsia"/>
        </w:rPr>
        <w:t>关于《中华人民共和国行政处罚法</w:t>
      </w:r>
    </w:p>
    <w:p>
      <w:pPr>
        <w:pStyle w:val="2"/>
      </w:pPr>
      <w:r>
        <w:rPr>
          <w:rFonts w:hint="eastAsia"/>
        </w:rPr>
        <w:t>（修订草案三次审议稿）》修改意见的报告</w:t>
      </w:r>
    </w:p>
    <w:p>
      <w:pPr>
        <w:adjustRightInd w:val="0"/>
        <w:spacing w:line="580" w:lineRule="exact"/>
        <w:rPr>
          <w:rFonts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全国人民代表大会常务委员会：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本次常委会会议于1月20日下午对行政处罚法修订草案三次审议稿进行了分组审议。普遍认为，修订草案已经比较成熟，建议进一步修改后，提请本次常委会会议表决通过。同时，有些常委会组成人员和列席人员还提出了一些修改意见和建议。宪法和法律委员会于1月21日上午召开会议，逐条研究了常委会组成人员的审议意见，对修订草案进行了审议。司法部有关负责同志列席了会议。宪法和法律委员会认为，修订草案是可行的，同时，提出以下修改意见:</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一、有的常委会组成人员提出，行政处罚应当以行政机关实施为主，委托其他组织实施应当从严，坚持依法委托。宪法和法律委员会经研究，建议增加规定：委托应当采用书面形式；委托书应当载明委托的具体事项、权限、期限等内容；委托书应当公布。</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二</w:t>
      </w:r>
      <w:r>
        <w:rPr>
          <w:rFonts w:hint="eastAsia" w:ascii="方正仿宋简体" w:hAnsi="方正仿宋简体" w:eastAsia="方正仿宋简体" w:cs="方正仿宋简体"/>
          <w:spacing w:val="-6"/>
          <w:sz w:val="24"/>
          <w:szCs w:val="24"/>
        </w:rPr>
        <w:t>、有的常委委员建议进一步规范乡镇街道行使行政处罚权，实行定期评估，强化执法监督。宪法和法律委员会经研究，建议采纳这一意见。</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三、修订草案三次审议稿第四十五条第二款规定，行政机关不得因当事人申辩而加重处罚。有的常委委员提出，陈述权与申辩权都是重要的程序性权利，都不得因当事人陈述、申辩而给予更重的处罚。宪法和法律委员会经研究，建议修改为：“行政机关不得因当事人陈述、申辩而给予更重的处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四、有的常委委员、列席人员建议完善集体讨论制度，明确逾期不缴纳罚款而加处罚款数额的上限。宪法和法律委员会经研究，建议作以下修改：一是要求对情节复杂或者重大违法行为给予行政处罚，行政机关负责人应当集体讨论决定。二是增加规定加处罚款的数额不得超出罚款的数额。</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五、有的常委委员提出，实践中有案不移、有案不立等不作为问题较为突出，应当结合相关法律、行政法规规定，完善法律责任。宪法和法律委员会经研究，建议对依法应当移交追究刑事责任而不移交的，或者依法应当予以制止和处罚的违法行为不予制止、处罚的，加大追责力度，作相应规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在常委会审议中，有些常委会组成人员还就完善行政处罚种类、明确限制人身自由的行政处罚权行使主体、进一步细化行政处罚相关程序等提出了一些具体意见。有些常委会组成人员建议有关方面抓紧制定配套规定，及时开展法规、规章和其他规范性文件清理工作，加强法律宣传和指导，强化行政执法人财物保障。宪法和法律委员会经研究认为，上述意见涉及的问题，有的已在相关法律中作出规定，有的可在制定相关法律时作出规定，有的需要在配套规定中进一步细化，建议有关方面认真研究落实，抓紧完善配套规定，及时开展清理工作，做好法律宣传，加强行政执法保障，切实做好法律的贯彻实施。</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经与有关部门研究，建议将修订后的行政处罚法的施行时间确定为2021年7月15日。</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此外，根据常委会组成人员的审议意见，还对修订草案三次审议稿作了一些文字修改。</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修订草案建议表决稿已按上述意见作了修改，宪法和法律委员会建议本次常委会会议审议通过。</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修订草案建议表决稿和以上报告是否妥当，请审议。</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right"/>
        <w:textAlignment w:val="auto"/>
        <w:rPr>
          <w:rFonts w:hint="eastAsia" w:ascii="方正仿宋简体" w:hAnsi="方正仿宋简体" w:eastAsia="方正仿宋简体" w:cs="方正仿宋简体"/>
          <w:sz w:val="24"/>
          <w:szCs w:val="24"/>
        </w:rPr>
      </w:pP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right"/>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全国人民代表大会宪法和法律委员会</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                 </w:t>
      </w:r>
      <w:r>
        <w:rPr>
          <w:rFonts w:hint="eastAsia" w:ascii="方正仿宋简体" w:hAnsi="方正仿宋简体" w:eastAsia="方正仿宋简体" w:cs="方正仿宋简体"/>
          <w:sz w:val="24"/>
          <w:szCs w:val="24"/>
          <w:lang w:val="en-US" w:eastAsia="zh-CN"/>
        </w:rPr>
        <w:t xml:space="preserve">                 </w:t>
      </w:r>
      <w:r>
        <w:rPr>
          <w:rFonts w:hint="eastAsia" w:ascii="方正仿宋简体" w:hAnsi="方正仿宋简体" w:eastAsia="方正仿宋简体" w:cs="方正仿宋简体"/>
          <w:sz w:val="24"/>
          <w:szCs w:val="24"/>
        </w:rPr>
        <w:t>2021年1月22日</w:t>
      </w:r>
    </w:p>
    <w:p>
      <w:pPr>
        <w:keepNext w:val="0"/>
        <w:keepLines w:val="0"/>
        <w:pageBreakBefore w:val="0"/>
        <w:widowControl w:val="0"/>
        <w:kinsoku/>
        <w:wordWrap/>
        <w:overflowPunct/>
        <w:topLinePunct w:val="0"/>
        <w:autoSpaceDE/>
        <w:autoSpaceDN/>
        <w:bidi w:val="0"/>
        <w:adjustRightInd w:val="0"/>
        <w:snapToGrid/>
        <w:spacing w:line="480" w:lineRule="exact"/>
        <w:ind w:firstLine="420" w:firstLineChars="200"/>
        <w:textAlignment w:val="auto"/>
        <w:rPr>
          <w:rFonts w:ascii="方正仿宋简体" w:hAnsi="方正仿宋简体" w:eastAsia="方正仿宋简体" w:cs="方正仿宋简体"/>
          <w:sz w:val="21"/>
          <w:szCs w:val="21"/>
        </w:rPr>
      </w:pPr>
    </w:p>
    <w:p>
      <w:pPr>
        <w:keepNext w:val="0"/>
        <w:keepLines w:val="0"/>
        <w:pageBreakBefore w:val="0"/>
        <w:widowControl w:val="0"/>
        <w:kinsoku/>
        <w:wordWrap/>
        <w:overflowPunct/>
        <w:topLinePunct w:val="0"/>
        <w:autoSpaceDE/>
        <w:autoSpaceDN/>
        <w:bidi w:val="0"/>
        <w:adjustRightInd w:val="0"/>
        <w:snapToGrid/>
        <w:spacing w:line="580" w:lineRule="exact"/>
        <w:ind w:right="0" w:rightChars="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r>
        <w:rPr>
          <w:sz w:val="44"/>
        </w:rPr>
        <mc:AlternateContent>
          <mc:Choice Requires="wps">
            <w:drawing>
              <wp:anchor distT="0" distB="0" distL="114300" distR="114300" simplePos="0" relativeHeight="251665408" behindDoc="0" locked="0" layoutInCell="1" allowOverlap="1">
                <wp:simplePos x="0" y="0"/>
                <wp:positionH relativeFrom="column">
                  <wp:posOffset>-295275</wp:posOffset>
                </wp:positionH>
                <wp:positionV relativeFrom="paragraph">
                  <wp:posOffset>898525</wp:posOffset>
                </wp:positionV>
                <wp:extent cx="1064260" cy="709930"/>
                <wp:effectExtent l="0" t="0" r="2540" b="13970"/>
                <wp:wrapNone/>
                <wp:docPr id="41" name="文本框 41"/>
                <wp:cNvGraphicFramePr/>
                <a:graphic xmlns:a="http://schemas.openxmlformats.org/drawingml/2006/main">
                  <a:graphicData uri="http://schemas.microsoft.com/office/word/2010/wordprocessingShape">
                    <wps:wsp>
                      <wps:cNvSpPr txBox="1"/>
                      <wps:spPr>
                        <a:xfrm>
                          <a:off x="640715" y="8284210"/>
                          <a:ext cx="1064260"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70.75pt;height:55.9pt;width:83.8pt;z-index:251665408;mso-width-relative:page;mso-height-relative:page;" fillcolor="#FFFFFF [3201]" filled="t" stroked="f" coordsize="21600,21600" o:gfxdata="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05&#10;D9YAAAALAQAADwAAAAAAAAABACAAAAAiAAAAZHJzL2Rvd25yZXYueG1sUEsBAhQAFAAAAAgAh07i&#10;QCfGwo5dAgAAnAQAAA4AAAAAAAAAAQAgAAAAJQEAAGRycy9lMm9Eb2MueG1sUEsFBgAAAAAGAAYA&#10;WQEAAPQFAAAAAA==&#10;">
                <v:fill on="t" focussize="0,0"/>
                <v:stroke on="f" weight="0.5pt"/>
                <v:imagedata o:title=""/>
                <o:lock v:ext="edit" aspectratio="f"/>
                <v:textbox>
                  <w:txbxContent>
                    <w:p/>
                  </w:txbxContent>
                </v:textbox>
              </v:shape>
            </w:pict>
          </mc:Fallback>
        </mc:AlternateContent>
      </w:r>
    </w:p>
    <w:p>
      <w:pPr>
        <w:pStyle w:val="2"/>
        <w:bidi w:val="0"/>
        <w:rPr>
          <w:rFonts w:hint="eastAsia"/>
          <w:highlight w:val="none"/>
        </w:rPr>
      </w:pPr>
    </w:p>
    <w:p>
      <w:pPr>
        <w:pStyle w:val="2"/>
        <w:bidi w:val="0"/>
        <w:rPr>
          <w:rFonts w:hint="eastAsia"/>
          <w:highlight w:val="none"/>
        </w:rPr>
      </w:pPr>
    </w:p>
    <w:p>
      <w:pPr>
        <w:rPr>
          <w:rFonts w:hint="eastAsia"/>
        </w:rPr>
      </w:pPr>
    </w:p>
    <w:p>
      <w:pPr>
        <w:pStyle w:val="2"/>
        <w:bidi w:val="0"/>
        <w:rPr>
          <w:rFonts w:hint="eastAsia"/>
          <w:highlight w:val="none"/>
        </w:rPr>
      </w:pPr>
    </w:p>
    <w:p>
      <w:pPr>
        <w:pStyle w:val="2"/>
        <w:bidi w:val="0"/>
        <w:rPr>
          <w:rFonts w:hint="eastAsia"/>
          <w:highlight w:val="none"/>
        </w:rPr>
      </w:pPr>
    </w:p>
    <w:p>
      <w:pPr>
        <w:pStyle w:val="2"/>
        <w:bidi w:val="0"/>
        <w:rPr>
          <w:rFonts w:hint="eastAsia"/>
          <w:highlight w:val="none"/>
        </w:rPr>
      </w:pPr>
    </w:p>
    <w:p>
      <w:pPr>
        <w:pStyle w:val="2"/>
        <w:keepNext/>
        <w:keepLines/>
        <w:pageBreakBefore w:val="0"/>
        <w:widowControl w:val="0"/>
        <w:kinsoku/>
        <w:wordWrap/>
        <w:overflowPunct/>
        <w:topLinePunct w:val="0"/>
        <w:autoSpaceDE/>
        <w:autoSpaceDN/>
        <w:bidi w:val="0"/>
        <w:adjustRightInd/>
        <w:snapToGrid/>
        <w:spacing w:line="660" w:lineRule="exact"/>
        <w:textAlignment w:val="auto"/>
        <w:rPr>
          <w:rFonts w:hint="eastAsia"/>
          <w:sz w:val="44"/>
          <w:szCs w:val="44"/>
          <w:highlight w:val="none"/>
        </w:rPr>
      </w:pPr>
      <w:r>
        <w:rPr>
          <w:rFonts w:hint="eastAsia"/>
          <w:sz w:val="44"/>
          <w:szCs w:val="44"/>
          <w:highlight w:val="none"/>
        </w:rPr>
        <w:t>《中华人民共和国行政处罚法》</w:t>
      </w:r>
    </w:p>
    <w:p>
      <w:pPr>
        <w:pStyle w:val="2"/>
        <w:keepNext/>
        <w:keepLines/>
        <w:pageBreakBefore w:val="0"/>
        <w:widowControl w:val="0"/>
        <w:kinsoku/>
        <w:wordWrap/>
        <w:overflowPunct/>
        <w:topLinePunct w:val="0"/>
        <w:autoSpaceDE/>
        <w:autoSpaceDN/>
        <w:bidi w:val="0"/>
        <w:adjustRightInd/>
        <w:snapToGrid/>
        <w:spacing w:line="660" w:lineRule="exact"/>
        <w:textAlignment w:val="auto"/>
        <w:rPr>
          <w:rFonts w:hint="eastAsia"/>
          <w:sz w:val="44"/>
          <w:szCs w:val="44"/>
          <w:highlight w:val="none"/>
          <w:lang w:eastAsia="zh-CN"/>
        </w:rPr>
      </w:pPr>
      <w:r>
        <w:rPr>
          <w:rFonts w:hint="eastAsia"/>
          <w:sz w:val="44"/>
          <w:szCs w:val="44"/>
          <w:highlight w:val="none"/>
          <w:lang w:eastAsia="zh-CN"/>
        </w:rPr>
        <w:t>新旧对照与重点解读</w:t>
      </w: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黑体" w:hAnsi="黑体" w:eastAsia="黑体" w:cs="黑体"/>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880" w:firstLineChars="200"/>
        <w:jc w:val="left"/>
        <w:textAlignment w:val="auto"/>
        <w:rPr>
          <w:rFonts w:hint="eastAsia" w:ascii="黑体" w:hAnsi="黑体" w:eastAsia="黑体" w:cs="黑体"/>
          <w:sz w:val="28"/>
          <w:szCs w:val="28"/>
          <w:highlight w:val="none"/>
          <w:lang w:eastAsia="zh-CN"/>
        </w:rPr>
      </w:pPr>
      <w:r>
        <w:rPr>
          <w:sz w:val="44"/>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511175</wp:posOffset>
                </wp:positionV>
                <wp:extent cx="5247005" cy="709930"/>
                <wp:effectExtent l="0" t="0" r="10795" b="13970"/>
                <wp:wrapNone/>
                <wp:docPr id="42" name="文本框 42"/>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40.25pt;height:55.9pt;width:413.15pt;z-index:251666432;mso-width-relative:page;mso-height-relative:page;" fillcolor="#FFFFFF [3201]" filled="t" stroked="f" coordsize="21600,21600" o:gfxdata="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VJF1gAAAAoBAAAP&#10;AAAAAAAAAAEAIAAAACIAAABkcnMvZG93bnJldi54bWxQSwECFAAUAAAACACHTuJAdU/Mr1MCAACR&#10;BAAADgAAAAAAAAABACAAAAAlAQAAZHJzL2Uyb0RvYy54bWxQSwUGAAAAAAYABgBZAQAA6gUAAA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560" w:firstLineChars="200"/>
        <w:jc w:val="left"/>
        <w:textAlignment w:val="auto"/>
        <w:rPr>
          <w:rFonts w:hint="eastAsia" w:ascii="黑体" w:hAnsi="黑体" w:eastAsia="黑体" w:cs="黑体"/>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黑体" w:hAnsi="黑体" w:eastAsia="黑体" w:cs="黑体"/>
          <w:sz w:val="21"/>
          <w:szCs w:val="21"/>
          <w:highlight w:val="none"/>
        </w:rPr>
      </w:pPr>
      <w:r>
        <w:rPr>
          <w:sz w:val="44"/>
        </w:rPr>
        <mc:AlternateContent>
          <mc:Choice Requires="wps">
            <w:drawing>
              <wp:anchor distT="0" distB="0" distL="114300" distR="114300" simplePos="0" relativeHeight="251667456" behindDoc="0" locked="0" layoutInCell="1" allowOverlap="1">
                <wp:simplePos x="0" y="0"/>
                <wp:positionH relativeFrom="column">
                  <wp:posOffset>-295275</wp:posOffset>
                </wp:positionH>
                <wp:positionV relativeFrom="paragraph">
                  <wp:posOffset>180975</wp:posOffset>
                </wp:positionV>
                <wp:extent cx="5247005" cy="709930"/>
                <wp:effectExtent l="0" t="0" r="10795" b="13970"/>
                <wp:wrapNone/>
                <wp:docPr id="43" name="文本框 43"/>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14.25pt;height:55.9pt;width:413.15pt;z-index:251667456;mso-width-relative:page;mso-height-relative:page;" fillcolor="#FFFFFF [3201]" filled="t" stroked="f" coordsize="21600,21600" o:gfxdata="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E+UU1gAAAAoBAAAP&#10;AAAAAAAAAAEAIAAAACIAAABkcnMvZG93bnJldi54bWxQSwECFAAUAAAACACHTuJAIA0HlFMCAACR&#10;BAAADgAAAAAAAAABACAAAAAlAQAAZHJzL2Uyb0RvYy54bWxQSwUGAAAAAAYABgBZAQAA6gUAAA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第一章</w:t>
      </w:r>
      <w:r>
        <w:rPr>
          <w:rFonts w:hint="eastAsia" w:ascii="黑体" w:hAnsi="黑体" w:eastAsia="黑体" w:cs="黑体"/>
          <w:sz w:val="24"/>
          <w:szCs w:val="24"/>
          <w:highlight w:val="none"/>
          <w:lang w:val="en-US" w:eastAsia="zh-CN"/>
        </w:rPr>
        <w:t xml:space="preserve">  </w:t>
      </w:r>
      <w:r>
        <w:rPr>
          <w:rFonts w:hint="eastAsia" w:ascii="黑体" w:hAnsi="黑体" w:eastAsia="黑体" w:cs="黑体"/>
          <w:sz w:val="24"/>
          <w:szCs w:val="24"/>
          <w:highlight w:val="none"/>
        </w:rPr>
        <w:t>总则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eastAsia="zh-CN"/>
        </w:rPr>
      </w:pPr>
      <w:r>
        <w:rPr>
          <w:rFonts w:hint="eastAsia" w:ascii="黑体" w:hAnsi="黑体" w:eastAsia="黑体" w:cs="黑体"/>
          <w:sz w:val="24"/>
          <w:szCs w:val="24"/>
          <w:highlight w:val="none"/>
        </w:rPr>
        <w:t>第一条</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rPr>
        <w:t>立法目的</w:t>
      </w:r>
      <w:r>
        <w:rPr>
          <w:rFonts w:hint="eastAsia" w:ascii="黑体" w:hAnsi="黑体" w:eastAsia="黑体" w:cs="黑体"/>
          <w:sz w:val="24"/>
          <w:szCs w:val="24"/>
          <w:highlight w:val="none"/>
          <w:lang w:eastAsia="zh-CN"/>
        </w:rPr>
        <w:t>】</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rPr>
              <w:t>第一条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为了规范行政处罚的设定和实施，保障和监督行政机关有效实施行政管理，维护公共利益和社会秩序，保护公民、法人或者其他组织的合法权益，根据宪法，制定本法。</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rPr>
              <w:t>第一条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为了规范行政处罚的设定和实施，保障和监督行政机关有效实施行政管理，维护公共利益和社会秩序，保护公民、法人或者其他组织的合法权益，根据宪法，制定本法。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shd w:val="clear" w:color="auto" w:fill="E7E6E6" w:themeFill="background2"/>
            <w:vAlign w:val="top"/>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rPr>
              <w:t>1.本条不直接适用于具体情形，但四个立法目的构成了法律解释的逻辑基础。本条统帅整部法律全文，也蕴含了依职权行政行为的一般逻辑。</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楷体_GB2312" w:hAnsi="楷体_GB2312" w:eastAsia="楷体_GB2312" w:cs="楷体_GB2312"/>
                <w:sz w:val="24"/>
                <w:szCs w:val="24"/>
                <w:highlight w:val="none"/>
              </w:rPr>
              <w:t>2. 《宪法》构成了法律解释的规范基础，如《宪法》第三十条的行政区域划分，是本法行政处罚地域管辖的基础。</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第二条</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rPr>
        <w:t>行政处罚的定义</w:t>
      </w:r>
      <w:r>
        <w:rPr>
          <w:rFonts w:hint="eastAsia" w:ascii="黑体" w:hAnsi="黑体" w:eastAsia="黑体" w:cs="黑体"/>
          <w:sz w:val="24"/>
          <w:szCs w:val="24"/>
          <w:highlight w:val="none"/>
          <w:lang w:eastAsia="zh-CN"/>
        </w:rPr>
        <w:t>】</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eastAsia="zh-CN"/>
              </w:rPr>
              <w:t>第二条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行政处罚是指行政机关依法对违反行政管理秩序的公民、法人或者其他组织，以减损权益或者增加义务的方式予以惩戒的行为。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1.原《行政处罚法》只通过列举的方式罗列了部分行政处罚事项，并没有对行政处罚进行界定，这不利于行政处罚的执法实践。因此，增加了本条。</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2.行政处罚具有行政性、制裁性、法定性、处分性等特点。行政处罚是新的不利处分。</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第三条 【适用范围】</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第二条  行政处罚的设定和实施，适用本法。</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第三条  行政处罚的设定和实施，适用本法。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1.本法首先规定了行政处罚的立法行为，是法定主体设定行政处罚的依据，在适用时应将本法作为立法法的特别法。本条需与第九条等结合起来理解。</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2本法规定了行政处罚的实施程序，还有责令退赔、责令改正等行政命令的普遍授权规定，在实务中，行政处罚决定书可以包含这些行政命令的内容。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第四条【适用对象】</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500" w:type="pct"/>
            <w:vAlign w:val="center"/>
          </w:tcPr>
          <w:p>
            <w:pPr>
              <w:keepNext w:val="0"/>
              <w:keepLines w:val="0"/>
              <w:pageBreakBefore w:val="0"/>
              <w:widowControl w:val="0"/>
              <w:numPr>
                <w:ilvl w:val="0"/>
                <w:numId w:val="1"/>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 xml:space="preserve">  公民、法人或者其他组织违反行政管理秩序的行为，应当给予行政处罚的，依照本法由法律、法规或者规章规定，并由行政机关依照本法规定的程序实施。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没有法定依据或者不遵守法定程序的，行政处罚无效。</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第四条  公民、法人或者其他组织违反行政管理秩序的行为，应当给予行政处罚的，依照本法由法律、法规、规章规定，并由行政机关依照本法规定的程序实施。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本法规定了行政处罚的一般程序，单行法需要予以遵守。</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2.行政处罚的实体规定一般由单行法依法规定。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3.旧法第三条第二款移至第三十八条修改。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第五条 【适用原则】</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第四条  行政处罚遵循公正、公开的原则。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设定和实施行政处罚必须以事实为依据，与违法行为的事实、性质、情节以及社会危害程度相当。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对违法行为给予行政处罚的规定必须公布；未经公布的，不得作为行政处罚的依据。</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第五条  行政处罚遵循公正、公开的原则。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设定和实施行政处罚必须以事实为依据，与违法行为的事实、性质、情节以及社会危害程度相当。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对违法行为给予行政处罚的规定必须公布；未经公布的，不得作为行政处罚的依据。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公开公正原则要求行政处罚实行事前、事中、事后“三公开”，要结合《政府信息公开条例》《国务院办公厅关于全面推行行政执法公示制度执法全过程记录制度重大执法决定法制审核制度的指导意见》理解本条。</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2.第二款为1996年审议时增加的条款，未经公开的法律规范，不得作为处罚依据。</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第六条 【适用目的】</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第五条  实施行政处罚， 纠正违法行为，应当坚持处罚与教育相结合，教育公民、法人或者其他组织自觉守法。</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第六条  实施行政处罚， 纠正违法行为，应当坚持处罚与教育相结合，教育公民、法人或者其他组织自觉守法。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1.本条确立了处罚与教育相结合原则。行政处罚的目的，重在纠正违法行为，教育公民、法人或者其他组织自觉遵守法律。行政处罚立法应首先发挥预防功能，其次才是矫正功能。</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2.本条应与不予处罚、可以不予处罚、减轻处罚、从轻处罚等条款结合起来适用。实践中不少地方和部门编制了上述四张清单。各省、自治区、直辖市基本都制定了行政处罚裁量基准。</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第七条 【被处罚者权利】</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第六条  公民、法人或者其他组织对行政机关所给予的行政处罚，享有陈述权、申辩权；对行政处罚不服的，有权依法申请行政复议或者提起行政诉讼。</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公民、法人或者其他组织因行政机关违法给予行政处罚受到损害的，有权依法提出赔偿要求。</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vertAlign w:val="baseline"/>
                <w:lang w:eastAsia="zh-CN"/>
              </w:rPr>
              <w:t>第三十五条</w:t>
            </w:r>
            <w:r>
              <w:rPr>
                <w:rFonts w:hint="eastAsia" w:ascii="方正仿宋简体" w:hAnsi="方正仿宋简体" w:eastAsia="方正仿宋简体" w:cs="方正仿宋简体"/>
                <w:sz w:val="24"/>
                <w:szCs w:val="24"/>
                <w:highlight w:val="none"/>
                <w:vertAlign w:val="baseline"/>
                <w:lang w:val="en-US" w:eastAsia="zh-CN"/>
              </w:rPr>
              <w:t xml:space="preserve">  </w:t>
            </w:r>
            <w:r>
              <w:rPr>
                <w:rFonts w:hint="eastAsia" w:ascii="方正仿宋简体" w:hAnsi="方正仿宋简体" w:eastAsia="方正仿宋简体" w:cs="方正仿宋简体"/>
                <w:spacing w:val="-17"/>
                <w:sz w:val="24"/>
                <w:szCs w:val="24"/>
                <w:highlight w:val="none"/>
                <w:vertAlign w:val="baseline"/>
                <w:lang w:val="en-US" w:eastAsia="zh-CN"/>
              </w:rPr>
              <w:t>当事人对当场作出的行政处罚决定不服的，可以依法申请行政复议或者提起行政诉讼。</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第七条  公民、法人或者其他组织对行政机关所给予的行政处罚，享有陈述权、申辩权；对行政处罚不服的，有权依法申请行政复议或者提起行政诉讼。</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公民、法人或者其他组织因行政机关违法给予行政处罚受到损害的，有权依法提出赔偿要求。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1.陈述权、申辩权、教济权是当事人的法定权利，行政机关必须履行相应告知义务。</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2.因行政机关违法给予行政处罚受到损害的，依据《国家赔偿法》提出赔偿，但《国家赔偿法》第二章规定只赔偿人身权中的“身体伤害或者死亡”，以及财产权。</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3.本条第一款应与第四十一条关于“利用电子技术监控设备收集、固定违法事实”等规定结合起来适用。</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第八条 【被处罚者承担的其他法律责任】</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第七条  公民、法人或者其他组织因违法受到行政处罚， 其违法行为对他人造成损害的，应当依法承担民事责任。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rPr>
            </w:pPr>
            <w:r>
              <w:rPr>
                <w:rFonts w:hint="eastAsia" w:ascii="方正仿宋简体" w:hAnsi="方正仿宋简体" w:eastAsia="方正仿宋简体" w:cs="方正仿宋简体"/>
                <w:sz w:val="24"/>
                <w:szCs w:val="24"/>
                <w:highlight w:val="none"/>
                <w:lang w:val="en-US" w:eastAsia="zh-CN"/>
              </w:rPr>
              <w:t>违法行为构成犯罪，应当依法追究刑事责任，不得以行政处罚代替刑事处罚。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第八条  公民、法人或者其他组织因违法行为受到行政处罚，其违法行为对他人造成损害的，应当依法承担民事责任。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违法行为构成犯罪，应当依法追究刑事责任的，不得以行政处罚代替刑事处罚。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1.行政处罚责任与民事责任衔接，需要结合本法没收违法所得，责令退赔的规定，以及《民法典》第一百八十七条等，贯彻民事责任优先赔偿规定。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2.行政处罚责任与刑事责任衔接，本条以及第二十七条、第三十五条都作了相应规定。《行政执法机关移送涉嫌犯罪案件的规定》是本法的配套规定。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方正仿宋简体" w:hAnsi="方正仿宋简体" w:eastAsia="方正仿宋简体" w:cs="方正仿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第二章 行政处罚的种类和设定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第九条【处罚的种类】</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第八条  行政处罚的种类：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（一）警告；</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（三）没收违法所得、没收非法财物；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（四）责令停产停业；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（五）暂扣或者吊销许可证、暂扣或者吊销执照；</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（六）行政拘留；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（七）法律、行政法规规定的其他行政处罚。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第九条  行政处罚的种类: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pacing w:val="-20"/>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w:t>
            </w:r>
            <w:r>
              <w:rPr>
                <w:rFonts w:hint="eastAsia" w:ascii="方正仿宋简体" w:hAnsi="方正仿宋简体" w:eastAsia="方正仿宋简体" w:cs="方正仿宋简体"/>
                <w:spacing w:val="-20"/>
                <w:sz w:val="24"/>
                <w:szCs w:val="24"/>
                <w:highlight w:val="none"/>
                <w:lang w:val="en-US" w:eastAsia="zh-CN"/>
              </w:rPr>
              <w:t>警告、通报批评；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（二）罚款、没收违法所得、没收非法财物；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（三）暂扣许可证件、降低资质等级、吊销许可证件；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（四）限制开展生产经营活动、责令停产停业、责令关闭、限制从业；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（五）行政拘留；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（六）法律、行政法规规定的其他行政处罚。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1.本条增加了通报批评、降低资质等级、责令关闭、限制开展生产经营活动、限制从业等行政处罚类型。删除“营业执照”并不影响实施，根据《行政许可法》等，营业执照为一种许可类型。</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规定的行政处罚类型需要通过单行法依法设定。列入本条规定的，也并不必然是行政处罚。如，警告、通报批评也可能是一种纪律处分；没收非法财物与刑法上的没收财产不容易区分，没收财产是附加刑的一种；刑法第三十七条之一规定的禁业与限制从业也是近似的制裁措施。</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3.修订二审稿规定的“责令停止行为、责令作出行为”与责令改正不易区分，最后被删除。</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4.责令改正实际是责令恢复原状，对行政相对人不构成原有权益的损害，不是行政处罚。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5.撤销、注销行政许可不是行政处罚。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6. 取缔是否构成行政处罚，要具体情况具体分析。</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7. 驱逐出境、禁止出入境、限期离境与拒绝签证等有所不同，原则上可以构成行政处罚。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8.不得申请行政许可，构成对行为人从事一定行为的限制，是一种新的不利处分，为行政处罚。《行政许可法》第七十八条规定:“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第七十九条规定:“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9.累计积分具有明确的警告意味，可以作为警告的特殊形式，在满十二分等情形下扣证或者降级换证，则是不含裁量权的资格罚。《道路交通安全法》第二十四条，《道路交通安全法实施条例》第十一条、第二十三条至第二十六条、第二十八条，《道路交通安全违法行为处理程序》第二十九条、第六十二条等有详细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10.按日计罚不是行政处罚。《环境保护法》第五十九条、《大气污染防治法》第一百二十三条等规定了按日计罚。加处罚款与环保领域按日计罚，都是针对拒不改正的持续性违法行为，只不过按日计罚的加处罚款数额较高，提高了违法成本，体现了国家对污染环境行为的“零容忍”，性质上宜认定为行政强制。</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第十条【法律对处罚的设定】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2"/>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 xml:space="preserve"> 法律可以设定各种行政处罚。</w:t>
            </w:r>
            <w:r>
              <w:rPr>
                <w:rFonts w:hint="eastAsia" w:ascii="方正仿宋简体" w:hAnsi="方正仿宋简体" w:eastAsia="方正仿宋简体" w:cs="方正仿宋简体"/>
                <w:sz w:val="24"/>
                <w:szCs w:val="24"/>
                <w:highlight w:val="none"/>
                <w:lang w:val="en-US" w:eastAsia="zh-CN"/>
              </w:rPr>
              <w:br w:type="textWrapping"/>
            </w:r>
            <w:r>
              <w:rPr>
                <w:rFonts w:hint="eastAsia" w:ascii="方正仿宋简体" w:hAnsi="方正仿宋简体" w:eastAsia="方正仿宋简体" w:cs="方正仿宋简体"/>
                <w:sz w:val="24"/>
                <w:szCs w:val="24"/>
                <w:highlight w:val="none"/>
                <w:lang w:val="en-US" w:eastAsia="zh-CN"/>
              </w:rPr>
              <w:t>限制人身自由的行政处罚，只能由法律设定。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第十条  法律可以设定各种行政处罚。</w:t>
            </w:r>
            <w:r>
              <w:rPr>
                <w:rFonts w:hint="eastAsia" w:ascii="方正仿宋简体" w:hAnsi="方正仿宋简体" w:eastAsia="方正仿宋简体" w:cs="方正仿宋简体"/>
                <w:sz w:val="24"/>
                <w:szCs w:val="24"/>
                <w:highlight w:val="none"/>
                <w:lang w:val="en-US" w:eastAsia="zh-CN"/>
              </w:rPr>
              <w:br w:type="textWrapping"/>
            </w:r>
            <w:r>
              <w:rPr>
                <w:rFonts w:hint="eastAsia" w:ascii="方正仿宋简体" w:hAnsi="方正仿宋简体" w:eastAsia="方正仿宋简体" w:cs="方正仿宋简体"/>
                <w:sz w:val="24"/>
                <w:szCs w:val="24"/>
                <w:highlight w:val="none"/>
                <w:lang w:val="en-US" w:eastAsia="zh-CN"/>
              </w:rPr>
              <w:t>限制人身自由的行政处罚，只能由法律设定。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1.法律可以设定各种行政处罚，体现了法律保留原则，目的是为了更好保护当事人合法权益。全国人民代表大会常务委员会有权撤销国务院制定的同宪法、法律相抵触的行政法规、决定和命令。</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2.《立法法》第八条规定，限制人身自由的强制措施和处罚，只能制定法律。本法第十八条对限制人身自由的行政处罚的实施机关也作了规定。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第十一条【行政法规对处罚的设定】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2"/>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行政法规可以设定除限制人身自由以外的行政处罚。</w:t>
            </w:r>
            <w:r>
              <w:rPr>
                <w:rFonts w:hint="eastAsia" w:ascii="方正仿宋简体" w:hAnsi="方正仿宋简体" w:eastAsia="方正仿宋简体" w:cs="方正仿宋简体"/>
                <w:sz w:val="24"/>
                <w:szCs w:val="24"/>
                <w:highlight w:val="none"/>
                <w:lang w:val="en-US" w:eastAsia="zh-CN"/>
              </w:rPr>
              <w:br w:type="textWrapping"/>
            </w:r>
            <w:r>
              <w:rPr>
                <w:rFonts w:hint="eastAsia" w:ascii="方正仿宋简体" w:hAnsi="方正仿宋简体" w:eastAsia="方正仿宋简体" w:cs="方正仿宋简体"/>
                <w:sz w:val="24"/>
                <w:szCs w:val="24"/>
                <w:highlight w:val="none"/>
                <w:lang w:val="en-US" w:eastAsia="zh-CN"/>
              </w:rPr>
              <w:t>法律对违法行为已经作出行政处罚规定，行政法规需要作出具体规定的，必须在法律规定的给予行政处罚的行为、种类和幅度的范围内规定。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第十一条  行政法规可以设定除限制人身自由以外的行政处罚。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法律对违法行为已经作出行政处罚规定，行政法规需要作出具体规定的，必须在法律规定的给予行政处罚的行为、种类和幅度的范围内规定。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1.本条第二款为实施性立法。法律对违法行为已经作出行政处罚规定，行政法规可以具体规定；如单行法律制定过程中，研究过有关问题，最后没有设定行政处罚的，行政法规不得设定行政处罚。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2.本条第三款为创制性立法。单行法律制定时没有研究过有关问题，行政法规可以补充设定行政处罚。国务院根据宪法和法律，规定行政措施，制定行政法规，发布决定和命令。</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第十二条【地方性法规对处罚的设定】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firstLine="240" w:firstLineChars="1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第十一条  地方性法规可以设定除限制人身自由、吊销企业营业执照以外的行政处罚。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法律、行政法规对违法行为已经作出行政处罚规定,地方性法规需要作出具体规定的，必须在法律、行政法规规定的给予行政处罚的行为、种类和幅度的范围内规定。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第十二条  地方性法规可以设定除限制人身自由、吊销营业执照以外的行政处罚。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法律、行政法规对违法行为已经作出行政处罚规定，地方性法规需要作出具体规定的，必须在法律、行政法规规定的给予行政处罚的行为、种类和幅度的范围内规定。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1.地方性法规不能创设新的行政处罚种类。地方性法规可以设定吊销营业执照以外的其他行政许可证的行政处罚。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2.已经制定的单行法律、行政法规设定的行政处罚的种类中没有罚款的，地方性法规和规章不能增加规定罚款的行政处罚。其他行政处罚种类也按照上述原则办理。</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3.如果单行法律、行政法规对违法行为未作出行政处罚规定，地方性法规补充设定的，2021年修订作了听取意见、书面说明、备案三个方面的程序控制。</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第十三条【国务院部门规章对处罚的设定】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第十二条  国务院部、委员会制定的规章可以在法律、行政法规规定的给予行政处罚的行为、种类和幅度的范围内作出具体规定。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尚未制定法律、行政法规的,前款规定的国务院部、委员会制定的规章对违反行政管理秩序的行为,可以设定警告或者一定数量罚款的行政处罚。罚款的限额由国务院规定。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国务院可以授权具有行政处罚权的直属机构依照本条第一款、第二款的规定，规定行政处罚。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第十三条  国务院部门规章可以在法律、行政法规规定的给予行政处罚的行为、种类和幅度的范围内作出具体规定。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尚未制定法律、行政法规的，国务院部门规章对违反行政管理秩序的行为，可以设定警告、通报批评或者一定数额罚款的行政处罚。罚款的限额由国务院规定。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1.国务院部门规章有行政处罚规定权。</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 2021年修订增加了国务院部门规章可以设定通报批评的行政处罚。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按照《国务院关于贯彻实施〈中华人民共和国行政处罚法〉的通知》，部门规章对非经营活动中的违法行为设定罚款最高不得超过三万元，没有违法所得的，设定罚款不得超过一万元；超过上述限额的，应当报国务院批准。</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第十四条【地方政府规章对处罚的设定】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36" w:firstLineChars="200"/>
              <w:jc w:val="both"/>
              <w:textAlignment w:val="auto"/>
              <w:rPr>
                <w:rFonts w:hint="eastAsia" w:ascii="方正仿宋简体" w:hAnsi="方正仿宋简体" w:eastAsia="方正仿宋简体" w:cs="方正仿宋简体"/>
                <w:spacing w:val="-11"/>
                <w:sz w:val="24"/>
                <w:szCs w:val="24"/>
                <w:highlight w:val="none"/>
                <w:lang w:val="en-US" w:eastAsia="zh-CN"/>
              </w:rPr>
            </w:pPr>
            <w:r>
              <w:rPr>
                <w:rFonts w:hint="eastAsia" w:ascii="方正仿宋简体" w:hAnsi="方正仿宋简体" w:eastAsia="方正仿宋简体" w:cs="方正仿宋简体"/>
                <w:spacing w:val="-11"/>
                <w:sz w:val="24"/>
                <w:szCs w:val="24"/>
                <w:highlight w:val="none"/>
                <w:lang w:val="en-US" w:eastAsia="zh-CN"/>
              </w:rPr>
              <w:t>第十三条  省、自治区、直辖市人民政府和省、自治区人民政府所在地的市人民政府以及经国务院批准的较大的市人民政府制定的规章可以在法律、法规规定的给予行政处罚的行为、种类和幅度的范围内作出具体规定。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36"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pacing w:val="-11"/>
                <w:sz w:val="24"/>
                <w:szCs w:val="24"/>
                <w:highlight w:val="none"/>
                <w:lang w:val="en-US" w:eastAsia="zh-CN"/>
              </w:rPr>
              <w:t>尚未制定法律、法规的，前款规定的人民政府制定的规章对违反行政管理秩序的行为，可以设定警告或者一定数量罚款的行政处罚。罚款的限额由省、自治区、直辖市人民代表大会常务委员会规定。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第十四条  地方政府规章可以在法律、法规规定的给予行政处罚的行为、种类和幅度的范围内作出具体规定。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尚未制定法律、法规的，地方政府规章对违反行政管理秩序的行为，可以设定警告、通报批评或者一定数额罚款的行政处罚。罚款的限额由省、自治区、直辖市人民代表大会常务委员会规定。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地方政府规章有行政处罚规定权，但必须在上位法规定的“行为、种类和幅度”范围内。根据《立法法》，删除“省、自治区、直辖市人民政府和省、自治区人民政府所在地的市人民政府以及经国务院批准的较大的市人民政府制定”，但实质意义没有变化。</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2.2021年修订增加了地方政府规章可以设定通报批评的行政处罚。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 罚款的限额，省、自治区、直辖市人民代表大会常务委员会规定不一。如，广东省规定，尚未制定法律、行政法规或者地方性法规的，规章对违反行政管理秩序的行为，设定的罚款数额不得超过二十万元；但对涉及公共安全、生态环境保护、历史文化保护、有限自然资源开发利用以及食品药品安全等直接关系人身健康、生命财产安全方面的违反行政管理秩序的行为，可以设定不超过三十万元的罚款。再如，江西省规定，政府规章设定罚款限额按下列规定执行: （一）对公民违反行政管理秩序的行为，设定罚款不超过五百元，但对直接关系人身健康、生命财产安全以及直接涉及国家安全、生态环境保护、历史文化保护、有限自然资源开发利用方面的违反行政管理秩序的行为，从事经营活动的，设定罚款不超过五万元；非经营活动的，设定罚款不超过三万元。（二）对法人或者其他组织违反行政管理秩序的行为，设定罚款不超过三万元，但对直接关系人身健康、生命财产安全以及直接涉及国家安全、生态环境保护、历史文化保护、有限自然资源开发利用方面的违反行政管理秩序的行为，从事经营活动的，设定罚款不超过二十万元；非经营活动的，设定罚款不超过十万元。</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第十五条【对行政处罚定期评估】</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第十五条  国务院部门和省、自治区、直辖市人民政府及其有关部门应当定期组织评估行政处罚的实施情况和必要性，对不适当的行政处罚事项及种类、罚款数额等，应当提出修改或者废止的建议。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本条为新增规定，是行政机关加强对行政处罚事项动态管理的举措。立法中，有意见提出，为了简政放权、优化营商环境，应当定期对已经设定的行政处罚进行评估，减少不必要的行政处罚事项。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第十六条【其他规范性文件不得设定处罚】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第十四条  除本法第九条、第十条、第十一条、第十二条以及第十三条的规定外，其他规范性文件不得设定行政处罚。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第十六条  除法律、法规、规章外，其他规范性文件 不得设定行政处罚。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规范性文件是除国务院的行政法规、决定、命令以及部门规章和地方政府规章外，由行政机关或者经法律、法规授权的具有管理公共事务职能的组织依照法定权限、程序制定并公开发布，涉及公民、法人和其他组织权利义务，具有普遍约束力，在一定期限内反复适用的公文。</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2.国务院的行政法规之外的其他文件不能设定行政处罚，国务院决定可以设定行政许可。</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第三章 行政处罚的实施机关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第十七条【处罚的实施】</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第十五条  行政处罚由具有行政处罚权的行政机关在法定职权范围内实施。</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第十七条  行政处罚由具有行政处罚权的行政机关在法定职权范围内实施。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不是所有的行政机关都有行政处罚权，哪些行政机关有行政从罚权，由法律和行政法规规定。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2.行政机关只能对自己主管业务范围内的违反行政管理秩序的行为给予行政处罚。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3.每个行政机关有权给予什么种类的行政处罚，依法律、法规规定。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地方性法规不宜对法律中执法主体作出某些调整的规定。根据《全国人民代表大会常务委员会法制工作委员会关于地方性法规对法律规定的执法主体可否作出调整问题的答复》，地方性法规不应规定工商行政管理部门将这部分法定职责委托烟草专卖行政管理部门行使。</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第十八条【处罚的权限】</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第十六条  国务院或者经国务院授权的省、自治区、直辖市人民政府可以决定一个行政机关行使有关行政机关的行政处罚权，但限制人身自由的行政处罚权只能由公安机关行使。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12" w:firstLineChars="200"/>
              <w:jc w:val="both"/>
              <w:textAlignment w:val="auto"/>
              <w:rPr>
                <w:rFonts w:hint="eastAsia" w:ascii="方正仿宋简体" w:hAnsi="方正仿宋简体" w:eastAsia="方正仿宋简体" w:cs="方正仿宋简体"/>
                <w:spacing w:val="-17"/>
                <w:sz w:val="24"/>
                <w:szCs w:val="24"/>
                <w:highlight w:val="none"/>
                <w:lang w:val="en-US" w:eastAsia="zh-CN"/>
              </w:rPr>
            </w:pPr>
            <w:r>
              <w:rPr>
                <w:rFonts w:hint="eastAsia" w:ascii="方正仿宋简体" w:hAnsi="方正仿宋简体" w:eastAsia="方正仿宋简体" w:cs="方正仿宋简体"/>
                <w:spacing w:val="-17"/>
                <w:sz w:val="24"/>
                <w:szCs w:val="24"/>
                <w:highlight w:val="none"/>
                <w:lang w:val="en-US" w:eastAsia="zh-CN"/>
              </w:rPr>
              <w:t>第十八条  国家在城市管理、市场监管、生态环境、文化市场、交通运输、应急管理、农业等领域推行建立综合行政执法制度，相对集中行政处罚权。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12" w:firstLineChars="200"/>
              <w:jc w:val="both"/>
              <w:textAlignment w:val="auto"/>
              <w:rPr>
                <w:rFonts w:hint="eastAsia" w:ascii="方正仿宋简体" w:hAnsi="方正仿宋简体" w:eastAsia="方正仿宋简体" w:cs="方正仿宋简体"/>
                <w:spacing w:val="-17"/>
                <w:sz w:val="24"/>
                <w:szCs w:val="24"/>
                <w:highlight w:val="none"/>
                <w:lang w:val="en-US" w:eastAsia="zh-CN"/>
              </w:rPr>
            </w:pPr>
            <w:r>
              <w:rPr>
                <w:rFonts w:hint="eastAsia" w:ascii="方正仿宋简体" w:hAnsi="方正仿宋简体" w:eastAsia="方正仿宋简体" w:cs="方正仿宋简体"/>
                <w:spacing w:val="-17"/>
                <w:sz w:val="24"/>
                <w:szCs w:val="24"/>
                <w:highlight w:val="none"/>
                <w:lang w:val="en-US" w:eastAsia="zh-CN"/>
              </w:rPr>
              <w:t>国务院或者省、自治区、直辖市人民政府可以决定一个行政机关行使有关行政机关的行政处罚权。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12"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pacing w:val="-17"/>
                <w:sz w:val="24"/>
                <w:szCs w:val="24"/>
                <w:highlight w:val="none"/>
                <w:lang w:val="en-US" w:eastAsia="zh-CN"/>
              </w:rPr>
              <w:t>限制人身自由的行政处罚权只能由公安机关和法律规定的其他机关行使。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根据中央办公厅国务院办公厅《关于深化市场监管综合行政执法改革的指导意见》《关于深化交通运输综合行政执法改革的指导意见》《关于深化生态环境保护综合行政执法改革的指导意见》等，综合行政执法的事项既有跨部门的，如生态综合执法；也有部门内部的，如农业综合执法。具体的执法事项目录由各部门印发，如《农业综合行政执法事项指导目录（2020年版）》。</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2.2021年修订删除了第二款中的“经国务院授权的”，原因是《国务院关于进一步推进相对集中行政处罚权工作的决定》已经授权各省、自治区、直辖市人民政府。</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3.《行政强制法》第十七条第二款规定:“依据《中华人民共和国行政处罚法》的规定行使相对集中行政处罚权的行政机关，可以实施法律、法规规定的与行政处罚权有关的行政强制措施。”</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4.限制人身自由的行政处罚权的行使机关有公安机关、安全机关等。</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第十九条【授权实施处罚】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第十七条  法律、法规授权的具有管理公共事务职能的组织可以在法定授权范围内实施行政处罚。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第十九条  法律、法规授权的具有管理公共事务职能的组织可以在法定授权范围内实施行政处罚。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1.原则上，只有行政机关才能实施行政处罚，法律、法规授权的具有管理公共事务职能的组织实施行政处罚是例外规定。实践中，这类组织应避免角色混同。</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所说的组织，可以是事业单位，也可以是企业。根据《优化营商环境条例》第二十八条，公用企事业单位主要指供水、供电、供气、供热等。如，根据《湖南省民用运输机场管理条例》，机场管理机构按照有关市场管理、出租车管理、道路运政管理、道路桥梁管理、绿化管理、市容和环境卫生管理等方面法律、法规和规章的规定实施行政处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3.规章不能授权组织实施行政处罚。但是，在行政诉讼过程中，公民、法人或者其他组织认为规章授权的组织及其工作人员的行政行为侵犯其合法权益，有权依照行政诉讼法向人民法院提起诉讼。</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第二十条【委托实施处罚】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第十八条  行政机关依照法律、法规或者规章的规定，可以在其法定权限内委托符合本法第十九条规定条件的组织实施行政处罚。行政机关不得委托其他组织或者个人实施行政处罚。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委托行政机关对受委托的组织实施行政处罚的行为应当负责监督，并对该行为的后果承担法律责任。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受委托组织在委托范围内，以委托行政机关名义实施行政处罚；不得再委托其他任何组织或者个人实施行政处罚。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第二十条  行政机关依照法律、法规、规章的规定，可以在其法定权限内书面委托符合本法第二十一条规定条件的组织实施行政处罚。行政机关不得委托其他组织或者个人实施行政处罚。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委托书应当载明委托的具体事项、权限、期限等内容。委托行政机关和受委托组织应当将委托书向社会公布。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委托行政机关对受委托组织实施行政处罚的行为应当负责监督，并对该行为的后果承担法律责任。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受委托组织在委托范围内，以委托行政机关名义实施行政处罚；不得再委托其他组织或者个人实施行政处罚。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1.没有法律、法规、规章的依据，不能委托实施行政处罚。委托之后，行政主体名义没有变，委托的是事务，变化的是委托事务的执行。违法本条规定的，本法第七十六条有相应的责任条款。</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2.根据《地方各级人民代表大会和地方各级人民政府组织法》第五十九条，县级以上的地方各级人民政府行使“办理上级国家行政机关交办的其他事项”的职权。</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第二十一条【受托组织的条件】</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第十九条  受委托组织必须符合以下条件: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（一）依法成立的管理公共事务的事业组织；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（二）具有熟悉有关法律、法规、规章和业务的工作人员；</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（三）对违法行为需要进行技术检查或者技术鉴定的，应当有条件组织进行相应的技术检查或者技术鉴定。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第二十一条  受委托组织必须符合以下条件: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（一）依法成立并具有管理公共事务职能；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（二）有熟悉有关法律、法规、规章和业务并取得行政执法资格的工作人员；</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（三）需要进行技术检查或者技术鉴定的，应当有条件组织进行相应的技术检查或者技术鉴定。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机构条件。组织具有公共事务职能是接受委托的前提条件，本次修订改变了只有事业单位可以作为受委托组织的规定，即公用企事业单位都可以作为受委托组织。《优化营商环境条例》第二十八条明确，供水、供电、供气、供热等属于公用企事业单位。</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2.人员条件。本次修订第二项明确要求工作人员具有行政执法资格。</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3.技术条件。对于生态环境、农业等领域的违法行为，需要借助技术条件才能实施行政处罚。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第四章 行政处罚的管辖和适用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第二十二条【地域管辖】</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第二十条  行政处罚由违法行为发生地的县级以上地方人民政府具有行政处罚权的行政机关管辖。法律、行政法规另有规定的除外。</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lang w:val="en-US" w:eastAsia="zh-CN"/>
              </w:rPr>
              <w:t>第二十二条  行政处罚由违法行为发生地的行政机关管辖。法律、行政法规、部门规章另有规定的，从其规定。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地域管辖。违法行为发生地是确定管辖的基本标准。行为人实施了行政违法行为，在其实施过程中任何一个阶段被发现，该地方都可以成为违法行为发生地。违法行为发生地可以包括违法行为实施地和违法行为结果地。制造、运输、销售假药涉及多个地方的，每个地方相应的行政机关都拥有地域管辖权。</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2.例外规定。本条第二句增加了“部门规章”，行为人住所地和居住地、不动产所在地可以构成例外规定。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第二十三条【级别管辖】</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第二十三条  行政处罚由县级以上地方人民政府具有行政处罚权的行政机关管辖。法律、行政法规另有规定的，从其规定。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级别管辖。县级以上地方人民政府的部门拥有行政处罚权，这是基本规定。根据单行法，我国行政处罚权的实施主体配置面广，从国务院一直到乡镇政府，从国务院部门到县级政府部门甚至是县级政府部门的派出机构，都有行政处罚权。法律、行政法规明确赋予地方人民政府的职权，县级以上地方各级人大及其常委会、县级以上地方各级人民政府不得擅自改变。法律、行政法规笼统规定由地方各级人民政府或者县级以上地方各级人民政府行使的职权，中央已决定就有关领域的行政管理体制进行改革的，设区的市政府可以据此对市辖区政府的职权进行调整或者上收。</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职能管辖。并不是所有的行政机关都“具有行政处罚权”，“具有行政处罚权”也必须按照法定权限和程序，由两名以上具有行政执法人员资格的执法人员执法。上级法律规范规定了职能管辖机关的，下级法律规范不能与其相抵触，不能改变这一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第二十四条【行政处罚权的承接】</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第二十四条  省、自治区、直辖市根据当地实际情况，可以决定将基层管理迫切需要的县级人民政府部门的行政处罚权交由能够有效承接的乡镇人民政府、街道办事处行使，并定期组织评估。决定应当公布。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承接行政处罚权的乡镇人民政府、街道办事处应当加强执法能力建设，按照规定范围、依照法定程序实施行政处罚。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有关地方人民政府及其部门应当加强组织协调、业务指导、执法监督，建立健全行政处罚协调配合机制，完善评议、考核制度。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单行法规定了乡镇政府可以是行政处罚主体，但没有规定街道办事处是行政处罚主体，街道办事处只是市辖区、不设区的市的人民政府的派出机关。本条第一款没有明确被交由处罚权的乡镇街道是否是独立的行政处罚主体。规定“交由”可以有多种形式:一是相对集中行政处罚权途径，即按照本法第十八条，由乡镇和街道行使有关行政机关的行政处罚权，并接受有关县级主管部门的业务指导和监督；二是交办途径，即按照组织法的规定，上级政府可以交办下级政府办理具体事项，等等。</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2.在操作性方面，乡镇人民政府、街道办事处实施行政处罚，面临能力建设方面的问题，因此，本法强调能力建设，并特别规定第三款，“放得下、接得住、管得好、有监督”。</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 政策背景。2016年，中共中央办公厅、国务院办公厅《关于深入推进经济发达镇行政管理体制改革的指导意见》提出，省（自治区、直辖市）政府可以将基层管理迫切需要且能够有效承接的一些县级管理权限包括行政处罚等赋予经济发达镇。2018年，中共中央办公厅、国务院办公厅《关于推进基层整合审批服务执法力量的实施意见》提出，推进行政执法权限和力量向基层延伸和下沉，强化乡镇和街道的统一指挥和统筹协调职责。整合现有站所、分局执法力量和资源，组建统一的综合行政执法机构。</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第二十五条【共同管辖及指定管辖】</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第二十一条 对管辖发生争议的，报请共同的上一级行政机关指定管辖。</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第二十五条  两个以上行政机关都有管辖权的，由最先立案的行政机关管辖。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对管辖发生争议的，应当协商解决，协商不成的，报请共同的上一级行政机关指定管辖；也可以直接由共同的上一级行政机关指定管辖。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立案是新增的程序规定。最先立案原则有利于行政机关提高执法效率。本条没采纳“重吸收轻”原则。最先立案与最早发现违法行为有所不同，如《海关行政处罚实施条例》第三条规定，两个以上海关都有管辖权的案件，由最先发现违法行为的海关管辖。</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2.协议管辖。对于因为地域、职责、共同违法行为等原因导致管辖争议的，相关行政机关的协商应在法律规范的规定范围内。如，长三角地区的跨行政区行政违法行为管辖。</w:t>
            </w:r>
            <w:r>
              <w:rPr>
                <w:rFonts w:hint="eastAsia" w:ascii="楷体_GB2312" w:hAnsi="楷体_GB2312" w:eastAsia="楷体_GB2312" w:cs="楷体_GB2312"/>
                <w:sz w:val="24"/>
                <w:szCs w:val="24"/>
                <w:highlight w:val="none"/>
                <w:lang w:val="en-US" w:eastAsia="zh-CN"/>
              </w:rPr>
              <w:br w:type="textWrapping"/>
            </w:r>
            <w:r>
              <w:rPr>
                <w:rFonts w:hint="eastAsia" w:ascii="楷体_GB2312" w:hAnsi="楷体_GB2312" w:eastAsia="楷体_GB2312" w:cs="楷体_GB2312"/>
                <w:sz w:val="24"/>
                <w:szCs w:val="24"/>
                <w:highlight w:val="none"/>
                <w:lang w:val="en-US" w:eastAsia="zh-CN"/>
              </w:rPr>
              <w:t>3.指定管辖。共同的上一级行政机关可以是一级政府，如县政府；也可以是上级部门，如某国务院部门。</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第二十六条【行政协助】</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第二十六条  行政机关因实施行政处罚的需要，可以向有关机关提出协助请求。协助事项属于被请求机关职权范围内的，应当依法予以协助。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1.行政协助是行政管理的常态，是指行政机关和法律、法规授权的具有管理公共事务职能的组织，因全面履行行政职责需要，向无隶属关系的行政机关请求协助，被请求机关依法提供协助的行为。</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2.协助的原因通常包括，因法定原因，单独行使职权难以实现行政目标的，行使职权所必需的文书、资料等信息为被请求机关所掌握，自行收集难以获得的，等等。</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协助事项不属于被请求机关职权范围内的，违反请求协助程序的，协助请求缺乏合法性依据，被请求机关应当拒绝协助。由被请求机关以外的其他行政机关提供协助更具效能的，被请求行政机关提供协助将严重妨碍自身履行职权的，被请求机关可以拒绝协助。</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第二十七条【刑事责任优先】</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第二十二条  违法行为构成犯罪的，行政机关必须将案件移送司法机关，依法追究刑事责任。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第二十七条  违法行为 涉嫌犯罪的，行政机关应当及时将案件移送司法机关，依法追究刑事责任。对依法不需要追究刑事责任或者免予刑事处罚，但应当给予行政处罚的，司法机关应当及时将案件移送有关行政机关。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行政处罚实施机关与司法机关之间应当加强协调配合，建立健全案件移送制度，加强证据材料移交、接收衔接，完善案件处理信息通报机制。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本条规定了刑事责任优先原则，凡是案件涉及犯罪的，必须移送。实践中，吊销证照类行政处罚，没有对应的刑罚措施，移送前是否可以先行作出行政处罚决定，法律法规没有明确。</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的配套规定很多，有国务院《行政执法机关移送涉嫌犯罪案件的规定》，公安部《公安机关办理行政案件程序规定》《公安机关受理行政执法机关移送涉嫌犯罪案件规定》等，人民检察院《办理行政执法机关移送涉嫌犯罪案件的规定》，以及生态环境、人力资源、自然资源、农业、卫生等领域的专门衔接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知识产权领域的“行刑衔接”移送标准有特别规定。2020年8月，国务院修订了《行政执法机关移送涉嫌犯罪案件的规定》，并规定:知识产权领域的违法案件，行政执法机关根据调查收集的证据和查明的案件事实，认为存在犯罪的合理嫌疑，需要公安机关采取措施进一步获取证据以判断是否达到刑事案件立案追诉标准的，应当向公安机关移送。</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第二十八条【责令改正与责令退赔】</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8"/>
        <w:gridCol w:w="4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856"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3143"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856"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第二十三条  行政机关实施行政处罚时，应当责令当事人改正或者限期改正违法行为。</w:t>
            </w:r>
          </w:p>
        </w:tc>
        <w:tc>
          <w:tcPr>
            <w:tcW w:w="3143"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第二十八条  行政机关实施行政处罚时，应当责令当事人改正或者限期改正违法行为。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当事人有违法所得，除依法应当退赔的外，应当予以没收。 违法所得是指实施违法行为所取得的款项。法律、行政法规、部门规章对违法所得的计算另有规定的，从其规定。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责令改正只是恢复原状，不属于行政处罚。如，《城乡规划法》第六十六条规定，“建设单位或者个人有下列行为之一的，由所在地城市、县人民政府城乡规划主管部门责令限期拆除，可以并处临时建设工程造价一倍以下的罚款: （一）未经批准进行临时建设的；（二）未按照批准内容进行临时建设的；（三）临时建筑物、构筑物超过批准期限不拆除的。”</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责令改正实际是责令恢复原状，对行政相对人不构成原有权益的损害；行政处罚是要求承担新的义务，对行政相对人构成原有权益的损害。责令改正与行政处罚概念有以下区别。一是行政处罚是行政主体对违反行政管理秩序的行为依法定程序所给予的法律制裁；而责令改正或限期改正违法行为是指行政机关在实施行政处罚的过程中对违法行为人发出的一种作为命令。二是两者性质、内容不同。行政处罚是法律制裁，是对违法行为人的人身自由、财产权利的限制和剥夺，是对违法行为人精神和声誉造成损害的惩戒；而责令改正或者限期改正违法行为，其本身并不是制裁，只是要求违法行为人履行法定义务，停止违法行为，消除不良后果，恢复原状。三是两者的规制角度不同。行政处罚是从惩戒的角度，对行政相对人科处新的义务，以告诫违法行为人不得再违法，否则将受罚；而责令改正或者限期改正则是命令违法行为人履行既有的法定义务，纠正违法，恢复原状。四是两者形式不同。《行政处罚法》第九条规定了行政处罚的具体种类，具体有:警告、通报批评，罚款、没收违法所得、没收非法财物，暂扣许可证件、降低资质等级、吊销许可证件；限制开展生产经营活动、责令停产停业、责令关闭、限制从业，行政拘留等；而责令改正或者限期改正违法行为，因各种具体违法行为不同而分别表现为停止违法行为、责令退还、责令赔偿、责令改正、限期拆除等形式。</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责令退赔不是行政处罚。非法所得的性质为不当得利，根据《民法典》第九百八十五条，得利人没有法律根据取得不当利益的，受损失的人可以请求得利人返还取得的利益。《民法典》第一百八十七条规定:“民事主体因同一行为应当承担民事责任、行政责任和刑事责任的，承担行政责任或者刑事责任不影响承担民事责任；民事主体的财产不足以支付的，优先用于承担民事责任。”《刑法》 对于违法所得有追缴和责令退赔两种处理方式。《刑法》第六十四条规定:“犯罪分子违法所得的一切财物，应当予以追缴或者责令退赔；对被害人的合法财产，应当及时返还；违禁品和供犯罪所用的本人财物，应当予以设收。没收的财物和罚金，一律上缴国库，不得挪用和自行处理。”</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第二十九条【一事不二罚】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第二十四条  对当事人的同一个违法行为，不得给予两次以上罚款的行政处罚。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第二十九条  对当事人的同一个违法行为， 不得给予两次以上罚款的行政处罚。同一个违法行为违反多个法律规范应当给予罚款处罚的，按照罚款数额高的规定处罚。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1.本条规定了“一事不二罚”，即针对同一个违法行为，不能给予两次以上的罚款，其他行政处罚类型不在此限。</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从重处罚。在同一个违法行为违反多个法律规范时，本法新增了从重处罚的规定。此前，也有部门对此作出明确规定。如，农业部曾明确，饲料企业生产冒充其他企业依法需要取得产品批准文号的饲料添加剂、添加剂预混合饲料的，属于同时违反《饲料和饲料添加剂管理条例》第四十六条第一款第三项“生产、经营的饲料、饲料添加剂与标签标示的内容不一致的”和第三十八条第三款“已经取得生产许可证，但未取得产品批准文号而生产饲料添加剂、添加剂预混饲料的”规定，根据案件具体情况依照两项规定中处罚较重的规定定性处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第三十条【未成年人处罚的限制】</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第二十五条  不满十四周岁的人有违法行为的，不予行政处罚，责令监护人加以管教；已满十四周岁不满十八周岁的人有违法行为的，从轻或者减轻行政处罚。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第三十条  不满十四周岁的未成年人有违法行为的，不予行政处罚，责令监护人加以管教；已满十四周岁不满十八周岁的未成年人有违法行为的，应当从轻或者减轻行政处罚。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1.过错是应受行政处罚行为的构成要件，而责任能力是判断过错的基础之一。本法规定的起算点是十四周岁，不同于《民法典》“不满八周岁的未成年人为无民事行为能力人”的规定。</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2.对于不满十四周岁的人违法行为相关的违禁品，有关行政机关可以予以收缴。 如，不满十四周岁的当事人携带、 邮寄国家禁止进出境的货物、物品进出境，海关依法可以不予行政处罚。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第三十一条【精神病人及限制性精神病人处罚的限制】</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第二十六条  精神病人在不能辨认或者不能控制自己行为时有违法行为的，不予行政处罚，但应当责令其监护人严加看管和治疗。间歇性精神病人在精神正常时有违法行为的，应当给予行政处罚。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第三十一条  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精神病人、智力残疾人不承担行政处罚责任的原因在于其不具备识别和避免风险发生的能力，不构成行政违法行为。精神病人、智力残疾人，间歇性精神病人在不能辨认或者不能控制自己行为时有违法行为的，违法行为相关的违禁品，有关行政机关可以依法予以收缴。</w:t>
            </w:r>
          </w:p>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 《民法典》第二十一条规定的“不能辨认自己行为的成年人为无民事行为能力人”的范围大于本条规定的“精神病人、智力残疾人”的范围。</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第三十二条【从轻、减轻处罚的情形】</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第二十七条  当事人有下列情形之一的，应当依法从轻或者减轻行政处罚: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（一）主动消除或者减轻违法行为危害后果的；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（二）受他人胁迫有违法行为的；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（三）配合行政机关查处违法行为有立功表现的；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（四）其他依法从轻或者减轻行政处罚的。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违法行为轻微并及时纠正，没有造成危害后果的，不予行政处罚。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第三十二条  当事人有下列情形之一，应当从轻或者减轻行政处罚: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 主动消除或者减轻违法行为危害后果的；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 受他人胁迫或者诱骗实施违法行为的；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（三）主动供述行政机关尚未掌握的违法行为的；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（四）配合行政机关查处违法行为有立功表现的；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（五）法律、法规、规章规定其他应当从轻或者减轻行政处罚的。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减轻、从轻并不相同。减轻为在法定幅度以下作出处罚，实践中适用较少。如，在《方林富炒货店案件》中，西湖市监局在广告法规定的“处二十万元以上一百万元以下”的处罚幅度内将罚款数额裁量为最低限二十万元。一审法院判决变更被诉行政处罚决定之罚款金额为十万元，同时撤销维持该处罚决定的行政复议决定。此外，从轻或者减轻行政处罚事由必须由法律、法规、规章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2.旧法中第二十七条第三款移至新法第三十三条修改。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第三十三条【不予行政处罚的条件】</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第二十七条第二款违法行为轻微并及时纠正，没有造成危害后果的，不予行政处罚。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第三十三条  违法行为轻微并及时改正，没有造成危害后果的，不予行政处罚。初次违法且危害后果轻微并及时改正的，可以不予行政处罚。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当事人有证据足以证明没有主观过错的，不予行政处罚。法律、行政法规另有规定的，从其规定。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对当事人的违法行为依法不予行政处罚的，行政机关应当对当事人进行教育。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1.不予行政处罚。不予处罚的前提是不构成应受行政处罚行为。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2.可以不予行政处罚。适用可以不予行政处罚的前提，是构成应受行政处罚行为，但是可以酌定不予以行政处罚。上海、浙江、四川、山东、吉林等地推出了相应的不予处罚清单。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过错推定原则。过错推定原则意味着当事人要对自己没有过错承担举证责任，举证责任之所在，败诉之所在，如果当事人没有证明自己没有过错，则当事人可能要承担不利后果。当然，还有例外规定，有的行政违法行为要求主观过错作为构成要件，如，《海关行政处罚实施条例》第十七条规定:“报关企业、报关人员对委托人所提供情况的真实性未进行合理审查，或者因工作疏忽致使发生本实施条例第十五条规定情形的，可以对报关企业处货物价值10%以下罚款，暂停其6个月以内从事报关业务或者执业；情节严重的，撤销其报关注册登记、取消其报关从业资格。</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第三十四条【行政处罚裁量基准】</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第三十四条  行政机关可以依法制定行政处罚裁量基准，规范行使行政处罚裁量权。行政处罚裁量基准应当向社会公布。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1.行政裁量是行政主体在适用法律规范裁断个案时由于法律规范与案件事实之间的差异而享有的由类推法律要件、补充法律要件进而确定法律效果的自由，简言之，行政机关有事实裁量和效果裁量两类裁量权。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行政机关实施行政管理，应当遵循公平、公正的原则。要平等对待行政管理相对人，不偏私、不歧视。行使自由裁量权应当符合法律目的，排除不相关因素的干扰；所采取的措施和手段应当必要、适当；行政机关实施行政管理可以采用多种方式实现行政目的的，应当避免采用损害当事人权益的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3.各省、自治区、直辖市政府基本都制定了行政处罚的裁量基准，并已经公开。</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第三十五条【刑罚的折抵】</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第二十八条  违法行为构成犯罪，人民法院判处拘役或者有期徒刑时，行政机关已经给予当事人行政拘留的，应当依法折抵相应刑期。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违法行为构成犯罪，人民法院判处罚金时，行政机关已经给予当事人罚款的，应当折抵相应罚金。</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第三十五条  违法行为构成犯罪，人民法院判处拘役或者有期徒刑时,行政机关已经给予当事人行政拘留的，应当依法折抵相应刑期。</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违法行为构成犯罪，人民法院判处罚金时，行政机关已经给予当事人罚款的，应当折抵相应罚金；行政机关尚未给予当事人罚款的，不再给予罚款。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1.刑事责任优先原则。行政处罚案件实施过程中，违法行为构成犯罪的，应当中止行政处罚程序，根据《行政执法机关移送涉嫌犯罪案件的规定》等规定及时移送。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2.同类处罚措施可以折抵，行政处罚类型和刑罚类型在财产罚、人身自由罚等方面重叠。本条的目的是为了避免同一违法行为受到两次评价，这是广义的“一事不二罚”，或者是“禁止双重评价”。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3.拘役或者有期徒刑、行政拘留都属于人身自由方面的惩戒，折抵可以一日折抵一日，罚款和罚金也可以直接折抵。</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第三十六条【处罚的时效】</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第二十九条  违法行为在二年内未被发现的，不再给予行政处罚。法律另有规定的除外。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前款规定的期限，从违法行为发生之日起计算；违法行为有连续或者继续状态的，从行为终了之日起计算。</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第三十六条  违法行为在二年内未被发现的，不再给予行政处罚；涉及公民生命健康安全、金融安全且有危害后果的，上述期限延长至五年。法律另有规定的除外。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前款规定的期限，从违法行为发生之日起计算；违法行为有连续或者继续状态的，从行为终了之日起计算。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基本追诉时效为两年。“有权机关”不限于行政机关，还包括监察机关、司法机关、军事机关等，“有权机关”不包括当事人、第三人。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2.长期追诉时效为五年。“公民生命健康安全、金融安全等”列入五年追诉时效的，是为了加大对重大违法行为的惩戒。</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连续违法行为是否是同一个违法行为。原国务院法制办公室曾明确:《中华人民共和国行政处罚法》第二十九条中规定的违法行为的连续状态，是指当事人基于同一个违法故意，连续实施数个独立的行政违法行为，并触犯同一个行政处罚规定的情形。</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第三十七条【法不溯及既往】</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第三十七条  实施行政处罚,适用违法行为发生时的法律、法规、规章的规定。但是，作出行政处罚决定时，法律、法规、规章已被修改或者废止，且新的规定处罚较轻或者不认为是违法的，适用新的规定。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法律不溯及既往原则是基本原则。本条采用从旧兼从轻原则，即原则上适用旧法，但新法对行为人有利时，适用新法，体现了对当事人权益的保障。</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第三十八条【行政处罚无效】</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第三条第二款  没有法定依据或者不遵守法定程序的，行政处罚无效。</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第三十八条  行政处罚没有依据或者实施主体不具有行政主体资格的，行政处罚无效。</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违反法定程序构成重大且明显违法的，行政处罚无效。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执法主体资格制度。行政机关必须在本机关职权范围内实施，超出自己机关的职权实施行政处罚的，行为是无效的。行政机关之外的其他组织，应当是具有法律、行政法规、地方性法规的授权。除了以上按照职权执法之外，还有委托执法，受委托组织也可以以委托主体的名义开展执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程序影响行政处罚行为效力的限度是“重大且明显违法”。《行政诉讼法》第七十五条规定:“行政行为有实施主体不具有行政主体资格或者没有依据等重大且明显违法情形，原告申请确认行政行为无效的，人民法院判决确认无效。”第七十六条规定: “人民法院判决确认违法或者无效的，可以同时判决责令被告采取补教措施；给原告造成损失的，依法判决被告承担赔偿责任。”此外，第七十四条规定，行政行为程序轻微违法，但对原告权利不产生实际影响的，人民法院不撤销行政行为。</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第五章 行政处罚的决定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第一节 一般规定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第三十九条【信息公示】</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第三十九条  行政处罚的实施机关、立案依据、实施程序和救济渠道等信息应当公示。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规定的是事前公示。《国务院办公厅关于全面推行行政执法公示制度执法全过程记录制度重大执法决定法制审核制度的指导意见》规定，行政执法机关要统筹推进行政执法事前公开与政府信息公开、权责清单公布、“ 双随机、一公开”监管等工作。全面准确及时主动公开行政执法主体、人员、职责、权限、依据、程序、救济渠道和随机抽查事项清单等信息。根据有关法律法规，结合自身职权职责，编制并公开本机关的服务指南、执法流程图，明确执法事项名称、受理机构、审批机构、受理条件、办理时限等内容。公开的信息要简明扼要、通俗易懂，并及时根据法律法规及机构职能变化情况进行动态调整。</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第四十条【处罚的前提】</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第三十条  公民、法人或者其他组织违反行政管理秩序的行为，依法应当给予行政处罚的，行政机关必须查明事实；违法事实不清的，不得给予行政处罚。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第四十条  公民、 法人或者其他组织违反行政管理秩序的行为，依法应当给予行政处罚的，行政机关必须查明事实；违法事实不清、证据不足的，不得给予行政处罚。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事实是否清楚、证据是否确凿，是给予行政处罚的前提条件。在证券等个别领域可以实行行政处罚和解。《证券法》第一百七十一条规定:“国务院证券监督管理机构对涉嫌证券违法的单位或者个人进行调查期间，被调查的当事人书面申请，承诺在国务院证券监督管理机构认可的期限内纠正涉嫌违法行为，赔偿有关投资者损失，消除损害或者不良影响的，国务院证券监督管理机构可以决定中止调查。被调查的当事人履行承诺的，国务院证券监督管理机构可以决定终止调查；被调查的当事人未履行承诺或者有国务院规定的其他情形的，应当恢复调查。具体办法由国务院规定。国务院证券监督管理机构决定中止或者终止调查的，应当按照规定公开相关信息。”2013 年，《国务院办公厅关于进一步加强资本市场中小投资者合法权益保护工作的意见》提出，“探索建立证券期货领域行政和解制度，开展行政和解试点。”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2.证据的种类需要结合本法第四十六条理解，证据需要具有真实性、关联性、合法性。本法没有明确不同领域的证明标准。</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第四十一条【信息化手段的运用】</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第四十一条  行政机关依照法律、行政法规规定利用电子技术监控设备收集、固定违法事实的，应当经过法制和技术审核，确保电子技术监控设备符合标准、设置合理、标志明显，设置地点应当向社会公布。</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电子技术监控设备记录违法事实应当真实、清晰、完整、准确。行政机关应当审核记录内容是否符合要求；未经审核或者经审核不符合要求的，不得作为行政处罚的证据。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行政机关应当及时告知当事人违法事实，并采取信息化手段或者其他措施，为当事人查询、陈述和申辩提供便利。不得限制或者变相限制当事人享有的陈述权、申辩权。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规定的是非现场执法。设定电子技术监控设备必须经过法制和技术审核。实践中，注意与本法第五十条关于国家秘密、商业秘密和个人隐私的保密规定结合起来适用。《民法典》第一千零三十九条规定:“国家机关、承担行政职能的法定机构及其工作人员对于履行职责过程中知悉的自然人的隐私和个人信息，应当予以保密，不得泄露或者向他人非法提供。”</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电子技术监控设备记录具有证据效力的前提是，满足证据的真实性、关联性、合法性要求，“真实、清晰、完整、准确”是具体标准。鉴于电子技术监控设备记录可能存在瑕疵，因此，本条规定了“人机结合”，目的是通过执法人员的审核，确保其符合证据的基本要求。实践中，注意与本法第五十八条关于处罚决定法制审核的规定结合起来适用。</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3.在此情形下，行政机关的告知义务和当事人的查询、陈述和申辩权是法定权利。未履行相关程序的，根据本法第三十八条规定，相关行政处罚行为可以被认定为无效。与普通程序不同，当事人拥有查询权。</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第四十二条【执法人员要求】</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第四十二条  行政处罚应当由具有行政执法资格的执法人员实施。执法人员不得少于两人，法律另有规定的除外。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执法人员应当文明执法，尊重和保护当事人合法权益。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不是行政机关所有的工作人员都有权开展执法活动。行政机关的在职在编的工作人员，且必须具有行政执法人员才能够执法，行政执法人员是通过行政执法资格认证，取得行政执法证件，在法定职权范围内从事行政执法活动的人员。目前，绝大多数地方都规定了行政执法人员资格制度，如《山东省行政执法人员资格认证和行政执法证件管理办法》。</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文明执法是我国对行政执法的基本要求之一，保障当事人合法权益是基本原则之一。文明执法要求加强内部管理，健全纪律约束机制，加强行政执法人员思想建设、作风建设。行政执法所采取的措施和手段应当必要、适当；行政机关实施行政管理可以采用多种方式实现行政目的的，应当避免采用损害当事人权益的方式实施处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第四十三条【回避】</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第三十七条第三款  执法人员与当事人有直接利害关系的，应当回避。</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第四十三条  执法人员与案件有直接利害关系或者有其他关系可能影响公正执法的，应当回避。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当事人认为执法人员与案件有直接利害关系或者有其他关系可能影响公正执法的，有权申请回避。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当事人提出回避申请的，行政机关应当依法审查，由行政机关负责人决定。决定作出之前，不停止调查。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回避是程序正当的基本要求。行政机关工作人员履行职责，与行政管理相对人存在利害关系时，应当回避。应当回避而没有回避的。应当适用本法第三十八条的规定，行政处罚无效。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回避的情形包括行政执法人员是当事人或者代理人的配偶、父母、子女、兄弟姐妹、祖父母、外祖父母、孙子女、外孙子女等近亲属，伯叔姑舅姨、兄弟姐妹、堂兄弟姐妹、表兄弟姐妹、侄子女、甥子女等三代以内旁系血亲关系，朋友、同学等其他关系密切人员，以及与本案有利益冲突等可能影响公正执法的人员。</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3.关于普通行政执法人员和行政机关负责人回避的决定者，本法没有具体规定，可以由国务院部门、地方政府等细化规定。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第四十四条【告知义务】</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第三十一条  行政机关在作出行政处罚决定之前，应当告知当事人作出行政处罚决定的事实、理由及依据，并告知当事人依法享有的权利。</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第四十四条  行政机关在作出行政处罚决定之前，应当告知当事人拟作出的行政处罚内容及事实、理由、依据，并告知当事人依法享有的陈述、申辩、要求听证等权利。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法第三十八条第二款规定，违反法定程序构成重大且明显违法的，行政处罚无效。告知是行政机关作出行政处罚决定的必经程序，行政机关不告知当事人拟作出的行政处罚内容及事实、理由、依据的，行政处罚无效。</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第四十五条【当事人的陈述权和申辩权】</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旧条例</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第三十二条  当事人有权进行陈述和申辩。行政机关必须充分听取当事人的意见，对当事人提出的事实、理由和证据，应当进行复核；当事人提出的事实、理由或者证据成立的，行政机关应当采纳。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行政机关不得因当事人申辩而加重处罚。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第四十五条  当事人有权进行陈述和申辩。行政机关必须充分听取当事人的意见，对当事人提出的事实、理由和证据，应当进行复核；当事人提出的事实、理由或者证据成立的，行政机关应当采纳。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行政机关不得因当事人陈述、申辩而给予更重的处罚。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陈述、申辩、要求听证等是当事人的权利，当事人可以放弃。陈述、申辩过程中，当事人提出的实施、理由和证据成立的，行政机关要予以采纳。本法第三十三条第二款规定了过错推定条款，当事人要证明自己没有主观过错的，可以在陈述、申辩过程中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2.为了保护当事人充分行使陈述权、申辩权，本条规定了“陈述、申辩不加罚”，类似于刑事诉讼过程中的“上诉不加刑”。</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第四十六条【证据】</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第四十六条</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证据包括:</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（一）书证；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（二）物证；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（三）视听资料；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（四）电子数据；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（五）证人证言；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（六）当事人的陈述；</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（七）鉴定意见；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（八）勘验笔录、现场笔录。</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证据必须经查证属实，方可作为认定案件事实的根据。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以非法手段取得的证据，不得作为认定案件事实的根据。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书证是以文字、符号、图案等形式记载的，以内容证明案件事实的物品。物证是以物体的物质属性、外部特征、存在状况、空间方位等自然属性证明案件事实的物品和痕迹。视听资料是以录音、录像等设备所存储的信息证明案件事实的资料。电子数据是由电子手段、光学手段或类似手段生成的传送、接收或存储的信息。证人证言是非案件参与人关于案件事实的陈述。当事人的陈述是案件当事人关于案件事实的自我叙述、承认和陈词。鉴定意见是接收委托的鉴定人运用自己的专业知识和技能，对需要鉴定的专门性问题进行分析、鉴别和判断之后出具的专业意见。勘验笔录是指行政机关对有关案件事实的现场或物品进行就地检验、测量、勘查和分析所作出的书面记录。现场笔录是指行政机关工作人员在执行职务过程中对有关案件事实的现场情况所作出的书面记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2.非法手段取得的证据被称作“毒树之果”，不符合证据的合法性要求。</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第四十七条【执法全过程记录制度】</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第四十七条  行政机关应当依法以文字 、音像等形式，对行政处罚的启动、调查取证、审核、决定、送达、执行等进行全过程记录，归档保存。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规定的是执法全过程记录制度，来源于《国务院办公厅关于全面推行行政执法公示制度执法全过程记录制度重大执法决定法制审核制度的指导意见》。文字记录是以纸质文件或电子文件形式对行政执法活动进行全过程记录的方式。音像记录是通过照相机、录音机、摄像机、执法记录仪、视频监控等记录设备，实时对行政执法过程进行记录的方式。全过程记录信息对案卷评查、执法监督、评议考核、舆情应对、行政决策和健全社会信用体系等具有积极作用。</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第四十八条【行政处罚决定公示制度】</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第四十八条  具有一定社会影响的行政处罚决定应当依法公开。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公开的行政处罚决定被依法变更、撤销、确认违法或者确认无效的，行政机关应当在三日内撤回行政处罚决定信息并公开说明理由。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规定的是行政处罚决定公示制度。制度设计来源于《国务院办公厅关于全面推行行政执法公示制度执法全过程记录制度重大执法决定法制审核制度的指导意见》和《政府信息公开条例》第二十条等。行政执法公示是保障行政相对人和社会公众知情权、参与权、表达权、监督权的重要措施。行政执法机关要在执法决定作出之日起二十个工作日内，向社会公布执法机关、执法对象、执法类别、执法结论等信息，接受社会监督，行政许可、行政处罚的执法决定信息要在执法决定作出之日起七个工作日内公开，但法律、行政法规另有规定的除外。根据《政府信息公开条例》第二十条， 本行政机关认为具有一定社会影响的行政处罚决定， 属于主动公开的范围。</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第四十九条【应急处罚】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第四十九条  发生重大传染病疫情等突发事件，为了控制、减轻和消除突发事件引起的社会危害，行政机关对违反突发事件应对措施的行为，依法快速、从重处罚。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突发事件是指突然发生，造成或者可能造成严重社会危害，需要采取应急处置措施予以应对的自然灾害、事故灾难、公共卫生事件和社会安全事件。按照社会危害程度、影响范围等因素，自然灾害、事故灾难、公共卫生事件分为特别重大、重大、较大和一般四级。在此状态下，“快速、从重处罚”的目的是为了减轻社会危害后果，充分发挥行政处罚的矫正和预防功能。</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第五十条【保密义务】</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第五十条  行政机关及其工作人员对实施行政处罚过程中知悉的国家秘密、商业秘密或者个人隐私，应当依法予以保密。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需要和《民法典》的规定结合起来理解，除了本条列举的，还要增加个人信息。《民法典》第一千零三十九条规定:“国家机关、承担行政职能的法定机构及其工作人员对于履行职责过程中知悉的自然人的隐私和个人信息，应当予以保密，不得泄露或者向他人非法提供。”</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第二节 简易程序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第五十一条【当场处罚的情形】</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第三十三条  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第五十一条  违法事实确凿并有法定依据，对公民处以二百元以下、对法人或者其他组织处以三千元以下罚款或者警告的行政处罚的，可以当场作出行政处罚决定。法律另有规定的，从其规定。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效率是行政的生命。本次修订提高了起算点，同时还规定了其他法律可以规定例外。如，金融领域的违法行为，简易程序起算点可以适当提高。行政法规、地方性法规、规章等不能规定例外。罚缴分离是基本原则，《罚款决定与罚款收缴分离实施办法》专门对此作出规定。本法六十八条规定了当场收缴罚款的例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2.旧法中“当事人.... 决定”移至新法第五十三条修改。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第五十二条【当场处罚的程序】</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第三十四条  执法人员当场作出行政处罚决定的，应当向当事人出示执法身份证件，填写预定格式、编有号码的行政处罚决定书。行政处罚决定书应当当场交付当事人。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前款规定的行政处罚决定书应当载明当事人的违法行为、行政处罚依据、罚款数额、时间、地点以及行政机关名称，并由执法人员签名或者盖章。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执法人员当场作出的行政处罚决定，必须报所属行政机关备案。</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第五十二条  执法人员当场作出行政处罚决定的，应当向当事人出示执法证件，填写预定格式、编有号码的行政处罚决定书，并当场交付当事人。当事人拒绝签收的，应当在行政处罚决定书上注明。</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前款规定的行政处罚决定书应当载明当事人的违法行为，行政处罚的种类和依据、罚款数额、时间、地点，申请行政复议、提起行政诉讼的途径和期限以及行政机关名称，并由执法人员签名或者盖章。</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执法人员当场作出的行政处罚决定，应当报所属行政机关备案。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次修订突出了执法人员要出示执法证件、当事人拒绝签收的处理，以及救济权的告知等。当场作出行政处罚决定的，必须用有号码的格式文书、事后还要备案，送达方式是当场直接送达。执法文书不能省略违法行为，必须告知当事人救济权。根据《行政复议法》第十二条，对县级以上地方各级人民政府工作部门的具体行政行为不服的，申请人可以选择向该部门的本级人民政府或者上一级主管部门申请行政复议。对海关、金融、国税、外汇管理等实行垂直领导的行政机关和国家安全机关的具体行政行为不服的，向上一级主管部门申请行政复议。</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第五十三条【当场处罚的履行】</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第三十三条第二句当事人应当依照本法第四十六条、第四十七条、第四十八条的规定履行行政处罚决定。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第五十三条  对当场作出的行政处罚决定，当事人应当依照本法第六十七条至第六十九条的规定履行。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次修订仅仅作了调整。对当场作出的行政处罚决定的执行，也应当遵循罚缴分离的规定，执法人员不能收取罚款。当事人可以通过移动支付等方式缴纳罚款。符合当场收缴罚款情形的，可以由行政执法人员当场收缴罚款。</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第三节 普通程序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第五十四条【调查取证与立案】</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第三十六条  除本法第三十三条规定的可以当场作出的行政处罚外，行政机关发现公民、法人或者其他组织有依法应当给予行政处罚的行为的，必须全面、客观、公正地调查，收集有关证据；必要时，依照法律、法规的规定，可以进行检查。</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符合立案标准的，行政机关应当及时立案。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调查的基本要求是全面、客观、公正。行政检查是独立的行政行为。《控制对企业进行经济检查的规定》对经济领域的行政检查作了比较全面的规定，如，行政机关对企业进行经济检查时，应当出具检查通知书。检查通知书应当包括检查的法律、法规依据，检查内容，检查时限，实施检查的人员及其负责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本条第二款的目的是为了防止行政机关不作为，应当立案而不予立案的，依据本法第七十五条，县级以上人民政府可以主动监督，公民、法人或者其他组织对行政机关实施行政处罚的行为，有权申诉或者检举；行政机关应当认真审查，发现有错误的，应当主动改正。第七十六条对不立案也在法律责任方面作出了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第五十五条【出示证件与协助调查】</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第三十七条  行政机关在调查或者进行检查时，执法人员不得少于两人，并应当向当事人或者有关人员出示证件。当事人或者有关人员应当如实回答询问，并协助调查或者检查，不得阻挠。询问或者检查应当制作笔录。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执法人员与当事人有直接利害关系的，应当回避。</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当事人或者有关人员应当如实回答询问，并协助调查或者检查，不得拒绝或者阻挠。询问或者检查应当制作笔录。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执法人员执法必须出示执法证件，以代表国家公权力，各省、自治区、直辖市所属部门执法人员实施行政处罚的，必须持省级政府颁发的执法证件，国务院部门执法人员执法的，需要持本部门颁发的执法证件。根据《行政强制法》第十八条，行政机关实施行政强制措施应当出示执法身份证件。“ 执法人员不得少于两人”是基本规定，本处删除，是因为第四十二条已经规定。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2.旧法中第三十七条第二款移至新法第五十六条修改；旧法中第三十七条第三款移至新法第四十三条第一款修改。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第五十六条【证据的收集原则】</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第三十七条第二款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行政强制措施，是指行政机关在行政管理过程中，为制止违法行为、防止证据损毁、避免危害发生、控制危险扩大等情形，依法对公民的人身自由实施暂时性限制，或者对公民、法人或者其他组织的财物实施暂时性控制的行为。先行登记保存是查封的一种类型。七日时间届满，原则上行政机关必须解除登记保存措施，没有法定依据，先行登记保存不得延期。</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第五十七条【处罚决定】</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第三十八条  调查终结，行政机关负责人应当对调查结果进行审查，根据不同情况，分别作出如下决定: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（一）确有应受行政处罚的违法行为的，根据情节轻重及具体情况，作出行政处罚决定；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（二）违法行为轻微，依法可以不予行政处罚的，不予行政处罚；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（三）违法事实不能成立的，不得给予行政处罚；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（四）违法行为已构成犯罪的，移送司法机关。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对情节复杂或者重大违法行为给予较重的行政处罚，行政机关的负责人应当集体讨论决定。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在行政机关负责人作出决定之前，应当由从事行政处罚决定审核的人员进行审核。行政机关中初次从事行政处罚决定审核的人员，应当通过国家统一法律职业资格考试取得法律职业资格。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第五十七条  调查终结，行政机关负责人应当对调查结果进行审查，根据不同情况，分别作出如下决定: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（一）确有应受行政处罚的违法行为的，根据情节轻重及具体情况，做出行政处罚决定；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（二）违法行为轻微，依法可以不予行政处罚的，不予行政处罚；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（三）违法事实不能成立的，不予行政处罚；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（四）违法行为涉嫌犯罪的，移送司法机关。</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对情节复杂或者重大违法行为给予行政处罚，行政机关负责人应当集体讨论决定。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第一款第三项将“不得给予”修改为”不予”，实际明确了“违法事实不能成立的”，则不构成应受行政处罚的行为，而第二项则构成应受行政处罚的行为，但行政机关拥有可以不予行政处罚的裁量权。第四项将“已构成”改为“涉嫌”，则是与《刑事诉讼法》《行政执法机关移送涉嫌犯罪案件的规定》的规定保持一致，判断是否构成犯罪的最终机关是人民法院，行政机关没有裁判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2.第二款删除“较重”，实际是降低了集体讨论的门槛，按照原来的规定，对情节复杂或者重大违法行为给予一般处罚的，不需要集体讨论，按照新规定，必须进行集体讨论。</w:t>
            </w:r>
            <w:r>
              <w:rPr>
                <w:rFonts w:hint="eastAsia" w:ascii="楷体_GB2312" w:hAnsi="楷体_GB2312" w:eastAsia="楷体_GB2312" w:cs="楷体_GB2312"/>
                <w:sz w:val="24"/>
                <w:szCs w:val="24"/>
                <w:highlight w:val="none"/>
                <w:lang w:val="en-US" w:eastAsia="zh-CN"/>
              </w:rPr>
              <w:br w:type="textWrapping"/>
            </w:r>
            <w:r>
              <w:rPr>
                <w:rFonts w:hint="eastAsia" w:ascii="楷体_GB2312" w:hAnsi="楷体_GB2312" w:eastAsia="楷体_GB2312" w:cs="楷体_GB2312"/>
                <w:sz w:val="24"/>
                <w:szCs w:val="24"/>
                <w:highlight w:val="none"/>
                <w:lang w:val="en-US" w:eastAsia="zh-CN"/>
              </w:rPr>
              <w:t xml:space="preserve">   3.旧法第三十八条第四款移至新法第五十八条修改。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第五十八条【法制审核】</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第三十八条第三款在行政机关负责人作出决定之前，应当由从事行政处罚决定审核的人员进行审核。行政机关中初次从事行政处罚决定审核的人员，应当通过国家统一法律职业资格考试取得法律职业资格。</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第五十八条  有下列情形之一，在行政机关负责人作出行政处罚的决定之前，应当由从事行政处罚决定法制审核的人员进行法制审核；未经法制审核或者审核未通过的，不得作出决定: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（一）涉及重大公共利益的；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 xml:space="preserve">（二）直接关系当事人或者第三人重大权益，经过听证程序的； </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（三）案件情况疑难复杂、涉及多个法律关系的；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（四）法律、法规规定应当进行法制审核的其他情形。</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行政机关中初次从事行政处罚决定法制审核的人员，应当通过国家统一法律职业资格考试取得法律职业资格。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与原规定相比，本条规定的行政处罚决定法制审核，限于重大行政处罚决定，而原来的规定还包括一般行政处罚决定。本条吸收了《国务院办公厅关于全面推行行政执法公示制度执法全过程记录制度重大执法决定法制审核制度的指导意见》审核范围等规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审核内容。包括行政执法主体是否合法，行政执法人员是否具备执法资格；行政执法程序是否合法；案件事实是否清楚，证据是否合法充分；适用法律、法规、规章是否准确，裁量基准运用是否适当；执法是否超越执法机关法定权限；行政执法文书是否完备、规范；违法行为是否涉嫌犯罪、需要移送司法机关等。</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法制审核机构完成审核后，要根据不同情形，提出同意或者存在问题的书面审核意见。行政执法承办机构要对法制审核机构提出的存在问题的审核意见进行研究，作出相应处理后再次报送法制审核。行政执法机关主要负责人是推动落实本机关重大执法决定法制审核制度的第一责任人，对本机关作出的行政执法决定负责。</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担任法官、检察官、律师、公证员、法律顾问、仲裁员（法律类）及政府部门中从事行政处罚决定审核、行政复议、行政裁决的人员，应当取得国家统一法律职业资格。法律职业资格考试制度是国家统一组织的选拔合格法律职业人才的国家考试制度。现将司法考试制度调整为国家统一法律职业资格考试制度，实行全国统一组织、统一命题、统一标准、统一录取的考试方式，一年一考。</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第五十九条【行政处罚决定书的内容】</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第三十九条  行政机关依照本法第三十八条的规定给予行政处罚，应当制作行政处罚决定书。行政处罚决定书应当载明下列事项: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（一）当事人的姓名或者名称、地址；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（二）违反法律、法规或者规章的事实和证据；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（三）行政处罚的种类和依据；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（四）行政处罚的履行方式和期限；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（五）不服行政处罚决定，申请行政复议或者提起行政诉讼的途径和期限；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（六）做出行政处罚决定的行政机关名称和作出决定的日期。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行政处罚决定书必须盖有作出行政处罚决定的行政机关的印章。</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第五十九条  行政机关依照本法第五十七条的规定给予行政处罚，应当制作行政处罚决定书。行政处罚决定书应当载明下列事项: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 当事人的姓名或者名称、地址；</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（二）违反法律、法规、规章的事实和证据；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（三）行政处罚的种类和依据；</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（四）行政处罚的履行方式和期限；</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（五）申请行政复议、提起行政诉讼的途径和期限；</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（六）作出行政处罚决定的行政机关名称和作出决定的日期。</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行政处罚决定书必须盖有作出行政处罚决定的行政机关的印章。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本条作了形式修改，删除“不服行政处罚决定”，并不影响实质内容。第二款规定的“印章”也可以是电子印章。</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第六十条【决定期限】</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第六十条  行政机关应当自行政处罚案件立案之日起九十日内作出行政处罚决定。法律、法规、规章另有规定的，从其规定。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以前行政处罚案件没有办理时限，规定九十日的办理时限，是为了体现效率行政的要求。但证券、农业、生态环保等有些领域的案件办理具有一定特殊性，本条为例外规定留了余地。</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第六十一条【送达】</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第四十条  行政处罚决定书应当在宣告后当场交付当事人；当事人不在场的，行政机关应当在七日内依照民事诉讼法的有关规定，将行政处罚决定书送达当事人。</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第六十一条  行政处罚决定书应当在宣告后当场交付当事人；当事人不在场的，行政机关应当在七日内依照《中华人民共和国民事诉讼法》的有关规定，将行政处罚决定书送达当事人。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当事人同意并签订确认书的,行政机关可以采用传真、电子邮件等方式，将行政处罚决定书等送达当事人。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1.送达文书必须有送达回证，由受送达人在送达回证上记明收到日期，签名或者盖章。受送达人在送达回证上的签收日期为送达日期。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送达方式。（1）直接送达。送达文书，应当直接送交受送达人。受送达人是公民的，本人不在交他的同住成年家属签收；受送达人是法人或者其他组织的，应当由法人的法定代表人、其他组织的主要负责人或者该法人、组织负责收件的人签收；受送达人有诉讼代理人的，可以送交其代理人签收；受送达人已向行政机关指定代收人的，送交代收人签收。受送达人的同住成年家属，法人或者其他组织的负责收件的人，诉讼代理人或者代收人在送达回证上签收的日期为送达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留置送达。受送达人或者他的同住成年家属拒绝接收诉讼文书的，送达人可以邀请有关基层组织或者所在单位的代表到场，说明情况，在送达回证上记明拒收事由和日期，由送达人、见证人签名或者盖章，把文书留在受送达人的住所；也可以把文书留在受送达人的住所，并采用拍照、录像等方式记录送达过程，即视为送达。</w:t>
            </w:r>
            <w:r>
              <w:rPr>
                <w:rFonts w:hint="eastAsia" w:ascii="楷体_GB2312" w:hAnsi="楷体_GB2312" w:eastAsia="楷体_GB2312" w:cs="楷体_GB2312"/>
                <w:sz w:val="24"/>
                <w:szCs w:val="24"/>
                <w:highlight w:val="none"/>
                <w:lang w:val="en-US" w:eastAsia="zh-CN"/>
              </w:rPr>
              <w:br w:type="textWrapping"/>
            </w:r>
            <w:r>
              <w:rPr>
                <w:rFonts w:hint="eastAsia" w:ascii="楷体_GB2312" w:hAnsi="楷体_GB2312" w:eastAsia="楷体_GB2312" w:cs="楷体_GB2312"/>
                <w:sz w:val="24"/>
                <w:szCs w:val="24"/>
                <w:highlight w:val="none"/>
                <w:lang w:val="en-US" w:eastAsia="zh-CN"/>
              </w:rPr>
              <w:t xml:space="preserve">    （3） 委托送达。直接送达文书有困难的，可以委托其他机关代为送达。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 邮寄送达。邮寄送达的，以回执上注明的收件日期为送达日期。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（5）转交送达。受送达人是军人的，通过其所在部队团以上单位的政治机关转交。受送达人被监禁的，通过其所在监所转交。受送达人被采取强制性教育措施的，通过其所在强制性教育机构转交。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（6） 公告送达。受送达人下落不明，或者用其他方式无法送达的，公告送达。自发出公告之日起，经过六十日，即视为送达。公告送达，应当在案卷中记明原因和经过。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3.第二款引入了“送达确认书”，既可以邮寄送达，可以通过传真、电子邮件等方式送达，提高了送达效率。以传真、电子邮件等到达受送达人特定系统的日期为送达日期。</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第六十二条【处罚的成立条件】</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第四十一条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根据本法第三十八条第二款，违反法定程序构成重大且明显违法的，行政处罚无效。第四十四条、第四十五条规定的告知、陈述、申辩属于重要法定程序，没有这些程序的，行政处罚无效。</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第四节 听证程序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第六十三条【听证权】</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第四十二条  行政机关作出责令停产停业、吊销许可证或者执照、较大数额罚款等行政处罚决定之前，应当告知当事人有要求举行听证的权利；当事人要求听证的，行政机关应当组织听证。当事人不承担行政机关组织听证的费用。听证依照以下程序组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（一）当事人要求听证的，应当在行政机关告知后三日内提出；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 行政机关应当在听证的七日前，通知当事人举行听证的时间、地点；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（三）除涉及国家秘密、商业秘密或者个人隐私外，听证公开举行；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 听证由行政机关指定的非本案调查人员主持；当事人认为主持人与本案有真接利害关系的，有权申请回避；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 当事人可以亲自参加听证，也可以委托一至二人代理；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（六）举行听证时，调查人员提出当事人违法的事实、证据和行政处罚建议；当事人进行申辩和质证；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（七）听证应当制作笔录；笔录应当交当事人审核无误后签字或者盖章。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当事人对限制人身自由的行政处罚有异议的，依照治安管理处罚法有关规定执行。</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第六十三条  行政机关拟作出下列行政处罚决定，应当告知当事人有要求听证的权利，当事人要求听证的，行政机关应当组织听证: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（一）较大数额罚款；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（二）没收较大数额违法所得、没收较大价值非法财物；</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（三）降低资质等级、吊销许可证件；</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（四）责令停产停业、责令关闭、限制从业；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（五）其他较重的行政处罚；</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（六）法律、法规、规章规定的其他情形。</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当事人不承担行政机关组织听证的费用。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增加的第二项规定来源于《最高人民法院关于没收财产是否应进行听证及没收经营药品行为等有关法律问题的答复》，其规定:行政机关作出没收较大数额财产的行政处罚决定前，未告知当事人有权要求举行听证或者未按规定举行听证的，应当根据《行政处罚法》的有关规定，确认该行政处罚决定违反法定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2.增加的“降低资质等级、责令关闭、限制从业”都是第九条新增的行政处罚类型，对当事人构成了资格准入或者营业限制，属于严重的侵益性行为。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3.“其他较重的行政处罚”是包容性规定，可以指行政拘留等。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4、旧法第四十二条第二款移至新法第六十四条修改，删除了第四十二条第三款内容。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第六十四条【听证程序】</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第四十二条  第一款第三句听证依照以下程序组织: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（一）当事人要求听证的，应当在行政机关告知后三日内提出；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（二）行政机关应当在听证的七日前，通知当事人举行听证的时间、地点；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（三）除涉及国家秘密、商业秘密或者个人隐私外，听证公开举行；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（四）听证由行政机关指定的非本案调查人员主持；当事人认为主持人与本案有直接利害关系的，有权申请回避；</w:t>
            </w:r>
            <w:r>
              <w:rPr>
                <w:rFonts w:hint="eastAsia" w:ascii="方正仿宋简体" w:hAnsi="方正仿宋简体" w:eastAsia="方正仿宋简体" w:cs="方正仿宋简体"/>
                <w:sz w:val="24"/>
                <w:szCs w:val="24"/>
                <w:highlight w:val="none"/>
                <w:lang w:val="en-US" w:eastAsia="zh-CN"/>
              </w:rPr>
              <w:br w:type="textWrapping"/>
            </w:r>
            <w:r>
              <w:rPr>
                <w:rFonts w:hint="eastAsia" w:ascii="方正仿宋简体" w:hAnsi="方正仿宋简体" w:eastAsia="方正仿宋简体" w:cs="方正仿宋简体"/>
                <w:sz w:val="24"/>
                <w:szCs w:val="24"/>
                <w:highlight w:val="none"/>
                <w:lang w:val="en-US" w:eastAsia="zh-CN"/>
              </w:rPr>
              <w:t>（五）当事人可以亲自参加听证，也可以委托一至二人代理；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（六）举行听证时，调查人员提出当事人违法的事实、证据和行政处罚建议；当事人进行申辩和质证；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（七）听证应当制作笔录；笔录应当交当事人审核无误后签字或者盖章。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第六十四条  听证应当依照以下程序组织:</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（一）当事人要求听证的，应当在行政机关告知后五日内提出；</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（二）行政机关应当在举行听证的七日前，通知当事人及有关人员听证的时间、地点；</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（三）除涉及国家秘密、商业秘密或者个人隐私依法予以保密外，听证公开举行；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（四）听证由行政机关指定的非本案调查人员主持；当事人认为主持人与本案有直接利害关系的，有权申请回避；</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（五）当事人可以亲自参加听证，也可以委托一至二人代理；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（六）当事人及其代理人无正当理由拒不出席听证或者未经许可中途退出听证的，视为放弃听证权利，行政机关终止听证；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（七）举行听证时，调查人员提出当事人违法的事实、证据和行政处罚建议，当事人进行申辩和质证；</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（八）听证应当制作笔录。笔录应当交当事人或者其代理人核对无误后签字或者盖章。当事人或者其代理人拒绝签字或者盖章的，由听证主持人在笔录中注明。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当事人要求听证的，提出时间由“在行政机关告知后三日内”改为“五日内”，是为了给当事人更多的准备时间。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2.增加第六项的目的是提高行政效率。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3.针对实践中当事人或者代理人拒绝签字的问题，本条第八项以听证主持人注明作为应对措施，也体现了效率原则。</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第六十五条【听证笔录】</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第四十三条  听证结束后，行政机关依照本法第三十八条的规定，作出决定。</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第六十五  条听证结束后，行政机关应当根据听证笔录，依照本法第五十七条的规定，作出决定。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以前听证笔录仅仅是作出行政处罚决定的参考因素，本次修改明确听证笔录是作出行政处罚决定的依据，为重大修改。</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第六章 行政处罚的执行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第六十六条【履行义务与分期履行】</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第四十四条  行政处罚决定依法作出后，当事人应当在行政处罚决定的期限内，予以履行。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第五十二条  当事人确有经济困难，需要延期或者分期缴纳罚款的，经当事人申请和行政机关批准，可以暂缓或者分期缴纳。</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第六十六条  行政处罚决定依法作出后，当事人应当在行政处罚决定书载明的期限内，予以履行。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当事人确有经济困难，需要延期或者分期缴纳罚款的，经当事人申请和行政机关批准，可以暂缓或者分期缴纳。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本次修订增加“书载明”，是为了避免表达的歧义。“ 确有经济困难”需要具体情况具体分析，“当事人”既包括公民，也包括大型企业、其他组织等，对于反垄断等领域的巨额罚款，如何适用本条，还需要结合实际情况处理。</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第六十七条【罚缴分离原则】</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第四十六条  作出罚款决定的行政机关应当与收缴罚款的机构分离。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除依照本法第四十七条、第四十八条的规定当场收缴的罚款外，作出行政处罚决定的行政机关及其执法人员不得自行收缴罚款。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当事人应当自收到行政处罚决定书之日起十五日内，到指定的银行缴纳罚款。银行应当收受罚款，并将罚款直接上缴国库。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第六十三条  本法第四十六条罚款决定与罚款收缴分离的规定，由国务院制定具体实施办法。</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第六十七条  作出罚款决定的行政机关应当与收缴罚款的机构分离。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除依照本法第六十八条、第六十九条的规定当场收缴的罚款外，作出行政处罚决定的行政机关及其执法人员不得自行收缴罚款。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当事人应当自收到行政处罚决定书之日起十五日内，到指定的银行或者通过电子支付系统缴纳罚款。银行应当收受罚款，并将罚款直接上缴国库。</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1.本条增加的“通过电子支付系统”是应信息社会要求的重大调整。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为了实施罚款决定与罚款收缴分离，加强对罚款收缴活动的监督，保证罚款及时上缴国库，国务院1997年出台了《罚款决定与罚款收缴分离实施办法》，因此，本次修改删除了原第六十三条。进一步细化规定，参见财政部《罚没财物管理办法》（财税【2020】 54号）。</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第六十八条【当场收缴罚款范围】</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第四十七条  依照本法第三十三条的规定当场作出行政处罚决定，有下列情形之一的，执法人员可以当场收缴罚款: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 依法给予二十元以下的罚款的；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（二）不当场收缴事后难以执行的。</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第六十八条  依照本法第五十一条的规定当场作出行政处罚决定，有下列情形之一，执法人员可以当场收缴罚款: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（一）依法给予一百元以下罚款的；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（二）不当场收缴事后难以执行的。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本条将当场收缴罚款的范围从“二十元”提高到“一百元”，既为了适应时代变化的需要，也从规范和监督行政权力的角度作了考量。</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第六十九条【边远地区当场收缴罚款】</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第四十八条  在边远、水上、交通不便地区，行政机关及其执法人员依照本法第三十三条、第三十八条的规定作出罚款决定后，当事人向指定的银行缴纳罚款确有困难，经当事人提出，行政机关及其执法人员可以当场收缴罚款。</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12" w:firstLineChars="200"/>
              <w:jc w:val="both"/>
              <w:textAlignment w:val="auto"/>
              <w:rPr>
                <w:rFonts w:hint="eastAsia" w:ascii="方正仿宋简体" w:hAnsi="方正仿宋简体" w:eastAsia="方正仿宋简体" w:cs="方正仿宋简体"/>
                <w:spacing w:val="-17"/>
                <w:sz w:val="24"/>
                <w:szCs w:val="24"/>
                <w:highlight w:val="none"/>
                <w:lang w:val="en-US" w:eastAsia="zh-CN"/>
              </w:rPr>
            </w:pPr>
            <w:r>
              <w:rPr>
                <w:rFonts w:hint="eastAsia" w:ascii="方正仿宋简体" w:hAnsi="方正仿宋简体" w:eastAsia="方正仿宋简体" w:cs="方正仿宋简体"/>
                <w:spacing w:val="-17"/>
                <w:sz w:val="24"/>
                <w:szCs w:val="24"/>
                <w:highlight w:val="none"/>
                <w:lang w:val="en-US" w:eastAsia="zh-CN"/>
              </w:rPr>
              <w:t>第六十九条  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本条增加的“通过电子支付系统”是应信息社会要求的重大调整。</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第七十条【罚款票据】</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第四十九条  行政机关及其执法人员当场收缴罚款的，必须向当事人出具省、自治区、直辖市财政部门统一制发的罚款收据；不出具财政部门统一制发的罚款收据的，当事人有权拒绝缴纳罚款。</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第七十条  行政机关及其执法人员当场收缴罚款的，必须向当事人出具国务院财政部门或者省、自治区、直辖市人民政府财政部门统一制发的专用票据；不出具财政部门统一制发的专用票据的，当事人有权拒绝缴纳罚款。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本条规定的目的是强化对罚款收入的财政监控，同时，也通过“专用票据”加强行政处罚的规范化建设，规范行政处罚行为。</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第七十一条【罚款交纳期】</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第五十条  执法人员当场收缴的罚款，应当自收缴罚款之日起二日内，交至行政机关；在水上当场收缴的罚款，应当自抵岸之日起二日内交至行政机关；行政机关应当在二日内将罚款缴付指定的银行。</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第七十一条  执法人员当场收缴的罚款，应当自收缴罚款之日起二日内，交至行政机关；在水上当场收缴的罚款，应当自抵岸之日起二日内交至行政机关；行政机关应当在二日内将罚款缴付指定的银行。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当场缴纳罚款是代收罚款的性质，因此，本条通过区分不同情况，作了严格的时间限制。</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第七十二条【执行措施】</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第五十一条  当事人逾期不履行行政处罚决定的，作出行政处罚决定的行政机关可以采取下列措施: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（一）到期不缴纳罚款的，每日按罚款数额的百分之三加处罚款；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（二）根据法律规定，将查封、扣押的财物拍卖或者将冻结的存款划拨抵缴罚款；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（三）申请人民法院强制执行。</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第七十二条  当事人逾期不履行行政处罚决定的，作出行政处罚决定的行政机关可以采取下列措施：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（一）到期不缴纳罚款的，每日按罚款数额的百分之三加处罚款，加处罚款的数额不得超出罚款的数额；</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（二）根据法律规定，将查封、扣押的财物拍卖、依法处理或者将冻结的存款、汇款划拨抵缴罚款；</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（三）根据法律规定，采取其他行政强制执行方式；</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（四）依照《中华人民共和国行政强制法》的规定申请人民法院强制执行。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行政机关批准延期、分期缴纳罚款的，申请人民法院强制执行的期限，自暂缓或者分期缴纳罚款期限结束之日起计算。</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 加处罚款的性质为行政强制执行。《行政强制法》第十二条规定了行政强制执行的方式包括加处罚款，第四十五条规定了加处罚款或者滞纳金的数额不得超出金钱给付义务的数额。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2.第二项根据《行政强制法》第十二条作了修改。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3.行政强制执行由法律设定。法律没有规定行政机关强制执行的，作出行政决定的行政机关应当申请人民法院强制执行。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4.第二款是将第六十六条的情况考虑进来，更加周延一些。</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第七十三条【不停止执行及暂缓执行】</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第四十五条  当事人对行政处罚决定不服申请行政复议或者提起行政诉讼的，行政处罚不停止执行，法律另有规定的除外。</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第七十三条  当事人对行政处罚决定不服，申请行政复议或者提起行政诉讼的，行政处罚不停止执行，法律另有规定的除外。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当事人对限制人身自由的行政处罚决定不服，申请行政复议或者提起行政诉讼的，可以向作出决定的机关提出暂缓执行申请。符合法律规定情形的，应当暂缓执行。</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当事人申请行政复议或者提起行政诉讼的，加处罚款的数额在行政复议或者行政诉讼期间不予计算。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1.行政处罚决定一经作出，就具有法律效力。行政机关的处罚决定不停止执行，是为了使行政管理制度处于稳定的状态，避免因行政复议和诉讼导致行政处罚决定处罚不稳定状态。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2.考虑到人身自由权为《宪法》第三十七条所保护的基本权利，本条第二款规定了暂缓执行的例外。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3.加处罚款不同于行政处罚决定，为行政强制执行措施，目的是执行行政处罚决定，加处罚款的数额在行政复议或者行政诉讼期间不予计算，妥善处理了当事人合法权益与有效实施行政管理的关系。</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第七十四条【没收的非法财物的处理】</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第五十三条  除依法应当予以销毁的物品外，依法没收的非法财物必须按照国家规定公开拍卖或者按照国家有关规定处理。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第七十四条  除依法应当予以销毁的物品外，依法没收的非法财物必须按照国家规定公开拍卖或者按照国家有关规定处理。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罚款、没收的违法所得或者没收非法财物拍卖的款项，必须全部上缴国库，任何行政机关或者个人不得以任何形式截留、私分或者变相私分。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1.增加的第三款第一句是为了防止行政执法人员利益驱动，异化行政处罚的管理目的。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2.增加的“ 除依法应当退还、退赔的外”为衔接性规定，本法第二十八条规定了责令退赔，从程序上，责令退赔由财政部门退作出行政处罚决定的行政机关，再由该行政机关向权利人返还。</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第七十五条【监督检查】</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第五十四条  行政机关应当建立健全对行政处罚的监督制度。县级以上人民政府应当加强对行政处罚的监督检查。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公民、法人或者其他组织对行政机关作出的行政处罚，有权申诉或者检举；行政机关应当认真审查，发现行政处罚有错误的,应当主动改正。</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第七十五条  行政机关应当建立健全对行政处罚的监督制度。县级以上人民政府应当定期组织开展行政执法评议、考核，加强对行政处罚的监督检查，规范和保障行政处罚的实施。</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行政机关实施行政处罚应当接受社会监督。公民、法人或者其他组织对行政机关实施行政处罚的行为，有权申诉或者检举；行政机关应当认真审查，发现有错误的，应当主动改正。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1.依职权行政处罚监督。第一款吸收了《国务院办公厅关于推行行政执法责任制的若干意见》关于“建立健全行政执法评议考核机制”的规定。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 依申请行政处罚监督。增加的“行政机关实施行政处罚应当接受社会监督”实为对原第二款的提炼概括。</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第七章  法律责任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第七十六条【上级行政机关的监督】</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第五十五条  行政机关实施行政处罚，有下列情形之一的，由上级行政机关或者有关部门责令改正，可以对直接负责的主管人员和其他直接责任人员依法给予行政处分: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（一）没有法定的行政处罚依据的；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（二）擅自改变行政处罚种类、幅度的；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（三）违反法定的行政处罚程序的；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（四）违反本法第十八条关于委托处罚的规定的。</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第七十六条  行政机关实施行政处罚，有下列情形之一，由上级行政机关或者有关机关责令改正，对直接负责的主管人员和其他直接责任人员依法给予处分:</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（一）没有法定的行政处罚依据的；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（二）擅自改变行政处罚种类、幅度的；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（三）违反法定的行政处罚程序的；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（四）违反本法第二十条关于委托处罚的规定的；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（五）执法人员未取得执法证件的。</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行政机关对符合立案标准的案件不及时立案的，依照前款规定予以处理。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将“行政处分”改为“处分”，《公职人员政务处分法》第二条规定:“本法适用于监察机关对违法的公职人员给予政务处分的活动。本法第二章、第三章适用于公职人员任免机关、单位对违法的公职人员予以处分。处分的程序、申诉等适用其他法律、行政法规、国务院部门规章和国家有关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2.第二款规定需要与本法第五十四条“符合立案标准的，行政机关应当及时立案”的规定结合起来理解。</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第七十七条【当事人的拒绝处罚权及检举权】</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第五十六条  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罚款和没收的财务属于国家所有，行政机关应当将其上缴国库。本法第七十条已经强化了票据管理，必须是国务院财政部门或者省、自治区、直辖市人民政府财政部门统一制发的专用票据。赋予当事人的检举权，有助于加强对行政执法人员的监督。将“行政处分”改为“处分”， 理由同第七十六条。</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第七十八条【自行收缴罚款的处理】</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第五十七条  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增加的“没收的违法所得”是对法律漏洞的填补。罚款决定与罚款收缴分离是基本规定，本法第六十八条是例外规定，行政机关不能将罚款充作经费，作为创收的手段。行政机关执法所需经费的拨付，按照国家有关规定执行。财政部门不得将行政机关的罚款、没收违法所得或者拍卖款项，与行政机关的经费挂钩或者变相挂钩。如果有关机关违反这些基本规定，则行政处罚将丧失基本的监管功能，且带来不良社会影响，因此，本条规定了责任条款。将“行政处分”改为“处分”，理由同第七十六条。</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第七十九条【私分罚没财物的处理】</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第五十八条  行政机关将罚款、没收的违法所得或者财物截留、私分或者变相私分的，由财政部门或者有关部门予以追缴，对直接负责的主管人员和其他直接责任人员依法给予行政处分；情节严重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执法人员利用职务上的便利,索取或者收受他人财物、收缴罚款据为己有，构成犯罪的，依法追究刑事责任；情节轻微不构成犯罪的，依法给予行政处分。</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执法人员利用职务上的便利，索取或者收受他人财物、将收缴罚款据为己有，构成犯罪的，依法追究刑事责任；情节轻微不构成犯罪的，依法给予处分。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本条第一款在表达上作了调整，没有实质变化。将“行政处分”改为“处分”，理由同第七十六条。</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第八十条【行政机关的赔偿责任及对有关人员的处理】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9"/>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0" w:type="auto"/>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第五十九条  行政机关使用或者损毁扣押的财物，对当事人造成损失的，应当依法予以赔偿，对直接负责的主管人员和其他直接责任人员依法给予行政处分。</w:t>
            </w:r>
          </w:p>
        </w:tc>
        <w:tc>
          <w:tcPr>
            <w:tcW w:w="0" w:type="auto"/>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第八十条  行政机关使用或者损毁查封、扣押的财物，对当事人造成损失的，应当依法予以赔偿，对直接负责的主管人员和其他直接责任人员依法给予处分。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0" w:type="auto"/>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本条增加“查封”，补充了法律漏洞，并与《行政强制法》的有关规定保持一致。将“行政处分”改为“处分”，理由同第七十六条。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关于赔偿，需要援引适用《国家赔偿法》的有关规定。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第八十一条【违法实行检查或执行措施的赔偿责任】</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第六十条  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lang w:val="en-US" w:eastAsia="zh-CN"/>
              </w:rPr>
              <w:t>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本条第一款在表达上作了调整，没有实质变化。将“行政处分”改为“处分”，理由同第七十六条。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关于赔偿，需要援引适用《国家赔偿法》的有关规定。</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第八十二条【以行代刑的责任】</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第六十一条  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1.公职人员任免机关、单位对违法的公职人员给予处分。处分的程序、申诉等适用《公职人员政务处分法》等法律，《行政机关公务员处分条例》等行政法规，国务院部门规章和国家有关规定。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2.《刑法修正案（十一）》规定了负有食品药品安全监督管理职责的国家机关工作人员，滥用职权或者玩忽职守，依法应当移交司法机关追究刑事责任不移交的，应承担刑事责任。</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第八十三条【失职责任】</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第六十二条  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本次修改删除了“ 玩忽职守”，实际提高了对行政机关的要求，对应当予以制止和处罚的违法行为不予制止、处罚的原因，不限于“玩忽职守”，滥用职权等也可以是原因。</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第八章  附则</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第八十四条【属地原则】</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第八十四条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外国人、 无国籍人、外国组织在中华人民共和国领域内有违法行为，应当给予行政处罚的，适用本法，法律另有规定的除外。</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2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rPr>
              <w:t>关于《行政处罚法》行政处罚的规定是否适用外国人，全国人大常委会法制工作委员会1997年1月3日已经作出答复，内容如上。一般来讲，中国驻外使领馆、航空器、船舶可以被认定为中国“领域内”。</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第八十五条 【工作日】</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新增条文</w:t>
            </w:r>
          </w:p>
        </w:tc>
        <w:tc>
          <w:tcPr>
            <w:tcW w:w="2500" w:type="pct"/>
          </w:tcPr>
          <w:p>
            <w:pPr>
              <w:keepNext w:val="0"/>
              <w:keepLines w:val="0"/>
              <w:pageBreakBefore w:val="0"/>
              <w:widowControl w:val="0"/>
              <w:kinsoku/>
              <w:wordWrap/>
              <w:overflowPunct/>
              <w:topLinePunct w:val="0"/>
              <w:autoSpaceDE/>
              <w:autoSpaceDN/>
              <w:bidi w:val="0"/>
              <w:adjustRightInd w:val="0"/>
              <w:snapToGrid/>
              <w:spacing w:line="38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rPr>
              <w:t>第八十五条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本法中“二日”“三日”“五日”“七日”的规定是指工作日，不含法定节假日。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38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38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rPr>
              <w:t>在立法中，“日”和“工作日”在法律时限中的区别是:“日”包含节假日，“工作日”不包含节假日。对于限制公民人身自由或者行使权力可能严重影响公民、法人和其他组织的其他权利的，应当用“日”，不用“工作日”。</w:t>
            </w:r>
          </w:p>
          <w:p>
            <w:pPr>
              <w:keepNext w:val="0"/>
              <w:keepLines w:val="0"/>
              <w:pageBreakBefore w:val="0"/>
              <w:widowControl w:val="0"/>
              <w:kinsoku/>
              <w:wordWrap/>
              <w:overflowPunct/>
              <w:topLinePunct w:val="0"/>
              <w:autoSpaceDE/>
              <w:autoSpaceDN/>
              <w:bidi w:val="0"/>
              <w:adjustRightInd w:val="0"/>
              <w:snapToGrid/>
              <w:spacing w:line="38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rPr>
              <w:t>休息日不是节假日。《国务院关于职工工作时间的规定》第七条第一款规定:“国家机关、事业单位实行统一的工作时间，星期六和星期日为周休息日。”</w:t>
            </w:r>
          </w:p>
          <w:p>
            <w:pPr>
              <w:keepNext w:val="0"/>
              <w:keepLines w:val="0"/>
              <w:pageBreakBefore w:val="0"/>
              <w:widowControl w:val="0"/>
              <w:kinsoku/>
              <w:wordWrap/>
              <w:overflowPunct/>
              <w:topLinePunct w:val="0"/>
              <w:autoSpaceDE/>
              <w:autoSpaceDN/>
              <w:bidi w:val="0"/>
              <w:adjustRightInd w:val="0"/>
              <w:snapToGrid/>
              <w:spacing w:line="38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rPr>
              <w:t>《行政强制法》 第六十九条规定:“本法中十日以内期限的规定是指工作日，不含法定节假日。”《行政复议法》第四十条第二款规定:</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本法关于行政复议期间有关‘五日’</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七日’的规定是指工作日，不含节假日。”但行政许可的时间计算有所不同，《行政许可法》第八十二条规定:</w:t>
            </w:r>
            <w:r>
              <w:rPr>
                <w:rFonts w:hint="eastAsia" w:ascii="楷体_GB2312" w:hAnsi="楷体_GB2312" w:eastAsia="楷体_GB2312" w:cs="楷体_GB2312"/>
                <w:sz w:val="24"/>
                <w:szCs w:val="24"/>
                <w:highlight w:val="none"/>
                <w:lang w:eastAsia="zh-CN"/>
              </w:rPr>
              <w:t>“</w:t>
            </w:r>
            <w:r>
              <w:rPr>
                <w:rFonts w:hint="eastAsia" w:ascii="楷体_GB2312" w:hAnsi="楷体_GB2312" w:eastAsia="楷体_GB2312" w:cs="楷体_GB2312"/>
                <w:sz w:val="24"/>
                <w:szCs w:val="24"/>
                <w:highlight w:val="none"/>
              </w:rPr>
              <w:t>本法规定的行政机关实施行政许可的期限以工作日计算，不含法定节假日。</w:t>
            </w:r>
            <w:r>
              <w:rPr>
                <w:rFonts w:hint="eastAsia" w:ascii="楷体_GB2312" w:hAnsi="楷体_GB2312" w:eastAsia="楷体_GB2312" w:cs="楷体_GB2312"/>
                <w:sz w:val="24"/>
                <w:szCs w:val="24"/>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第八十六条 【施行日期】</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8"/>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旧</w:t>
            </w:r>
            <w:r>
              <w:rPr>
                <w:rFonts w:hint="eastAsia" w:ascii="方正仿宋简体" w:hAnsi="方正仿宋简体" w:eastAsia="方正仿宋简体" w:cs="方正仿宋简体"/>
                <w:sz w:val="24"/>
                <w:szCs w:val="24"/>
                <w:highlight w:val="none"/>
                <w:vertAlign w:val="baseline"/>
                <w:lang w:val="en-US" w:eastAsia="zh-CN"/>
              </w:rPr>
              <w:t>法</w:t>
            </w:r>
          </w:p>
        </w:tc>
        <w:tc>
          <w:tcPr>
            <w:tcW w:w="2500" w:type="pct"/>
            <w:vAlign w:val="center"/>
          </w:tcPr>
          <w:p>
            <w:pPr>
              <w:keepNext w:val="0"/>
              <w:keepLines w:val="0"/>
              <w:pageBreakBefore w:val="0"/>
              <w:widowControl w:val="0"/>
              <w:kinsoku/>
              <w:wordWrap/>
              <w:overflowPunct/>
              <w:topLinePunct w:val="0"/>
              <w:autoSpaceDE/>
              <w:autoSpaceDN/>
              <w:bidi w:val="0"/>
              <w:adjustRightInd w:val="0"/>
              <w:snapToGrid/>
              <w:spacing w:line="420" w:lineRule="exact"/>
              <w:ind w:right="0" w:rightChars="0"/>
              <w:jc w:val="center"/>
              <w:textAlignment w:val="auto"/>
              <w:rPr>
                <w:rFonts w:hint="eastAsia" w:ascii="方正仿宋简体" w:hAnsi="方正仿宋简体" w:eastAsia="方正仿宋简体" w:cs="方正仿宋简体"/>
                <w:sz w:val="24"/>
                <w:szCs w:val="24"/>
                <w:highlight w:val="none"/>
                <w:vertAlign w:val="baseline"/>
                <w:lang w:eastAsia="zh-CN"/>
              </w:rPr>
            </w:pPr>
            <w:r>
              <w:rPr>
                <w:rFonts w:hint="eastAsia" w:ascii="方正仿宋简体" w:hAnsi="方正仿宋简体" w:eastAsia="方正仿宋简体" w:cs="方正仿宋简体"/>
                <w:sz w:val="24"/>
                <w:szCs w:val="24"/>
                <w:highlight w:val="none"/>
                <w:vertAlign w:val="baseline"/>
                <w:lang w:eastAsia="zh-CN"/>
              </w:rPr>
              <w:t>新</w:t>
            </w:r>
            <w:r>
              <w:rPr>
                <w:rFonts w:hint="eastAsia" w:ascii="方正仿宋简体" w:hAnsi="方正仿宋简体" w:eastAsia="方正仿宋简体" w:cs="方正仿宋简体"/>
                <w:sz w:val="24"/>
                <w:szCs w:val="24"/>
                <w:highlight w:val="none"/>
                <w:vertAlign w:val="baseline"/>
                <w:lang w:val="en-US" w:eastAsia="zh-CN"/>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50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第六十四条</w:t>
            </w: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本法自 1996年10月1日起施行。</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rPr>
              <w:t>本法公布前制定的法规和规章</w:t>
            </w:r>
            <w:r>
              <w:rPr>
                <w:rFonts w:hint="eastAsia" w:ascii="方正仿宋简体" w:hAnsi="方正仿宋简体" w:eastAsia="方正仿宋简体" w:cs="方正仿宋简体"/>
                <w:sz w:val="24"/>
                <w:szCs w:val="24"/>
                <w:highlight w:val="none"/>
                <w:lang w:eastAsia="zh-CN"/>
              </w:rPr>
              <w:t>关于</w:t>
            </w:r>
            <w:r>
              <w:rPr>
                <w:rFonts w:hint="eastAsia" w:ascii="方正仿宋简体" w:hAnsi="方正仿宋简体" w:eastAsia="方正仿宋简体" w:cs="方正仿宋简体"/>
                <w:sz w:val="24"/>
                <w:szCs w:val="24"/>
                <w:highlight w:val="none"/>
              </w:rPr>
              <w:t>行政处罚的规定与本法不符合的，应当自本法公布之</w:t>
            </w:r>
            <w:r>
              <w:rPr>
                <w:rFonts w:hint="eastAsia" w:ascii="方正仿宋简体" w:hAnsi="方正仿宋简体" w:eastAsia="方正仿宋简体" w:cs="方正仿宋简体"/>
                <w:sz w:val="24"/>
                <w:szCs w:val="24"/>
                <w:highlight w:val="none"/>
                <w:lang w:eastAsia="zh-CN"/>
              </w:rPr>
              <w:t>日</w:t>
            </w:r>
            <w:r>
              <w:rPr>
                <w:rFonts w:hint="eastAsia" w:ascii="方正仿宋简体" w:hAnsi="方正仿宋简体" w:eastAsia="方正仿宋简体" w:cs="方正仿宋简体"/>
                <w:sz w:val="24"/>
                <w:szCs w:val="24"/>
                <w:highlight w:val="none"/>
              </w:rPr>
              <w:t>起，依照本法规定</w:t>
            </w:r>
            <w:r>
              <w:rPr>
                <w:rFonts w:hint="eastAsia" w:ascii="方正仿宋简体" w:hAnsi="方正仿宋简体" w:eastAsia="方正仿宋简体" w:cs="方正仿宋简体"/>
                <w:sz w:val="24"/>
                <w:szCs w:val="24"/>
                <w:highlight w:val="none"/>
                <w:lang w:eastAsia="zh-CN"/>
              </w:rPr>
              <w:t>予</w:t>
            </w:r>
            <w:r>
              <w:rPr>
                <w:rFonts w:hint="eastAsia" w:ascii="方正仿宋简体" w:hAnsi="方正仿宋简体" w:eastAsia="方正仿宋简体" w:cs="方正仿宋简体"/>
                <w:sz w:val="24"/>
                <w:szCs w:val="24"/>
                <w:highlight w:val="none"/>
              </w:rPr>
              <w:t>以修订，在1997年12月31日前修订完毕。</w:t>
            </w:r>
          </w:p>
        </w:tc>
        <w:tc>
          <w:tcPr>
            <w:tcW w:w="2500" w:type="pct"/>
          </w:tcPr>
          <w:p>
            <w:pPr>
              <w:keepNext w:val="0"/>
              <w:keepLines w:val="0"/>
              <w:pageBreakBefore w:val="0"/>
              <w:widowControl w:val="0"/>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vertAlign w:val="baseline"/>
                <w:lang w:val="en-US" w:eastAsia="zh-CN"/>
              </w:rPr>
            </w:pPr>
            <w:r>
              <w:rPr>
                <w:rFonts w:hint="eastAsia" w:ascii="方正仿宋简体" w:hAnsi="方正仿宋简体" w:eastAsia="方正仿宋简体" w:cs="方正仿宋简体"/>
                <w:sz w:val="24"/>
                <w:szCs w:val="24"/>
                <w:highlight w:val="none"/>
              </w:rPr>
              <w:t>第八十</w:t>
            </w:r>
            <w:r>
              <w:rPr>
                <w:rFonts w:hint="eastAsia" w:ascii="方正仿宋简体" w:hAnsi="方正仿宋简体" w:eastAsia="方正仿宋简体" w:cs="方正仿宋简体"/>
                <w:sz w:val="24"/>
                <w:szCs w:val="24"/>
                <w:highlight w:val="none"/>
                <w:lang w:eastAsia="zh-CN"/>
              </w:rPr>
              <w:t>六条</w:t>
            </w:r>
            <w:r>
              <w:rPr>
                <w:rFonts w:hint="eastAsia" w:ascii="方正仿宋简体" w:hAnsi="方正仿宋简体" w:eastAsia="方正仿宋简体" w:cs="方正仿宋简体"/>
                <w:sz w:val="24"/>
                <w:szCs w:val="24"/>
                <w:highlight w:val="none"/>
                <w:lang w:val="en-US" w:eastAsia="zh-CN"/>
              </w:rPr>
              <w:t xml:space="preserve"> 本法自2021年7月15日起施行。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000" w:type="pct"/>
            <w:gridSpan w:val="2"/>
            <w:shd w:val="clear" w:color="auto" w:fill="E7E6E6" w:themeFill="background2"/>
          </w:tcPr>
          <w:p>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val="en-US" w:eastAsia="zh-CN"/>
              </w:rPr>
              <w:t>重点解读：</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480" w:firstLineChars="200"/>
              <w:jc w:val="both"/>
              <w:textAlignment w:val="auto"/>
              <w:rPr>
                <w:rFonts w:hint="eastAsia" w:ascii="楷体_GB2312" w:hAnsi="楷体_GB2312" w:eastAsia="楷体_GB2312" w:cs="楷体_GB2312"/>
                <w:sz w:val="24"/>
                <w:szCs w:val="24"/>
                <w:highlight w:val="none"/>
                <w:lang w:val="en-US" w:eastAsia="zh-CN"/>
              </w:rPr>
            </w:pPr>
            <w:r>
              <w:rPr>
                <w:rFonts w:hint="eastAsia" w:ascii="楷体_GB2312" w:hAnsi="楷体_GB2312" w:eastAsia="楷体_GB2312" w:cs="楷体_GB2312"/>
                <w:sz w:val="24"/>
                <w:szCs w:val="24"/>
                <w:highlight w:val="none"/>
                <w:lang w:eastAsia="zh-CN"/>
              </w:rPr>
              <w:t>本条删除原条文第二款是因为原法的相关清理工作已经结束。</w:t>
            </w:r>
          </w:p>
        </w:tc>
      </w:tr>
    </w:tbl>
    <w:p>
      <w:pPr>
        <w:keepNext w:val="0"/>
        <w:keepLines w:val="0"/>
        <w:pageBreakBefore w:val="0"/>
        <w:widowControl w:val="0"/>
        <w:kinsoku/>
        <w:wordWrap/>
        <w:overflowPunct/>
        <w:topLinePunct w:val="0"/>
        <w:autoSpaceDE/>
        <w:autoSpaceDN/>
        <w:bidi w:val="0"/>
        <w:snapToGrid/>
        <w:spacing w:line="420" w:lineRule="exact"/>
        <w:jc w:val="center"/>
        <w:textAlignment w:val="auto"/>
        <w:rPr>
          <w:rFonts w:hint="eastAsia" w:eastAsia="方正小标宋简体" w:asciiTheme="minorAscii" w:hAnsiTheme="minorAscii" w:cstheme="minorBidi"/>
          <w:kern w:val="44"/>
          <w:sz w:val="2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660" w:lineRule="exact"/>
        <w:textAlignment w:val="auto"/>
        <w:rPr>
          <w:rFonts w:hint="eastAsia"/>
          <w:sz w:val="44"/>
          <w:szCs w:val="44"/>
          <w:highlight w:val="none"/>
          <w:lang w:val="en-US" w:eastAsia="zh-CN"/>
        </w:rPr>
      </w:pPr>
      <w:r>
        <w:rPr>
          <w:rFonts w:hint="eastAsia"/>
          <w:sz w:val="44"/>
          <w:szCs w:val="44"/>
          <w:highlight w:val="none"/>
          <w:lang w:val="en-US" w:eastAsia="zh-CN"/>
        </w:rPr>
        <w:t>行政处罚流程图</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sz w:val="44"/>
        </w:rPr>
        <mc:AlternateContent>
          <mc:Choice Requires="wps">
            <w:drawing>
              <wp:anchor distT="0" distB="0" distL="114300" distR="114300" simplePos="0" relativeHeight="251668480" behindDoc="0" locked="0" layoutInCell="1" allowOverlap="1">
                <wp:simplePos x="0" y="0"/>
                <wp:positionH relativeFrom="column">
                  <wp:posOffset>-295275</wp:posOffset>
                </wp:positionH>
                <wp:positionV relativeFrom="paragraph">
                  <wp:posOffset>1006475</wp:posOffset>
                </wp:positionV>
                <wp:extent cx="5247005" cy="709930"/>
                <wp:effectExtent l="0" t="0" r="10795" b="13970"/>
                <wp:wrapNone/>
                <wp:docPr id="44" name="文本框 44"/>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79.25pt;height:55.9pt;width:413.15pt;z-index:251668480;mso-width-relative:page;mso-height-relative:page;" fillcolor="#FFFFFF [3201]" filled="t" stroked="f" coordsize="21600,21600" o:gfxdata="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vAQXnXAAAACwEA&#10;AA8AAAAAAAAAAQAgAAAAIgAAAGRycy9kb3ducmV2LnhtbFBLAQIUABQAAAAIAIdO4kCLwnc3VAIA&#10;AJEEAAAOAAAAAAAAAAEAIAAAACYBAABkcnMvZTJvRG9jLnhtbFBLBQYAAAAABgAGAFkBAADsBQAA&#10;AAA=&#10;">
                <v:fill on="t" focussize="0,0"/>
                <v:stroke on="f" weight="0.5pt"/>
                <v:imagedata o:title=""/>
                <o:lock v:ext="edit" aspectratio="f"/>
                <v:textbox>
                  <w:txbxContent>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sz w:val="44"/>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1031875</wp:posOffset>
                </wp:positionV>
                <wp:extent cx="5247005" cy="709930"/>
                <wp:effectExtent l="0" t="0" r="10795" b="13970"/>
                <wp:wrapNone/>
                <wp:docPr id="45" name="文本框 45"/>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81.25pt;height:55.9pt;width:413.15pt;z-index:251669504;mso-width-relative:page;mso-height-relative:page;" fillcolor="#FFFFFF [3201]" filled="t" stroked="f" coordsize="21600,21600" o:gfxdata="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MDaT1gAAAAsBAAAP&#10;AAAAAAAAAAEAIAAAACIAAABkcnMvZG93bnJldi54bWxQSwECFAAUAAAACACHTuJA3oC8DFMCAACR&#10;BAAADgAAAAAAAAABACAAAAAlAQAAZHJzL2Uyb0RvYy54bWxQSwUGAAAAAAYABgBZAQAA6gUAAAAA&#10;">
                <v:fill on="t" focussize="0,0"/>
                <v:stroke on="f" weight="0.5pt"/>
                <v:imagedata o:title=""/>
                <o:lock v:ext="edit" aspectratio="f"/>
                <v:textbox>
                  <w:txbxContent>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880" w:firstLineChars="200"/>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both"/>
        <w:textAlignment w:val="auto"/>
        <w:rPr>
          <w:rFonts w:hint="eastAsia" w:ascii="方正小标宋简体" w:hAnsi="方正小标宋简体" w:eastAsia="方正小标宋简体" w:cs="方正小标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t>1.行政处罚工作流程图</w:t>
      </w:r>
    </w:p>
    <w:p>
      <w:pPr>
        <w:keepNext w:val="0"/>
        <w:keepLines w:val="0"/>
        <w:pageBreakBefore w:val="0"/>
        <w:numPr>
          <w:ilvl w:val="0"/>
          <w:numId w:val="0"/>
        </w:numPr>
        <w:kinsoku/>
        <w:wordWrap/>
        <w:overflowPunct/>
        <w:topLinePunct w:val="0"/>
        <w:autoSpaceDE/>
        <w:autoSpaceDN/>
        <w:bidi w:val="0"/>
        <w:adjustRightInd w:val="0"/>
        <w:spacing w:line="240" w:lineRule="auto"/>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drawing>
          <wp:anchor distT="0" distB="0" distL="114300" distR="114300" simplePos="0" relativeHeight="251664384" behindDoc="0" locked="0" layoutInCell="1" allowOverlap="1">
            <wp:simplePos x="0" y="0"/>
            <wp:positionH relativeFrom="column">
              <wp:posOffset>160655</wp:posOffset>
            </wp:positionH>
            <wp:positionV relativeFrom="paragraph">
              <wp:posOffset>231775</wp:posOffset>
            </wp:positionV>
            <wp:extent cx="4443095" cy="6233795"/>
            <wp:effectExtent l="0" t="0" r="14605" b="14605"/>
            <wp:wrapNone/>
            <wp:docPr id="37" name="图片 37" descr="小四号字-《中华人民共和国行政处罚法（2021年修订）实施通用指引》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小四号字-《中华人民共和国行政处罚法（2021年修订）实施通用指引》4"/>
                    <pic:cNvPicPr>
                      <a:picLocks noChangeAspect="1"/>
                    </pic:cNvPicPr>
                  </pic:nvPicPr>
                  <pic:blipFill>
                    <a:blip r:embed="rId9"/>
                    <a:srcRect t="6546"/>
                    <a:stretch>
                      <a:fillRect/>
                    </a:stretch>
                  </pic:blipFill>
                  <pic:spPr>
                    <a:xfrm>
                      <a:off x="0" y="0"/>
                      <a:ext cx="4443095" cy="623379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4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说明：各行政执法机关参照行政处罚流程图，根据本单位权责清单编制行政强制、行政许可等行政执法权力流程图，并向社会公开。</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both"/>
        <w:textAlignment w:val="auto"/>
        <w:rPr>
          <w:rFonts w:hint="eastAsia" w:ascii="方正小标宋简体" w:hAnsi="方正小标宋简体" w:eastAsia="方正小标宋简体" w:cs="方正小标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t>2.行政处罚听证流程图</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drawing>
          <wp:anchor distT="0" distB="0" distL="114300" distR="114300" simplePos="0" relativeHeight="251662336" behindDoc="0" locked="0" layoutInCell="1" allowOverlap="1">
            <wp:simplePos x="0" y="0"/>
            <wp:positionH relativeFrom="column">
              <wp:posOffset>-62865</wp:posOffset>
            </wp:positionH>
            <wp:positionV relativeFrom="paragraph">
              <wp:posOffset>222250</wp:posOffset>
            </wp:positionV>
            <wp:extent cx="5012690" cy="6169660"/>
            <wp:effectExtent l="0" t="0" r="16510" b="2540"/>
            <wp:wrapNone/>
            <wp:docPr id="121" name="图片 121" descr="页面提取自－【附赠内容】中华人民共和国行政处罚法新旧对照与重点解读2021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页面提取自－【附赠内容】中华人民共和国行政处罚法新旧对照与重点解读2021年"/>
                    <pic:cNvPicPr>
                      <a:picLocks noChangeAspect="1"/>
                    </pic:cNvPicPr>
                  </pic:nvPicPr>
                  <pic:blipFill>
                    <a:blip r:embed="rId10"/>
                    <a:srcRect t="23111" b="11114"/>
                    <a:stretch>
                      <a:fillRect/>
                    </a:stretch>
                  </pic:blipFill>
                  <pic:spPr>
                    <a:xfrm>
                      <a:off x="0" y="0"/>
                      <a:ext cx="5012690" cy="616966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both"/>
        <w:textAlignment w:val="auto"/>
        <w:rPr>
          <w:rFonts w:hint="eastAsia" w:ascii="方正小标宋简体" w:hAnsi="方正小标宋简体" w:eastAsia="方正小标宋简体" w:cs="方正小标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t>3.重大行政执法决定法制审核流程图</w:t>
      </w: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mc:AlternateContent>
          <mc:Choice Requires="wpg">
            <w:drawing>
              <wp:anchor distT="0" distB="0" distL="114300" distR="114300" simplePos="0" relativeHeight="251659264" behindDoc="0" locked="0" layoutInCell="1" allowOverlap="1">
                <wp:simplePos x="0" y="0"/>
                <wp:positionH relativeFrom="column">
                  <wp:posOffset>31115</wp:posOffset>
                </wp:positionH>
                <wp:positionV relativeFrom="paragraph">
                  <wp:posOffset>339090</wp:posOffset>
                </wp:positionV>
                <wp:extent cx="4464685" cy="5544820"/>
                <wp:effectExtent l="0" t="4445" r="12065" b="13335"/>
                <wp:wrapNone/>
                <wp:docPr id="109" name="组合 109"/>
                <wp:cNvGraphicFramePr/>
                <a:graphic xmlns:a="http://schemas.openxmlformats.org/drawingml/2006/main">
                  <a:graphicData uri="http://schemas.microsoft.com/office/word/2010/wordprocessingGroup">
                    <wpg:wgp>
                      <wpg:cNvGrpSpPr/>
                      <wpg:grpSpPr>
                        <a:xfrm>
                          <a:off x="0" y="0"/>
                          <a:ext cx="4464685" cy="5544530"/>
                          <a:chOff x="3116" y="38088"/>
                          <a:chExt cx="8423" cy="10059"/>
                        </a:xfrm>
                      </wpg:grpSpPr>
                      <wpg:grpSp>
                        <wpg:cNvPr id="110" name="组合 47"/>
                        <wpg:cNvGrpSpPr/>
                        <wpg:grpSpPr>
                          <a:xfrm>
                            <a:off x="3129" y="38088"/>
                            <a:ext cx="8410" cy="10059"/>
                            <a:chOff x="3144" y="38088"/>
                            <a:chExt cx="8410" cy="10059"/>
                          </a:xfrm>
                        </wpg:grpSpPr>
                        <wps:wsp>
                          <wps:cNvPr id="5" name="直接连接符 5"/>
                          <wps:cNvCnPr/>
                          <wps:spPr>
                            <a:xfrm flipV="1">
                              <a:off x="6727" y="45056"/>
                              <a:ext cx="2362" cy="8"/>
                            </a:xfrm>
                            <a:prstGeom prst="line">
                              <a:avLst/>
                            </a:prstGeom>
                            <a:ln w="12700" cap="flat" cmpd="sng">
                              <a:solidFill>
                                <a:srgbClr val="000000"/>
                              </a:solidFill>
                              <a:prstDash val="solid"/>
                              <a:headEnd type="none" w="med" len="med"/>
                              <a:tailEnd type="triangle" w="med" len="med"/>
                            </a:ln>
                          </wps:spPr>
                          <wps:bodyPr upright="1"/>
                        </wps:wsp>
                        <wpg:grpSp>
                          <wpg:cNvPr id="111" name="组合 46"/>
                          <wpg:cNvGrpSpPr/>
                          <wpg:grpSpPr>
                            <a:xfrm>
                              <a:off x="3144" y="38088"/>
                              <a:ext cx="8410" cy="10059"/>
                              <a:chOff x="3144" y="38088"/>
                              <a:chExt cx="8410" cy="10059"/>
                            </a:xfrm>
                          </wpg:grpSpPr>
                          <wpg:grpSp>
                            <wpg:cNvPr id="112" name="组合 41"/>
                            <wpg:cNvGrpSpPr/>
                            <wpg:grpSpPr>
                              <a:xfrm>
                                <a:off x="6903" y="45121"/>
                                <a:ext cx="1900" cy="724"/>
                                <a:chOff x="6903" y="45121"/>
                                <a:chExt cx="1900" cy="724"/>
                              </a:xfrm>
                            </wpg:grpSpPr>
                            <wps:wsp>
                              <wps:cNvPr id="6" name="流程图: 可选过程 6"/>
                              <wps:cNvSpPr/>
                              <wps:spPr>
                                <a:xfrm>
                                  <a:off x="6903" y="45216"/>
                                  <a:ext cx="1900" cy="47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9" name="文本框 9"/>
                              <wps:cNvSpPr txBox="1"/>
                              <wps:spPr>
                                <a:xfrm>
                                  <a:off x="7038" y="45121"/>
                                  <a:ext cx="1676" cy="724"/>
                                </a:xfrm>
                                <a:prstGeom prst="rect">
                                  <a:avLst/>
                                </a:prstGeom>
                                <a:noFill/>
                                <a:ln>
                                  <a:noFill/>
                                </a:ln>
                              </wps:spPr>
                              <wps:txbx>
                                <w:txbxContent>
                                  <w:p>
                                    <w:pPr>
                                      <w:rPr>
                                        <w:rFonts w:hint="eastAsia" w:ascii="楷体_GB2312" w:hAnsi="楷体_GB2312" w:eastAsia="楷体_GB2312" w:cs="楷体_GB2312"/>
                                        <w:b/>
                                        <w:bCs/>
                                        <w:sz w:val="28"/>
                                        <w:szCs w:val="28"/>
                                      </w:rPr>
                                    </w:pPr>
                                    <w:r>
                                      <w:rPr>
                                        <w:rFonts w:hint="eastAsia" w:ascii="楷体_GB2312" w:hAnsi="楷体_GB2312" w:eastAsia="楷体_GB2312" w:cs="楷体_GB2312"/>
                                        <w:b/>
                                        <w:bCs/>
                                        <w:sz w:val="21"/>
                                        <w:szCs w:val="21"/>
                                      </w:rPr>
                                      <w:t>审核有异</w:t>
                                    </w:r>
                                    <w:r>
                                      <w:rPr>
                                        <w:rFonts w:hint="eastAsia" w:ascii="楷体_GB2312" w:hAnsi="楷体_GB2312" w:eastAsia="楷体_GB2312" w:cs="楷体_GB2312"/>
                                        <w:b/>
                                        <w:bCs/>
                                        <w:sz w:val="28"/>
                                        <w:szCs w:val="28"/>
                                      </w:rPr>
                                      <w:t>议</w:t>
                                    </w:r>
                                  </w:p>
                                </w:txbxContent>
                              </wps:txbx>
                              <wps:bodyPr lIns="92075" tIns="45720" rIns="91440" bIns="45720" upright="1"/>
                            </wps:wsp>
                          </wpg:grpSp>
                          <wpg:grpSp>
                            <wpg:cNvPr id="113" name="组合 45"/>
                            <wpg:cNvGrpSpPr/>
                            <wpg:grpSpPr>
                              <a:xfrm>
                                <a:off x="3144" y="38088"/>
                                <a:ext cx="8410" cy="10059"/>
                                <a:chOff x="3144" y="38088"/>
                                <a:chExt cx="8410" cy="10059"/>
                              </a:xfrm>
                            </wpg:grpSpPr>
                            <wps:wsp>
                              <wps:cNvPr id="14" name="直接连接符 14"/>
                              <wps:cNvCnPr/>
                              <wps:spPr>
                                <a:xfrm flipH="1">
                                  <a:off x="5089" y="43332"/>
                                  <a:ext cx="1" cy="990"/>
                                </a:xfrm>
                                <a:prstGeom prst="line">
                                  <a:avLst/>
                                </a:prstGeom>
                                <a:ln w="12700" cap="flat" cmpd="sng">
                                  <a:solidFill>
                                    <a:srgbClr val="000000"/>
                                  </a:solidFill>
                                  <a:prstDash val="solid"/>
                                  <a:headEnd type="none" w="med" len="med"/>
                                  <a:tailEnd type="triangle" w="med" len="med"/>
                                </a:ln>
                              </wps:spPr>
                              <wps:bodyPr upright="1"/>
                            </wps:wsp>
                            <wps:wsp>
                              <wps:cNvPr id="33" name="直接连接符 33"/>
                              <wps:cNvCnPr/>
                              <wps:spPr>
                                <a:xfrm>
                                  <a:off x="5067" y="47822"/>
                                  <a:ext cx="1665" cy="1"/>
                                </a:xfrm>
                                <a:prstGeom prst="line">
                                  <a:avLst/>
                                </a:prstGeom>
                                <a:ln w="12700" cap="flat" cmpd="sng">
                                  <a:solidFill>
                                    <a:srgbClr val="000000"/>
                                  </a:solidFill>
                                  <a:prstDash val="solid"/>
                                  <a:headEnd type="none" w="med" len="med"/>
                                  <a:tailEnd type="triangle" w="med" len="med"/>
                                </a:ln>
                              </wps:spPr>
                              <wps:bodyPr upright="1"/>
                            </wps:wsp>
                            <wps:wsp>
                              <wps:cNvPr id="12" name="流程图: 可选过程 12"/>
                              <wps:cNvSpPr/>
                              <wps:spPr>
                                <a:xfrm>
                                  <a:off x="3144" y="43582"/>
                                  <a:ext cx="1816" cy="57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15" name="流程图: 可选过程 15"/>
                              <wps:cNvSpPr/>
                              <wps:spPr>
                                <a:xfrm>
                                  <a:off x="3765" y="42517"/>
                                  <a:ext cx="2664" cy="73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法制机构审核</w:t>
                                    </w:r>
                                  </w:p>
                                </w:txbxContent>
                              </wps:txbx>
                              <wps:bodyPr upright="1"/>
                            </wps:wsp>
                            <wps:wsp>
                              <wps:cNvPr id="3" name="圆角矩形 3"/>
                              <wps:cNvSpPr/>
                              <wps:spPr>
                                <a:xfrm>
                                  <a:off x="4149" y="46393"/>
                                  <a:ext cx="1847" cy="579"/>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审核通过</w:t>
                                    </w:r>
                                  </w:p>
                                </w:txbxContent>
                              </wps:txbx>
                              <wps:bodyPr lIns="91440" tIns="53975" rIns="91440" bIns="53975" upright="0"/>
                            </wps:wsp>
                            <wpg:grpSp>
                              <wpg:cNvPr id="114" name="组合 40"/>
                              <wpg:cNvGrpSpPr/>
                              <wpg:grpSpPr>
                                <a:xfrm>
                                  <a:off x="3631" y="44325"/>
                                  <a:ext cx="2896" cy="1332"/>
                                  <a:chOff x="3631" y="44325"/>
                                  <a:chExt cx="2896" cy="1332"/>
                                </a:xfrm>
                              </wpg:grpSpPr>
                              <wps:wsp>
                                <wps:cNvPr id="10" name="流程图: 决策 10"/>
                                <wps:cNvSpPr/>
                                <wps:spPr>
                                  <a:xfrm flipH="1">
                                    <a:off x="3631" y="44325"/>
                                    <a:ext cx="2896" cy="1332"/>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wps:wsp>
                                <wps:cNvPr id="11" name="文本框 11"/>
                                <wps:cNvSpPr txBox="1"/>
                                <wps:spPr>
                                  <a:xfrm>
                                    <a:off x="3856" y="44547"/>
                                    <a:ext cx="2560" cy="1024"/>
                                  </a:xfrm>
                                  <a:prstGeom prst="rect">
                                    <a:avLst/>
                                  </a:prstGeom>
                                  <a:noFill/>
                                  <a:ln>
                                    <a:noFill/>
                                  </a:ln>
                                </wps:spPr>
                                <wps:txbx>
                                  <w:txbxContent>
                                    <w:p>
                                      <w:pPr>
                                        <w:spacing w:line="320" w:lineRule="exact"/>
                                        <w:jc w:val="center"/>
                                        <w:rPr>
                                          <w:rFonts w:hint="eastAsia" w:ascii="楷体_GB2312" w:hAnsi="楷体_GB2312" w:eastAsia="楷体_GB2312" w:cs="楷体_GB2312"/>
                                          <w:b/>
                                          <w:bCs/>
                                          <w:spacing w:val="-11"/>
                                          <w:w w:val="90"/>
                                          <w:sz w:val="21"/>
                                          <w:szCs w:val="21"/>
                                        </w:rPr>
                                      </w:pPr>
                                      <w:r>
                                        <w:rPr>
                                          <w:rFonts w:hint="eastAsia" w:ascii="楷体_GB2312" w:hAnsi="楷体_GB2312" w:eastAsia="楷体_GB2312" w:cs="楷体_GB2312"/>
                                          <w:b/>
                                          <w:bCs/>
                                          <w:spacing w:val="-11"/>
                                          <w:w w:val="90"/>
                                          <w:sz w:val="21"/>
                                          <w:szCs w:val="21"/>
                                        </w:rPr>
                                        <w:t>出具《重大执法决定</w:t>
                                      </w:r>
                                    </w:p>
                                    <w:p>
                                      <w:pPr>
                                        <w:spacing w:line="320" w:lineRule="exact"/>
                                        <w:jc w:val="center"/>
                                        <w:rPr>
                                          <w:rFonts w:hint="eastAsia" w:ascii="楷体_GB2312" w:hAnsi="楷体_GB2312" w:eastAsia="楷体_GB2312" w:cs="楷体_GB2312"/>
                                          <w:b/>
                                          <w:bCs/>
                                          <w:spacing w:val="-11"/>
                                          <w:w w:val="90"/>
                                          <w:sz w:val="21"/>
                                          <w:szCs w:val="21"/>
                                        </w:rPr>
                                      </w:pPr>
                                      <w:r>
                                        <w:rPr>
                                          <w:rFonts w:hint="eastAsia" w:ascii="楷体_GB2312" w:hAnsi="楷体_GB2312" w:eastAsia="楷体_GB2312" w:cs="楷体_GB2312"/>
                                          <w:b/>
                                          <w:bCs/>
                                          <w:spacing w:val="-11"/>
                                          <w:w w:val="90"/>
                                          <w:sz w:val="21"/>
                                          <w:szCs w:val="21"/>
                                        </w:rPr>
                                        <w:t>法制审核意见书》</w:t>
                                      </w:r>
                                    </w:p>
                                  </w:txbxContent>
                                </wps:txbx>
                                <wps:bodyPr upright="1"/>
                              </wps:wsp>
                            </wpg:grpSp>
                            <wpg:grpSp>
                              <wpg:cNvPr id="115" name="组合 42"/>
                              <wpg:cNvGrpSpPr/>
                              <wpg:grpSpPr>
                                <a:xfrm>
                                  <a:off x="9096" y="44742"/>
                                  <a:ext cx="2401" cy="1136"/>
                                  <a:chOff x="9096" y="44742"/>
                                  <a:chExt cx="2401" cy="1136"/>
                                </a:xfrm>
                              </wpg:grpSpPr>
                              <wps:wsp>
                                <wps:cNvPr id="7" name="流程图: 可选过程 7"/>
                                <wps:cNvSpPr/>
                                <wps:spPr>
                                  <a:xfrm>
                                    <a:off x="9096" y="44781"/>
                                    <a:ext cx="2401" cy="856"/>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8" name="文本框 8"/>
                                <wps:cNvSpPr txBox="1"/>
                                <wps:spPr>
                                  <a:xfrm>
                                    <a:off x="9141" y="44742"/>
                                    <a:ext cx="2312" cy="1136"/>
                                  </a:xfrm>
                                  <a:prstGeom prst="rect">
                                    <a:avLst/>
                                  </a:prstGeom>
                                  <a:noFill/>
                                  <a:ln>
                                    <a:noFill/>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报送行政执法机关负责人决定</w:t>
                                      </w:r>
                                    </w:p>
                                  </w:txbxContent>
                                </wps:txbx>
                                <wps:bodyPr upright="1"/>
                              </wps:wsp>
                            </wpg:grpSp>
                            <wps:wsp>
                              <wps:cNvPr id="2" name="直接连接符 2"/>
                              <wps:cNvCnPr/>
                              <wps:spPr>
                                <a:xfrm flipH="1">
                                  <a:off x="5086" y="45797"/>
                                  <a:ext cx="15" cy="575"/>
                                </a:xfrm>
                                <a:prstGeom prst="line">
                                  <a:avLst/>
                                </a:prstGeom>
                                <a:ln w="12700" cap="flat" cmpd="sng">
                                  <a:solidFill>
                                    <a:srgbClr val="000000"/>
                                  </a:solidFill>
                                  <a:prstDash val="solid"/>
                                  <a:headEnd type="none" w="med" len="med"/>
                                  <a:tailEnd type="triangle" w="med" len="med"/>
                                </a:ln>
                              </wps:spPr>
                              <wps:bodyPr upright="1"/>
                            </wps:wsp>
                            <wpg:grpSp>
                              <wpg:cNvPr id="116" name="组合 43"/>
                              <wpg:cNvGrpSpPr/>
                              <wpg:grpSpPr>
                                <a:xfrm>
                                  <a:off x="6454" y="47570"/>
                                  <a:ext cx="1598" cy="577"/>
                                  <a:chOff x="6454" y="47570"/>
                                  <a:chExt cx="1598" cy="577"/>
                                </a:xfrm>
                              </wpg:grpSpPr>
                              <wps:wsp>
                                <wps:cNvPr id="35" name="流程图: 可选过程 35"/>
                                <wps:cNvSpPr/>
                                <wps:spPr>
                                  <a:xfrm>
                                    <a:off x="6718" y="47622"/>
                                    <a:ext cx="1217" cy="500"/>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6" name="文本框 36"/>
                                <wps:cNvSpPr txBox="1"/>
                                <wps:spPr>
                                  <a:xfrm>
                                    <a:off x="6454" y="47570"/>
                                    <a:ext cx="1598" cy="577"/>
                                  </a:xfrm>
                                  <a:prstGeom prst="rect">
                                    <a:avLst/>
                                  </a:prstGeom>
                                  <a:noFill/>
                                  <a:ln>
                                    <a:noFill/>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归档</w:t>
                                      </w:r>
                                    </w:p>
                                  </w:txbxContent>
                                </wps:txbx>
                                <wps:bodyPr upright="1"/>
                              </wps:wsp>
                            </wpg:grpSp>
                            <wps:wsp>
                              <wps:cNvPr id="4" name="直接连接符 4"/>
                              <wps:cNvCnPr/>
                              <wps:spPr>
                                <a:xfrm>
                                  <a:off x="10279" y="45804"/>
                                  <a:ext cx="1" cy="2037"/>
                                </a:xfrm>
                                <a:prstGeom prst="line">
                                  <a:avLst/>
                                </a:prstGeom>
                                <a:ln w="12700" cap="flat" cmpd="sng">
                                  <a:solidFill>
                                    <a:srgbClr val="000000"/>
                                  </a:solidFill>
                                  <a:prstDash val="solid"/>
                                  <a:headEnd type="none" w="med" len="med"/>
                                  <a:tailEnd type="none" w="med" len="med"/>
                                </a:ln>
                              </wps:spPr>
                              <wps:bodyPr upright="1"/>
                            </wps:wsp>
                            <wps:wsp>
                              <wps:cNvPr id="34" name="直接连接符 34"/>
                              <wps:cNvCnPr/>
                              <wps:spPr>
                                <a:xfrm flipH="1">
                                  <a:off x="7947" y="47858"/>
                                  <a:ext cx="2339" cy="1"/>
                                </a:xfrm>
                                <a:prstGeom prst="line">
                                  <a:avLst/>
                                </a:prstGeom>
                                <a:ln w="12700" cap="flat" cmpd="sng">
                                  <a:solidFill>
                                    <a:srgbClr val="000000"/>
                                  </a:solidFill>
                                  <a:prstDash val="solid"/>
                                  <a:headEnd type="none" w="med" len="med"/>
                                  <a:tailEnd type="triangle" w="med" len="med"/>
                                </a:ln>
                              </wps:spPr>
                              <wps:bodyPr upright="1"/>
                            </wps:wsp>
                            <wps:wsp>
                              <wps:cNvPr id="16" name="直接连接符 16"/>
                              <wps:cNvCnPr/>
                              <wps:spPr>
                                <a:xfrm>
                                  <a:off x="6413" y="42878"/>
                                  <a:ext cx="910" cy="1"/>
                                </a:xfrm>
                                <a:prstGeom prst="line">
                                  <a:avLst/>
                                </a:prstGeom>
                                <a:ln w="12700" cap="flat" cmpd="sng">
                                  <a:solidFill>
                                    <a:srgbClr val="000000"/>
                                  </a:solidFill>
                                  <a:prstDash val="solid"/>
                                  <a:headEnd type="none" w="med" len="med"/>
                                  <a:tailEnd type="triangle" w="med" len="med"/>
                                </a:ln>
                              </wps:spPr>
                              <wps:bodyPr upright="1"/>
                            </wps:wsp>
                            <wpg:grpSp>
                              <wpg:cNvPr id="117" name="组合 37"/>
                              <wpg:cNvGrpSpPr/>
                              <wpg:grpSpPr>
                                <a:xfrm>
                                  <a:off x="7303" y="40808"/>
                                  <a:ext cx="4251" cy="3829"/>
                                  <a:chOff x="7303" y="40808"/>
                                  <a:chExt cx="4251" cy="3829"/>
                                </a:xfrm>
                              </wpg:grpSpPr>
                              <wps:wsp>
                                <wps:cNvPr id="22" name="流程图: 可选过程 22"/>
                                <wps:cNvSpPr/>
                                <wps:spPr>
                                  <a:xfrm>
                                    <a:off x="7303" y="40808"/>
                                    <a:ext cx="4251" cy="3829"/>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23" name="文本框 23"/>
                                <wps:cNvSpPr txBox="1"/>
                                <wps:spPr>
                                  <a:xfrm>
                                    <a:off x="7303" y="40838"/>
                                    <a:ext cx="4244" cy="3796"/>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重点审核：</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1.行政执法主体是否合法；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2.行政执法人员是否具备执法资格；</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 xml:space="preserve">3. 行政执法程序是否合法； </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4. 案件事实是否清楚、证据是否合法充分；</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5. 适用法律、法规、规章是否准确，</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裁量基准运用是否适当；</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6.行政执法是否超行政执法机关法定权限；</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7.行政执法文书是否完备、规范；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8.违法行为是否涉嫌犯罪、需要移送司法机关；</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9.其他需要审核的内容。</w:t>
                                      </w:r>
                                    </w:p>
                                  </w:txbxContent>
                                </wps:txbx>
                                <wps:bodyPr upright="1"/>
                              </wps:wsp>
                            </wpg:grpSp>
                            <wpg:grpSp>
                              <wpg:cNvPr id="118" name="组合 44"/>
                              <wpg:cNvGrpSpPr/>
                              <wpg:grpSpPr>
                                <a:xfrm>
                                  <a:off x="3656" y="38088"/>
                                  <a:ext cx="6649" cy="4403"/>
                                  <a:chOff x="3656" y="38088"/>
                                  <a:chExt cx="6649" cy="4403"/>
                                </a:xfrm>
                              </wpg:grpSpPr>
                              <wps:wsp>
                                <wps:cNvPr id="31" name="圆角矩形 31"/>
                                <wps:cNvSpPr/>
                                <wps:spPr>
                                  <a:xfrm>
                                    <a:off x="4076" y="38088"/>
                                    <a:ext cx="2140" cy="1005"/>
                                  </a:xfrm>
                                  <a:prstGeom prst="roundRect">
                                    <a:avLst>
                                      <a:gd name="adj" fmla="val 16667"/>
                                    </a:avLst>
                                  </a:prstGeom>
                                  <a:solidFill>
                                    <a:srgbClr val="FFFFFF"/>
                                  </a:solidFill>
                                  <a:ln w="6350" cap="flat" cmpd="sng">
                                    <a:solidFill>
                                      <a:srgbClr val="000000"/>
                                    </a:solidFill>
                                    <a:prstDash val="solid"/>
                                    <a:headEnd type="none" w="med" len="med"/>
                                    <a:tailEnd type="none" w="med" len="med"/>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执法机构报送材料提请审核</w:t>
                                      </w:r>
                                    </w:p>
                                  </w:txbxContent>
                                </wps:txbx>
                                <wps:bodyPr upright="0"/>
                              </wps:wsp>
                              <wps:wsp>
                                <wps:cNvPr id="27" name="直接连接符 27"/>
                                <wps:cNvCnPr/>
                                <wps:spPr>
                                  <a:xfrm flipH="1" flipV="1">
                                    <a:off x="7721" y="38588"/>
                                    <a:ext cx="9" cy="2142"/>
                                  </a:xfrm>
                                  <a:prstGeom prst="line">
                                    <a:avLst/>
                                  </a:prstGeom>
                                  <a:ln w="12700" cap="flat" cmpd="sng">
                                    <a:solidFill>
                                      <a:srgbClr val="000000"/>
                                    </a:solidFill>
                                    <a:prstDash val="solid"/>
                                    <a:headEnd type="none" w="med" len="med"/>
                                    <a:tailEnd type="none" w="med" len="med"/>
                                  </a:ln>
                                </wps:spPr>
                                <wps:bodyPr upright="0"/>
                              </wps:wsp>
                              <wps:wsp>
                                <wps:cNvPr id="28" name="圆角矩形 28"/>
                                <wps:cNvSpPr/>
                                <wps:spPr>
                                  <a:xfrm>
                                    <a:off x="7832" y="39389"/>
                                    <a:ext cx="2473" cy="636"/>
                                  </a:xfrm>
                                  <a:prstGeom prst="roundRect">
                                    <a:avLst>
                                      <a:gd name="adj" fmla="val 16667"/>
                                    </a:avLst>
                                  </a:prstGeom>
                                  <a:solidFill>
                                    <a:srgbClr val="FFFFFF"/>
                                  </a:solidFill>
                                  <a:ln w="6350" cap="flat" cmpd="sng">
                                    <a:solidFill>
                                      <a:srgbClr val="000000"/>
                                    </a:solidFill>
                                    <a:prstDash val="solid"/>
                                    <a:headEnd type="none" w="med" len="med"/>
                                    <a:tailEnd type="none" w="med" len="med"/>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退回补充材料</w:t>
                                      </w:r>
                                    </w:p>
                                  </w:txbxContent>
                                </wps:txbx>
                                <wps:bodyPr upright="1"/>
                              </wps:wsp>
                              <wps:wsp>
                                <wps:cNvPr id="25" name="直接连接符 25"/>
                                <wps:cNvCnPr/>
                                <wps:spPr>
                                  <a:xfrm>
                                    <a:off x="5084" y="39171"/>
                                    <a:ext cx="14" cy="954"/>
                                  </a:xfrm>
                                  <a:prstGeom prst="line">
                                    <a:avLst/>
                                  </a:prstGeom>
                                  <a:ln w="12700" cap="flat" cmpd="sng">
                                    <a:solidFill>
                                      <a:srgbClr val="000000"/>
                                    </a:solidFill>
                                    <a:prstDash val="solid"/>
                                    <a:headEnd type="none" w="med" len="med"/>
                                    <a:tailEnd type="triangle" w="med" len="med"/>
                                  </a:ln>
                                </wps:spPr>
                                <wps:bodyPr upright="1"/>
                              </wps:wsp>
                              <wpg:grpSp>
                                <wpg:cNvPr id="119" name="组合 38"/>
                                <wpg:cNvGrpSpPr/>
                                <wpg:grpSpPr>
                                  <a:xfrm>
                                    <a:off x="3656" y="40123"/>
                                    <a:ext cx="2854" cy="1195"/>
                                    <a:chOff x="3656" y="40137"/>
                                    <a:chExt cx="2854" cy="1195"/>
                                  </a:xfrm>
                                </wpg:grpSpPr>
                                <wps:wsp>
                                  <wps:cNvPr id="24" name="流程图: 决策 24"/>
                                  <wps:cNvSpPr/>
                                  <wps:spPr>
                                    <a:xfrm flipH="1">
                                      <a:off x="3656" y="40137"/>
                                      <a:ext cx="2854" cy="1195"/>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wps:wsp>
                                  <wps:cNvPr id="20" name="文本框 20"/>
                                  <wps:cNvSpPr txBox="1"/>
                                  <wps:spPr>
                                    <a:xfrm>
                                      <a:off x="4231" y="40439"/>
                                      <a:ext cx="1798" cy="684"/>
                                    </a:xfrm>
                                    <a:prstGeom prst="rect">
                                      <a:avLst/>
                                    </a:prstGeom>
                                    <a:noFill/>
                                    <a:ln>
                                      <a:noFill/>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是否受理</w:t>
                                        </w:r>
                                      </w:p>
                                    </w:txbxContent>
                                  </wps:txbx>
                                  <wps:bodyPr upright="1"/>
                                </wps:wsp>
                              </wpg:grpSp>
                              <wps:wsp>
                                <wps:cNvPr id="30" name="流程图: 可选过程 30"/>
                                <wps:cNvSpPr/>
                                <wps:spPr>
                                  <a:xfrm>
                                    <a:off x="6892" y="39097"/>
                                    <a:ext cx="617" cy="1150"/>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26" name="直接连接符 26"/>
                                <wps:cNvCnPr/>
                                <wps:spPr>
                                  <a:xfrm flipH="1">
                                    <a:off x="6218" y="38599"/>
                                    <a:ext cx="1517" cy="1"/>
                                  </a:xfrm>
                                  <a:prstGeom prst="line">
                                    <a:avLst/>
                                  </a:prstGeom>
                                  <a:ln w="12700" cap="flat" cmpd="sng">
                                    <a:solidFill>
                                      <a:srgbClr val="000000"/>
                                    </a:solidFill>
                                    <a:prstDash val="solid"/>
                                    <a:headEnd type="none" w="med" len="med"/>
                                    <a:tailEnd type="triangle" w="med" len="med"/>
                                  </a:ln>
                                </wps:spPr>
                                <wps:bodyPr upright="1"/>
                              </wps:wsp>
                              <wps:wsp>
                                <wps:cNvPr id="17" name="直接连接符 17"/>
                                <wps:cNvCnPr/>
                                <wps:spPr>
                                  <a:xfrm>
                                    <a:off x="5093" y="41364"/>
                                    <a:ext cx="14" cy="1127"/>
                                  </a:xfrm>
                                  <a:prstGeom prst="line">
                                    <a:avLst/>
                                  </a:prstGeom>
                                  <a:ln w="12700" cap="flat" cmpd="sng">
                                    <a:solidFill>
                                      <a:srgbClr val="000000"/>
                                    </a:solidFill>
                                    <a:prstDash val="solid"/>
                                    <a:headEnd type="none" w="med" len="med"/>
                                    <a:tailEnd type="triangle" w="med" len="med"/>
                                  </a:ln>
                                </wps:spPr>
                                <wps:bodyPr upright="1"/>
                              </wps:wsp>
                              <wpg:grpSp>
                                <wpg:cNvPr id="120" name="组合 39"/>
                                <wpg:cNvGrpSpPr/>
                                <wpg:grpSpPr>
                                  <a:xfrm>
                                    <a:off x="3861" y="41592"/>
                                    <a:ext cx="1186" cy="794"/>
                                    <a:chOff x="3861" y="41606"/>
                                    <a:chExt cx="1186" cy="794"/>
                                  </a:xfrm>
                                </wpg:grpSpPr>
                                <wps:wsp>
                                  <wps:cNvPr id="19" name="流程图: 可选过程 19"/>
                                  <wps:cNvSpPr/>
                                  <wps:spPr>
                                    <a:xfrm>
                                      <a:off x="3861" y="41644"/>
                                      <a:ext cx="1080" cy="52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18" name="文本框 18"/>
                                  <wps:cNvSpPr txBox="1"/>
                                  <wps:spPr>
                                    <a:xfrm>
                                      <a:off x="3969" y="41606"/>
                                      <a:ext cx="1079" cy="795"/>
                                    </a:xfrm>
                                    <a:prstGeom prst="rect">
                                      <a:avLst/>
                                    </a:prstGeom>
                                    <a:noFill/>
                                    <a:ln>
                                      <a:noFill/>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受理</w:t>
                                        </w:r>
                                      </w:p>
                                    </w:txbxContent>
                                  </wps:txbx>
                                  <wps:bodyPr upright="1"/>
                                </wps:wsp>
                              </wpg:grpSp>
                            </wpg:grpSp>
                            <wps:wsp>
                              <wps:cNvPr id="32" name="直接连接符 32"/>
                              <wps:cNvCnPr/>
                              <wps:spPr>
                                <a:xfrm>
                                  <a:off x="5070" y="46969"/>
                                  <a:ext cx="1" cy="872"/>
                                </a:xfrm>
                                <a:prstGeom prst="line">
                                  <a:avLst/>
                                </a:prstGeom>
                                <a:ln w="12700" cap="flat" cmpd="sng">
                                  <a:solidFill>
                                    <a:srgbClr val="000000"/>
                                  </a:solidFill>
                                  <a:prstDash val="solid"/>
                                  <a:headEnd type="none" w="med" len="med"/>
                                  <a:tailEnd type="none" w="med" len="med"/>
                                </a:ln>
                              </wps:spPr>
                              <wps:bodyPr upright="1"/>
                            </wps:wsp>
                          </wpg:grpSp>
                        </wpg:grpSp>
                      </wpg:grpSp>
                      <wps:wsp>
                        <wps:cNvPr id="13" name="文本框 13"/>
                        <wps:cNvSpPr txBox="1"/>
                        <wps:spPr>
                          <a:xfrm>
                            <a:off x="3116" y="43583"/>
                            <a:ext cx="1906" cy="705"/>
                          </a:xfrm>
                          <a:prstGeom prst="rect">
                            <a:avLst/>
                          </a:prstGeom>
                          <a:noFill/>
                          <a:ln>
                            <a:noFill/>
                          </a:ln>
                        </wps:spPr>
                        <wps:txb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X个工作日</w:t>
                              </w:r>
                            </w:p>
                          </w:txbxContent>
                        </wps:txbx>
                        <wps:bodyPr upright="1"/>
                      </wps:wsp>
                      <wps:wsp>
                        <wps:cNvPr id="29" name="文本框 29"/>
                        <wps:cNvSpPr txBox="1"/>
                        <wps:spPr>
                          <a:xfrm>
                            <a:off x="6856" y="39184"/>
                            <a:ext cx="700" cy="1169"/>
                          </a:xfrm>
                          <a:prstGeom prst="rect">
                            <a:avLst/>
                          </a:prstGeom>
                          <a:noFill/>
                          <a:ln>
                            <a:noFill/>
                          </a:ln>
                        </wps:spPr>
                        <wps:txbx>
                          <w:txbxContent>
                            <w:p>
                              <w:pPr>
                                <w:rPr>
                                  <w:rFonts w:hint="eastAsia" w:ascii="楷体_GB2312" w:hAnsi="楷体_GB2312" w:eastAsia="楷体_GB2312" w:cs="楷体_GB2312"/>
                                  <w:b/>
                                  <w:bCs/>
                                  <w:sz w:val="28"/>
                                  <w:szCs w:val="28"/>
                                </w:rPr>
                              </w:pPr>
                              <w:r>
                                <w:rPr>
                                  <w:rFonts w:hint="eastAsia" w:ascii="楷体_GB2312" w:hAnsi="楷体_GB2312" w:eastAsia="楷体_GB2312" w:cs="楷体_GB2312"/>
                                  <w:b/>
                                  <w:bCs/>
                                  <w:sz w:val="21"/>
                                  <w:szCs w:val="21"/>
                                </w:rPr>
                                <w:t>不受理</w:t>
                              </w:r>
                            </w:p>
                          </w:txbxContent>
                        </wps:txbx>
                        <wps:bodyPr vert="eaVert" upright="1"/>
                      </wps:wsp>
                    </wpg:wgp>
                  </a:graphicData>
                </a:graphic>
              </wp:anchor>
            </w:drawing>
          </mc:Choice>
          <mc:Fallback>
            <w:pict>
              <v:group id="_x0000_s1026" o:spid="_x0000_s1026" o:spt="203" style="position:absolute;left:0pt;margin-left:2.45pt;margin-top:26.7pt;height:436.6pt;width:351.55pt;z-index:251659264;mso-width-relative:page;mso-height-relative:page;" coordorigin="3116,38088" coordsize="8423,10059" o:gfxdata="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">
                <o:lock v:ext="edit" aspectratio="f"/>
                <v:group id="组合 47" o:spid="_x0000_s1026" o:spt="203" style="position:absolute;left:3129;top:38088;height:10059;width:8410;" coordorigin="3144,38088" coordsize="8410,10059"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727;top:45056;flip:y;height:8;width:2362;" filled="f" stroked="t" coordsize="21600,21600" o:gfxdata="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f94y8AAAA&#10;2g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group id="组合 46" o:spid="_x0000_s1026" o:spt="203" style="position:absolute;left:3144;top:38088;height:10059;width:8410;" coordorigin="3144,38088" coordsize="8410,10059"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group id="组合 41" o:spid="_x0000_s1026" o:spt="203" style="position:absolute;left:6903;top:45121;height:724;width:1900;" coordorigin="6903,45121" coordsize="1900,724"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6903;top:45216;height:475;width:1900;" fillcolor="#FFFFFF" filled="t" stroked="t" coordsize="21600,21600" o:gfxdata="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qjt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_x0000_s1026" o:spid="_x0000_s1026" o:spt="202" type="#_x0000_t202" style="position:absolute;left:7038;top:45121;height:724;width:1676;" filled="f" stroked="f" coordsize="21600,21600" o:gfxdata="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XtfvQAA&#10;ANoAAAAPAAAAAAAAAAEAIAAAACIAAABkcnMvZG93bnJldi54bWxQSwECFAAUAAAACACHTuJAMy8F&#10;njsAAAA5AAAAEAAAAAAAAAABACAAAAAMAQAAZHJzL3NoYXBleG1sLnhtbFBLBQYAAAAABgAGAFsB&#10;AAC2AwAAAAA=&#10;">
                        <v:fill on="f" focussize="0,0"/>
                        <v:stroke on="f"/>
                        <v:imagedata o:title=""/>
                        <o:lock v:ext="edit" aspectratio="f"/>
                        <v:textbox inset="7.25pt,1.27mm,2.54mm,1.27mm">
                          <w:txbxContent>
                            <w:p>
                              <w:pPr>
                                <w:rPr>
                                  <w:rFonts w:hint="eastAsia" w:ascii="楷体_GB2312" w:hAnsi="楷体_GB2312" w:eastAsia="楷体_GB2312" w:cs="楷体_GB2312"/>
                                  <w:b/>
                                  <w:bCs/>
                                  <w:sz w:val="28"/>
                                  <w:szCs w:val="28"/>
                                </w:rPr>
                              </w:pPr>
                              <w:r>
                                <w:rPr>
                                  <w:rFonts w:hint="eastAsia" w:ascii="楷体_GB2312" w:hAnsi="楷体_GB2312" w:eastAsia="楷体_GB2312" w:cs="楷体_GB2312"/>
                                  <w:b/>
                                  <w:bCs/>
                                  <w:sz w:val="21"/>
                                  <w:szCs w:val="21"/>
                                </w:rPr>
                                <w:t>审核有异</w:t>
                              </w:r>
                              <w:r>
                                <w:rPr>
                                  <w:rFonts w:hint="eastAsia" w:ascii="楷体_GB2312" w:hAnsi="楷体_GB2312" w:eastAsia="楷体_GB2312" w:cs="楷体_GB2312"/>
                                  <w:b/>
                                  <w:bCs/>
                                  <w:sz w:val="28"/>
                                  <w:szCs w:val="28"/>
                                </w:rPr>
                                <w:t>议</w:t>
                              </w:r>
                            </w:p>
                          </w:txbxContent>
                        </v:textbox>
                      </v:shape>
                    </v:group>
                    <v:group id="组合 45" o:spid="_x0000_s1026" o:spt="203" style="position:absolute;left:3144;top:38088;height:10059;width:8410;" coordorigin="3144,38088" coordsize="8410,10059"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line id="_x0000_s1026" o:spid="_x0000_s1026" o:spt="20" style="position:absolute;left:5089;top:43332;flip:x;height:990;width:1;" filled="f" stroked="t" coordsize="21600,21600" o:gfxdata="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t6StwAAANs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line id="_x0000_s1026" o:spid="_x0000_s1026" o:spt="20" style="position:absolute;left:5067;top:47822;height:1;width:1665;" filled="f" stroked="t" coordsize="21600,21600" o:gfxdata="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Xq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176" type="#_x0000_t176" style="position:absolute;left:3144;top:43582;height:575;width:1816;" fillcolor="#FFFFFF" filled="t" stroked="t" coordsize="21600,21600" o:gfxdata="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IJ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176" type="#_x0000_t176" style="position:absolute;left:3765;top:42517;height:730;width:2664;" fillcolor="#FFFFFF" filled="t" stroked="t" coordsize="21600,21600" o:gfxdata="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iuD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法制机构审核</w:t>
                              </w:r>
                            </w:p>
                          </w:txbxContent>
                        </v:textbox>
                      </v:shape>
                      <v:roundrect id="_x0000_s1026" o:spid="_x0000_s1026" o:spt="2" style="position:absolute;left:4149;top:46393;height:579;width:1847;" fillcolor="#FFFFFF" filled="t" stroked="t" coordsize="21600,21600" arcsize="0.166666666666667" o:gfxdata="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Kztu8AAAA&#10;2g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textbox inset="2.54mm,4.25pt,2.54mm,4.25pt">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审核通过</w:t>
                              </w:r>
                            </w:p>
                          </w:txbxContent>
                        </v:textbox>
                      </v:roundrect>
                      <v:group id="组合 40" o:spid="_x0000_s1026" o:spt="203" style="position:absolute;left:3631;top:44325;height:1332;width:2896;" coordorigin="3631,44325" coordsize="2896,1332"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_x0000_s1026" o:spid="_x0000_s1026" o:spt="110" type="#_x0000_t110" style="position:absolute;left:3631;top:44325;flip:x;height:1332;width:2896;" fillcolor="#FFFFFF" filled="t" stroked="t" coordsize="21600,21600" o:gfxdata="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MV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202" type="#_x0000_t202" style="position:absolute;left:3856;top:44547;height:1024;width:2560;"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pacing w:val="-11"/>
                                    <w:w w:val="90"/>
                                    <w:sz w:val="21"/>
                                    <w:szCs w:val="21"/>
                                  </w:rPr>
                                </w:pPr>
                                <w:r>
                                  <w:rPr>
                                    <w:rFonts w:hint="eastAsia" w:ascii="楷体_GB2312" w:hAnsi="楷体_GB2312" w:eastAsia="楷体_GB2312" w:cs="楷体_GB2312"/>
                                    <w:b/>
                                    <w:bCs/>
                                    <w:spacing w:val="-11"/>
                                    <w:w w:val="90"/>
                                    <w:sz w:val="21"/>
                                    <w:szCs w:val="21"/>
                                  </w:rPr>
                                  <w:t>出具《重大执法决定</w:t>
                                </w:r>
                              </w:p>
                              <w:p>
                                <w:pPr>
                                  <w:spacing w:line="320" w:lineRule="exact"/>
                                  <w:jc w:val="center"/>
                                  <w:rPr>
                                    <w:rFonts w:hint="eastAsia" w:ascii="楷体_GB2312" w:hAnsi="楷体_GB2312" w:eastAsia="楷体_GB2312" w:cs="楷体_GB2312"/>
                                    <w:b/>
                                    <w:bCs/>
                                    <w:spacing w:val="-11"/>
                                    <w:w w:val="90"/>
                                    <w:sz w:val="21"/>
                                    <w:szCs w:val="21"/>
                                  </w:rPr>
                                </w:pPr>
                                <w:r>
                                  <w:rPr>
                                    <w:rFonts w:hint="eastAsia" w:ascii="楷体_GB2312" w:hAnsi="楷体_GB2312" w:eastAsia="楷体_GB2312" w:cs="楷体_GB2312"/>
                                    <w:b/>
                                    <w:bCs/>
                                    <w:spacing w:val="-11"/>
                                    <w:w w:val="90"/>
                                    <w:sz w:val="21"/>
                                    <w:szCs w:val="21"/>
                                  </w:rPr>
                                  <w:t>法制审核意见书》</w:t>
                                </w:r>
                              </w:p>
                            </w:txbxContent>
                          </v:textbox>
                        </v:shape>
                      </v:group>
                      <v:group id="组合 42" o:spid="_x0000_s1026" o:spt="203" style="position:absolute;left:9096;top:44742;height:1136;width:2401;" coordorigin="9096,44742" coordsize="2401,1136"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9096;top:44781;height:856;width:2401;" fillcolor="#FFFFFF" filled="t" stroked="t" coordsize="21600,21600" o:gfxdata="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g12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_x0000_s1026" o:spid="_x0000_s1026" o:spt="202" type="#_x0000_t202" style="position:absolute;left:9141;top:44742;height:1136;width:2312;"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报送行政执法机关负责人决定</w:t>
                                </w:r>
                              </w:p>
                            </w:txbxContent>
                          </v:textbox>
                        </v:shape>
                      </v:group>
                      <v:line id="_x0000_s1026" o:spid="_x0000_s1026" o:spt="20" style="position:absolute;left:5086;top:45797;flip:x;height:575;width:15;" filled="f" stroked="t" coordsize="21600,21600" o:gfxdata="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PZv+LgAAADa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group id="组合 43" o:spid="_x0000_s1026" o:spt="203" style="position:absolute;left:6454;top:47570;height:577;width:1598;" coordorigin="6454,47570" coordsize="1598,577"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6718;top:47622;height:500;width:1217;" fillcolor="#FFFFFF" filled="t" stroked="t" coordsize="21600,21600" o:gfxdata="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M5Iy/&#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_x0000_s1026" o:spid="_x0000_s1026" o:spt="202" type="#_x0000_t202" style="position:absolute;left:6454;top:47570;height:577;width:1598;"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归档</w:t>
                                </w:r>
                              </w:p>
                            </w:txbxContent>
                          </v:textbox>
                        </v:shape>
                      </v:group>
                      <v:line id="_x0000_s1026" o:spid="_x0000_s1026" o:spt="20" style="position:absolute;left:10279;top:45804;height:2037;width:1;" filled="f" stroked="t" coordsize="21600,21600" o:gfxdata="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PYTe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7947;top:47858;flip:x;height:1;width:2339;" filled="f" stroked="t" coordsize="21600,21600" o:gfxdata="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C8r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6413;top:42878;height:1;width:910;" filled="f" stroked="t" coordsize="21600,21600" o:gfxdata="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4V2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id="组合 37" o:spid="_x0000_s1026" o:spt="203" style="position:absolute;left:7303;top:40808;height:3829;width:4251;" coordorigin="7303,40808" coordsize="4251,3829"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_x0000_s1026" o:spid="_x0000_s1026" o:spt="176" type="#_x0000_t176" style="position:absolute;left:7303;top:40808;height:3829;width:4251;" fillcolor="#FFFFFF" filled="t" stroked="t" coordsize="21600,21600" o:gfxdata="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zq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_x0000_s1026" o:spid="_x0000_s1026" o:spt="202" type="#_x0000_t202" style="position:absolute;left:7303;top:40838;height:3796;width:4244;"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重点审核：</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1.行政执法主体是否合法；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2.行政执法人员是否具备执法资格；</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 xml:space="preserve">3. 行政执法程序是否合法； </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4. 案件事实是否清楚、证据是否合法充分；</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5. 适用法律、法规、规章是否准确，</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裁量基准运用是否适当；</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6.行政执法是否超行政执法机关法定权限；</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7.行政执法文书是否完备、规范；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8.违法行为是否涉嫌犯罪、需要移送司法机关；</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楷体_GB2312" w:hAnsi="楷体_GB2312" w:eastAsia="楷体_GB2312" w:cs="楷体_GB2312"/>
                                    <w:b/>
                                    <w:bCs/>
                                    <w:spacing w:val="-11"/>
                                    <w:w w:val="95"/>
                                    <w:sz w:val="21"/>
                                    <w:szCs w:val="21"/>
                                  </w:rPr>
                                </w:pPr>
                                <w:r>
                                  <w:rPr>
                                    <w:rFonts w:hint="eastAsia" w:ascii="楷体_GB2312" w:hAnsi="楷体_GB2312" w:eastAsia="楷体_GB2312" w:cs="楷体_GB2312"/>
                                    <w:b/>
                                    <w:bCs/>
                                    <w:spacing w:val="-11"/>
                                    <w:w w:val="95"/>
                                    <w:sz w:val="21"/>
                                    <w:szCs w:val="21"/>
                                  </w:rPr>
                                  <w:t>9.其他需要审核的内容。</w:t>
                                </w:r>
                              </w:p>
                            </w:txbxContent>
                          </v:textbox>
                        </v:shape>
                      </v:group>
                      <v:group id="组合 44" o:spid="_x0000_s1026" o:spt="203" style="position:absolute;left:3656;top:38088;height:4403;width:6649;" coordorigin="3656,38088" coordsize="6649,4403"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4076;top:38088;height:1005;width:2140;" fillcolor="#FFFFFF" filled="t" stroked="t" coordsize="21600,21600" arcsize="0.166666666666667" o:gfxdata="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U+0G/&#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执法机构报送材料提请审核</w:t>
                                </w:r>
                              </w:p>
                            </w:txbxContent>
                          </v:textbox>
                        </v:roundrect>
                        <v:line id="_x0000_s1026" o:spid="_x0000_s1026" o:spt="20" style="position:absolute;left:7721;top:38588;flip:x y;height:2142;width:9;" filled="f" stroked="t" coordsize="21600,21600" o:gfxdata="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QH8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oundrect id="_x0000_s1026" o:spid="_x0000_s1026" o:spt="2" style="position:absolute;left:7832;top:39389;height:636;width:2473;" fillcolor="#FFFFFF" filled="t" stroked="t" coordsize="21600,21600" arcsize="0.166666666666667" o:gfxdata="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3xAG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退回补充材料</w:t>
                                </w:r>
                              </w:p>
                            </w:txbxContent>
                          </v:textbox>
                        </v:roundrect>
                        <v:line id="_x0000_s1026" o:spid="_x0000_s1026" o:spt="20" style="position:absolute;left:5084;top:39171;height:954;width:14;" filled="f" stroked="t" coordsize="21600,21600" o:gfxdata="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nRv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id="组合 38" o:spid="_x0000_s1026" o:spt="203" style="position:absolute;left:3656;top:40123;height:1195;width:2854;" coordorigin="3656,40137" coordsize="2854,1195"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_x0000_s1026" o:spid="_x0000_s1026" o:spt="110" type="#_x0000_t110" style="position:absolute;left:3656;top:40137;flip:x;height:1195;width:2854;" fillcolor="#FFFFFF" filled="t" stroked="t" coordsize="21600,21600" o:gfxdata="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o/e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202" type="#_x0000_t202" style="position:absolute;left:4231;top:40439;height:684;width:1798;"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是否受理</w:t>
                                  </w:r>
                                </w:p>
                              </w:txbxContent>
                            </v:textbox>
                          </v:shape>
                        </v:group>
                        <v:shape id="_x0000_s1026" o:spid="_x0000_s1026" o:spt="176" type="#_x0000_t176" style="position:absolute;left:6892;top:39097;height:1150;width:617;" fillcolor="#FFFFFF" filled="t" stroked="t" coordsize="21600,21600" o:gfxdata="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0cU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shape>
                        <v:line id="_x0000_s1026" o:spid="_x0000_s1026" o:spt="20" style="position:absolute;left:6218;top:38599;flip:x;height:1;width:1517;" filled="f" stroked="t" coordsize="21600,21600" o:gfxdata="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4L8O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line id="_x0000_s1026" o:spid="_x0000_s1026" o:spt="20" style="position:absolute;left:5093;top:41364;height:1127;width:14;" filled="f" stroked="t" coordsize="21600,21600" o:gfxdata="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yDt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id="组合 39" o:spid="_x0000_s1026" o:spt="203" style="position:absolute;left:3861;top:41592;height:794;width:1186;" coordorigin="3861,41606" coordsize="1186,794"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3861;top:41644;height:525;width:1080;" fillcolor="#FFFFFF" filled="t" stroked="t" coordsize="21600,21600" o:gfxdata="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0su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202" type="#_x0000_t202" style="position:absolute;left:3969;top:41606;height:795;width:1079;"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受理</w:t>
                                  </w:r>
                                </w:p>
                              </w:txbxContent>
                            </v:textbox>
                          </v:shape>
                        </v:group>
                      </v:group>
                      <v:line id="_x0000_s1026" o:spid="_x0000_s1026" o:spt="20" style="position:absolute;left:5070;top:46969;height:872;width:1;" filled="f" stroked="t" coordsize="21600,21600" o:gfxdata="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pwk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v:group>
                <v:shape id="_x0000_s1026" o:spid="_x0000_s1026" o:spt="202" type="#_x0000_t202" style="position:absolute;left:3116;top:43583;height:705;width:1906;"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20" w:lineRule="exact"/>
                          <w:jc w:val="center"/>
                          <w:rPr>
                            <w:rFonts w:hint="eastAsia" w:ascii="楷体_GB2312" w:hAnsi="楷体_GB2312" w:eastAsia="楷体_GB2312" w:cs="楷体_GB2312"/>
                            <w:b/>
                            <w:bCs/>
                            <w:sz w:val="21"/>
                            <w:szCs w:val="21"/>
                          </w:rPr>
                        </w:pPr>
                        <w:r>
                          <w:rPr>
                            <w:rFonts w:hint="eastAsia" w:ascii="楷体_GB2312" w:hAnsi="楷体_GB2312" w:eastAsia="楷体_GB2312" w:cs="楷体_GB2312"/>
                            <w:b/>
                            <w:bCs/>
                            <w:sz w:val="21"/>
                            <w:szCs w:val="21"/>
                          </w:rPr>
                          <w:t>X个工作日</w:t>
                        </w:r>
                      </w:p>
                    </w:txbxContent>
                  </v:textbox>
                </v:shape>
                <v:shape id="_x0000_s1026" o:spid="_x0000_s1026" o:spt="202" type="#_x0000_t202" style="position:absolute;left:6856;top:39184;height:1169;width:700;" filled="f" stroked="f" coordsize="21600,21600" o:gfxdata="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zjK/&#10;AAAA2wAAAA8AAAAAAAAAAQAgAAAAIgAAAGRycy9kb3ducmV2LnhtbFBLAQIUABQAAAAIAIdO4kAz&#10;LwWeOwAAADkAAAAQAAAAAAAAAAEAIAAAAA4BAABkcnMvc2hhcGV4bWwueG1sUEsFBgAAAAAGAAYA&#10;WwEAALgDAAAAAA==&#10;">
                  <v:fill on="f" focussize="0,0"/>
                  <v:stroke on="f"/>
                  <v:imagedata o:title=""/>
                  <o:lock v:ext="edit" aspectratio="f"/>
                  <v:textbox style="layout-flow:vertical-ideographic;">
                    <w:txbxContent>
                      <w:p>
                        <w:pPr>
                          <w:rPr>
                            <w:rFonts w:hint="eastAsia" w:ascii="楷体_GB2312" w:hAnsi="楷体_GB2312" w:eastAsia="楷体_GB2312" w:cs="楷体_GB2312"/>
                            <w:b/>
                            <w:bCs/>
                            <w:sz w:val="28"/>
                            <w:szCs w:val="28"/>
                          </w:rPr>
                        </w:pPr>
                        <w:r>
                          <w:rPr>
                            <w:rFonts w:hint="eastAsia" w:ascii="楷体_GB2312" w:hAnsi="楷体_GB2312" w:eastAsia="楷体_GB2312" w:cs="楷体_GB2312"/>
                            <w:b/>
                            <w:bCs/>
                            <w:sz w:val="21"/>
                            <w:szCs w:val="21"/>
                          </w:rPr>
                          <w:t>不受理</w:t>
                        </w:r>
                      </w:p>
                    </w:txbxContent>
                  </v:textbox>
                </v:shape>
              </v:group>
            </w:pict>
          </mc:Fallback>
        </mc:AlternateContent>
      </w: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spacing w:line="380" w:lineRule="exact"/>
        <w:ind w:left="0" w:leftChars="0" w:right="0" w:rightChars="0" w:firstLine="560" w:firstLineChars="200"/>
        <w:jc w:val="both"/>
        <w:textAlignment w:val="auto"/>
        <w:rPr>
          <w:rFonts w:hint="eastAsia" w:ascii="方正仿宋简体" w:hAnsi="方正仿宋简体" w:eastAsia="方正仿宋简体" w:cs="方正仿宋简体"/>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80" w:lineRule="exact"/>
        <w:ind w:left="0" w:leftChars="0" w:right="0" w:rightChars="0" w:firstLine="560" w:firstLineChars="200"/>
        <w:jc w:val="both"/>
        <w:textAlignment w:val="auto"/>
        <w:rPr>
          <w:rFonts w:hint="eastAsia" w:ascii="方正仿宋简体" w:hAnsi="方正仿宋简体" w:eastAsia="方正仿宋简体" w:cs="方正仿宋简体"/>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40" w:lineRule="exact"/>
        <w:ind w:left="0" w:leftChars="0" w:right="0" w:rightChars="0" w:firstLine="480" w:firstLineChars="200"/>
        <w:jc w:val="both"/>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说明：各单位根据本单位实际情况，参照该法制审核流程图编制本单位重大行政许可、行政处罚、行政强制、行政征收等法制审核流程图。</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-178435</wp:posOffset>
            </wp:positionH>
            <wp:positionV relativeFrom="paragraph">
              <wp:posOffset>540385</wp:posOffset>
            </wp:positionV>
            <wp:extent cx="5414010" cy="6334760"/>
            <wp:effectExtent l="0" t="0" r="15240" b="8890"/>
            <wp:wrapNone/>
            <wp:docPr id="122" name="图片 122" descr="页面提取自－【附赠内容】中华人民共和国行政处罚法新旧对照与重点解读2021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页面提取自－【附赠内容】中华人民共和国行政处罚法新旧对照与重点解读2021年-2"/>
                    <pic:cNvPicPr>
                      <a:picLocks noChangeAspect="1"/>
                    </pic:cNvPicPr>
                  </pic:nvPicPr>
                  <pic:blipFill>
                    <a:blip r:embed="rId11"/>
                    <a:srcRect t="16630" b="19196"/>
                    <a:stretch>
                      <a:fillRect/>
                    </a:stretch>
                  </pic:blipFill>
                  <pic:spPr>
                    <a:xfrm>
                      <a:off x="0" y="0"/>
                      <a:ext cx="5414010" cy="6334760"/>
                    </a:xfrm>
                    <a:prstGeom prst="rect">
                      <a:avLst/>
                    </a:prstGeom>
                  </pic:spPr>
                </pic:pic>
              </a:graphicData>
            </a:graphic>
          </wp:anchor>
        </w:drawing>
      </w:r>
      <w:r>
        <w:rPr>
          <w:rFonts w:hint="eastAsia" w:ascii="方正小标宋简体" w:hAnsi="方正小标宋简体" w:eastAsia="方正小标宋简体" w:cs="方正小标宋简体"/>
          <w:b w:val="0"/>
          <w:bCs w:val="0"/>
          <w:color w:val="auto"/>
          <w:sz w:val="32"/>
          <w:szCs w:val="32"/>
          <w:highlight w:val="none"/>
          <w:lang w:val="en-US" w:eastAsia="zh-CN"/>
        </w:rPr>
        <w:t>4.当场收缴罚款流程图</w:t>
      </w:r>
      <w:r>
        <w:rPr>
          <w:rFonts w:hint="eastAsia" w:ascii="方正仿宋简体" w:hAnsi="方正仿宋简体" w:eastAsia="方正仿宋简体" w:cs="方正仿宋简体"/>
          <w:b w:val="0"/>
          <w:bCs w:val="0"/>
          <w:color w:val="auto"/>
          <w:sz w:val="32"/>
          <w:szCs w:val="32"/>
          <w:highlight w:val="none"/>
          <w:lang w:val="en-US" w:eastAsia="zh-CN"/>
        </w:rPr>
        <w:br w:type="textWrapping"/>
      </w: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keepNext w:val="0"/>
        <w:keepLines w:val="0"/>
        <w:pageBreakBefore w:val="0"/>
        <w:kinsoku/>
        <w:wordWrap/>
        <w:overflowPunct/>
        <w:topLinePunct w:val="0"/>
        <w:autoSpaceDE/>
        <w:autoSpaceDN/>
        <w:bidi w:val="0"/>
        <w:adjustRightInd w:val="0"/>
        <w:spacing w:line="580" w:lineRule="exact"/>
        <w:ind w:left="0" w:leftChars="0" w:right="0" w:rightChars="0" w:firstLine="643" w:firstLineChars="200"/>
        <w:jc w:val="both"/>
        <w:textAlignment w:val="auto"/>
        <w:rPr>
          <w:rFonts w:hint="eastAsia" w:ascii="方正仿宋简体" w:hAnsi="方正仿宋简体" w:eastAsia="方正仿宋简体" w:cs="方正仿宋简体"/>
          <w:b/>
          <w:bCs/>
          <w:sz w:val="32"/>
          <w:szCs w:val="32"/>
          <w:highlight w:val="none"/>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660" w:lineRule="exact"/>
        <w:textAlignment w:val="auto"/>
        <w:rPr>
          <w:rFonts w:hint="eastAsia"/>
          <w:sz w:val="44"/>
          <w:szCs w:val="44"/>
          <w:highlight w:val="none"/>
          <w:lang w:val="en-US" w:eastAsia="zh-CN"/>
        </w:rPr>
      </w:pPr>
      <w:r>
        <w:rPr>
          <w:rFonts w:hint="eastAsia"/>
          <w:sz w:val="44"/>
          <w:szCs w:val="44"/>
          <w:highlight w:val="none"/>
          <w:lang w:val="en-US" w:eastAsia="zh-CN"/>
        </w:rPr>
        <w:t>行政处罚文书示范文本</w:t>
      </w:r>
    </w:p>
    <w:p>
      <w:pPr>
        <w:rPr>
          <w:rFonts w:hint="eastAsia" w:ascii="宋体" w:hAnsi="宋体" w:eastAsia="方正大标宋简体"/>
          <w:bCs/>
          <w:sz w:val="32"/>
          <w:szCs w:val="32"/>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r>
        <w:rPr>
          <w:sz w:val="44"/>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1057275</wp:posOffset>
                </wp:positionV>
                <wp:extent cx="5247005" cy="709930"/>
                <wp:effectExtent l="0" t="0" r="10795" b="13970"/>
                <wp:wrapNone/>
                <wp:docPr id="46" name="文本框 46"/>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83.25pt;height:55.9pt;width:413.15pt;z-index:251670528;mso-width-relative:page;mso-height-relative:page;" fillcolor="#FFFFFF [3201]" filled="t" stroked="f" coordsize="21600,21600" o:gfxdata="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rwsBvXAAAACwEA&#10;AA8AAAAAAAAAAQAgAAAAIgAAAGRycy9kb3ducmV2LnhtbFBLAQIUABQAAAAIAIdO4kAhRuFAVAIA&#10;AJEEAAAOAAAAAAAAAAEAIAAAACYBAABkcnMvZTJvRG9jLnhtbFBLBQYAAAAABgAGAFkBAADsBQAA&#10;AAA=&#10;">
                <v:fill on="t" focussize="0,0"/>
                <v:stroke on="f" weight="0.5pt"/>
                <v:imagedata o:title=""/>
                <o:lock v:ext="edit" aspectratio="f"/>
                <v:textbox>
                  <w:txbxContent>
                    <w:p/>
                  </w:txbxContent>
                </v:textbox>
              </v:shape>
            </w:pict>
          </mc:Fallback>
        </mc:AlternateContent>
      </w: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p>
    <w:p>
      <w:pPr>
        <w:jc w:val="both"/>
        <w:rPr>
          <w:rFonts w:hint="eastAsia" w:ascii="宋体" w:hAnsi="宋体" w:eastAsia="方正大标宋简体"/>
          <w:bCs/>
          <w:sz w:val="44"/>
          <w:szCs w:val="44"/>
          <w:highlight w:val="none"/>
        </w:rPr>
      </w:pPr>
      <w:r>
        <w:rPr>
          <w:sz w:val="44"/>
        </w:rPr>
        <mc:AlternateContent>
          <mc:Choice Requires="wps">
            <w:drawing>
              <wp:anchor distT="0" distB="0" distL="114300" distR="114300" simplePos="0" relativeHeight="251671552" behindDoc="0" locked="0" layoutInCell="1" allowOverlap="1">
                <wp:simplePos x="0" y="0"/>
                <wp:positionH relativeFrom="column">
                  <wp:posOffset>-295275</wp:posOffset>
                </wp:positionH>
                <wp:positionV relativeFrom="paragraph">
                  <wp:posOffset>1146175</wp:posOffset>
                </wp:positionV>
                <wp:extent cx="5247005" cy="709930"/>
                <wp:effectExtent l="0" t="0" r="10795" b="13970"/>
                <wp:wrapNone/>
                <wp:docPr id="47" name="文本框 47"/>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90.25pt;height:55.9pt;width:413.15pt;z-index:251671552;mso-width-relative:page;mso-height-relative:page;" fillcolor="#FFFFFF [3201]" filled="t" stroked="f" coordsize="21600,21600" o:gfxdata="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jQmYdcAAAALAQAA&#10;DwAAAAAAAAABACAAAAAiAAAAZHJzL2Rvd25yZXYueG1sUEsBAhQAFAAAAAgAh07iQHQEKntTAgAA&#10;kQQAAA4AAAAAAAAAAQAgAAAAJgEAAGRycy9lMm9Eb2MueG1sUEsFBgAAAAAGAAYAWQEAAOsFAAAA&#10;AA==&#10;">
                <v:fill on="t" focussize="0,0"/>
                <v:stroke on="f" weight="0.5pt"/>
                <v:imagedata o:title=""/>
                <o:lock v:ext="edit" aspectratio="f"/>
                <v:textbox>
                  <w:txbxContent>
                    <w:p/>
                  </w:txbxContent>
                </v:textbox>
              </v:shape>
            </w:pict>
          </mc:Fallback>
        </mc:AlternateContent>
      </w:r>
    </w:p>
    <w:p>
      <w:pPr>
        <w:jc w:val="both"/>
        <w:rPr>
          <w:rFonts w:hint="eastAsia" w:ascii="宋体" w:hAnsi="宋体" w:eastAsia="方正大标宋简体"/>
          <w:bCs/>
          <w:sz w:val="44"/>
          <w:szCs w:val="44"/>
          <w:highlight w:val="none"/>
        </w:rPr>
      </w:pPr>
    </w:p>
    <w:p>
      <w:pPr>
        <w:pStyle w:val="2"/>
        <w:bidi w:val="0"/>
        <w:rPr>
          <w:rFonts w:hint="eastAsia"/>
          <w:lang w:val="en-US" w:eastAsia="zh-CN"/>
        </w:rPr>
      </w:pPr>
      <w:r>
        <w:rPr>
          <w:rFonts w:hint="eastAsia"/>
          <w:lang w:val="en-US" w:eastAsia="zh-CN"/>
        </w:rPr>
        <w:t xml:space="preserve">1、案卷封皮 </w:t>
      </w:r>
    </w:p>
    <w:p>
      <w:pPr>
        <w:rPr>
          <w:rFonts w:hint="eastAsia" w:ascii="宋体" w:hAnsi="宋体"/>
          <w:sz w:val="24"/>
          <w:szCs w:val="24"/>
          <w:highlight w:val="none"/>
        </w:rPr>
      </w:pPr>
    </w:p>
    <w:tbl>
      <w:tblPr>
        <w:tblStyle w:val="7"/>
        <w:tblpPr w:leftFromText="180" w:rightFromText="180" w:vertAnchor="text" w:tblpXSpec="center" w:tblpY="1"/>
        <w:tblOverlap w:val="never"/>
        <w:tblW w:w="852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705"/>
        <w:gridCol w:w="1283"/>
        <w:gridCol w:w="1080"/>
        <w:gridCol w:w="1260"/>
        <w:gridCol w:w="360"/>
        <w:gridCol w:w="1134"/>
        <w:gridCol w:w="170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93" w:hRule="exact"/>
        </w:trPr>
        <w:tc>
          <w:tcPr>
            <w:tcW w:w="8528" w:type="dxa"/>
            <w:gridSpan w:val="7"/>
            <w:noWrap w:val="0"/>
            <w:vAlign w:val="center"/>
          </w:tcPr>
          <w:p>
            <w:pPr>
              <w:keepNext w:val="0"/>
              <w:keepLines w:val="0"/>
              <w:suppressLineNumbers w:val="0"/>
              <w:spacing w:before="0" w:beforeAutospacing="0" w:after="0" w:afterAutospacing="0"/>
              <w:ind w:left="0" w:right="0"/>
              <w:jc w:val="center"/>
              <w:rPr>
                <w:rFonts w:hint="eastAsia" w:ascii="宋体" w:hAnsi="宋体"/>
                <w:b/>
                <w:sz w:val="24"/>
                <w:szCs w:val="24"/>
                <w:highlight w:val="none"/>
              </w:rPr>
            </w:pPr>
            <w:r>
              <w:rPr>
                <w:rFonts w:hint="eastAsia" w:ascii="宋体" w:hAnsi="宋体"/>
                <w:b/>
                <w:sz w:val="24"/>
                <w:szCs w:val="24"/>
                <w:highlight w:val="none"/>
              </w:rPr>
              <w:t>行政执法机关名称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5" w:hRule="atLeast"/>
        </w:trPr>
        <w:tc>
          <w:tcPr>
            <w:tcW w:w="8528" w:type="dxa"/>
            <w:gridSpan w:val="7"/>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仿宋_GB2312"/>
                <w:sz w:val="24"/>
                <w:szCs w:val="24"/>
                <w:highlight w:val="none"/>
              </w:rPr>
              <w:t>××</w:t>
            </w:r>
            <w:r>
              <w:rPr>
                <w:rFonts w:hint="eastAsia" w:ascii="宋体" w:hAnsi="宋体" w:eastAsia="黑体"/>
                <w:sz w:val="24"/>
                <w:szCs w:val="24"/>
                <w:highlight w:val="none"/>
              </w:rPr>
              <w:t>年度（行政处罚文书编号）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06" w:hRule="atLeast"/>
        </w:trPr>
        <w:tc>
          <w:tcPr>
            <w:tcW w:w="1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案件名称</w:t>
            </w:r>
          </w:p>
        </w:tc>
        <w:tc>
          <w:tcPr>
            <w:tcW w:w="6823" w:type="dxa"/>
            <w:gridSpan w:val="6"/>
            <w:noWrap w:val="0"/>
            <w:vAlign w:val="top"/>
          </w:tcPr>
          <w:p>
            <w:pPr>
              <w:keepNext w:val="0"/>
              <w:keepLines w:val="0"/>
              <w:suppressLineNumbers w:val="0"/>
              <w:spacing w:before="0" w:beforeAutospacing="0" w:after="0" w:afterAutospacing="0"/>
              <w:ind w:left="0" w:right="0"/>
              <w:rPr>
                <w:rFonts w:hint="default"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69" w:hRule="atLeast"/>
        </w:trPr>
        <w:tc>
          <w:tcPr>
            <w:tcW w:w="170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当 事 人</w:t>
            </w:r>
          </w:p>
        </w:tc>
        <w:tc>
          <w:tcPr>
            <w:tcW w:w="1283" w:type="dxa"/>
            <w:noWrap w:val="0"/>
            <w:vAlign w:val="center"/>
          </w:tcPr>
          <w:p>
            <w:pPr>
              <w:keepNext w:val="0"/>
              <w:keepLines w:val="0"/>
              <w:suppressLineNumbers w:val="0"/>
              <w:spacing w:before="0" w:beforeAutospacing="0" w:after="0" w:afterAutospacing="0"/>
              <w:ind w:left="0" w:right="0"/>
              <w:jc w:val="center"/>
              <w:rPr>
                <w:rFonts w:hint="default" w:ascii="宋体" w:hAnsi="宋体" w:eastAsia="黑体"/>
                <w:sz w:val="24"/>
                <w:szCs w:val="24"/>
                <w:highlight w:val="none"/>
              </w:rPr>
            </w:pPr>
            <w:r>
              <w:rPr>
                <w:rFonts w:hint="eastAsia" w:ascii="宋体" w:hAnsi="宋体" w:eastAsia="黑体"/>
                <w:sz w:val="24"/>
                <w:szCs w:val="24"/>
                <w:highlight w:val="none"/>
              </w:rPr>
              <w:t>姓名或</w:t>
            </w:r>
          </w:p>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名  称</w:t>
            </w:r>
          </w:p>
        </w:tc>
        <w:tc>
          <w:tcPr>
            <w:tcW w:w="2340"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eastAsia="黑体"/>
                <w:sz w:val="24"/>
                <w:szCs w:val="24"/>
                <w:highlight w:val="none"/>
              </w:rPr>
            </w:pPr>
          </w:p>
        </w:tc>
        <w:tc>
          <w:tcPr>
            <w:tcW w:w="1494" w:type="dxa"/>
            <w:gridSpan w:val="2"/>
            <w:noWrap w:val="0"/>
            <w:vAlign w:val="center"/>
          </w:tcPr>
          <w:p>
            <w:pPr>
              <w:keepNext w:val="0"/>
              <w:keepLines w:val="0"/>
              <w:suppressLineNumbers w:val="0"/>
              <w:spacing w:before="0" w:beforeAutospacing="0" w:after="0" w:afterAutospacing="0"/>
              <w:ind w:left="0" w:right="0" w:firstLine="120" w:firstLineChars="50"/>
              <w:jc w:val="center"/>
              <w:rPr>
                <w:rFonts w:hint="default" w:ascii="宋体" w:hAnsi="宋体" w:eastAsia="黑体"/>
                <w:sz w:val="24"/>
                <w:szCs w:val="24"/>
                <w:highlight w:val="none"/>
              </w:rPr>
            </w:pPr>
            <w:r>
              <w:rPr>
                <w:rFonts w:hint="eastAsia" w:ascii="宋体" w:hAnsi="宋体" w:eastAsia="黑体"/>
                <w:sz w:val="24"/>
                <w:szCs w:val="24"/>
                <w:highlight w:val="none"/>
              </w:rPr>
              <w:t>法  定</w:t>
            </w:r>
          </w:p>
          <w:p>
            <w:pPr>
              <w:keepNext w:val="0"/>
              <w:keepLines w:val="0"/>
              <w:suppressLineNumbers w:val="0"/>
              <w:spacing w:before="0" w:beforeAutospacing="0" w:after="0" w:afterAutospacing="0"/>
              <w:ind w:left="0" w:right="0" w:firstLine="120" w:firstLineChars="50"/>
              <w:jc w:val="center"/>
              <w:rPr>
                <w:rFonts w:hint="eastAsia" w:ascii="宋体" w:hAnsi="宋体" w:eastAsia="黑体"/>
                <w:sz w:val="24"/>
                <w:szCs w:val="24"/>
                <w:highlight w:val="none"/>
              </w:rPr>
            </w:pPr>
            <w:r>
              <w:rPr>
                <w:rFonts w:hint="eastAsia" w:ascii="宋体" w:hAnsi="宋体" w:eastAsia="黑体"/>
                <w:sz w:val="24"/>
                <w:szCs w:val="24"/>
                <w:highlight w:val="none"/>
              </w:rPr>
              <w:t>代表人</w:t>
            </w:r>
          </w:p>
        </w:tc>
        <w:tc>
          <w:tcPr>
            <w:tcW w:w="1706" w:type="dxa"/>
            <w:noWrap w:val="0"/>
            <w:vAlign w:val="top"/>
          </w:tcPr>
          <w:p>
            <w:pPr>
              <w:keepNext w:val="0"/>
              <w:keepLines w:val="0"/>
              <w:suppressLineNumbers w:val="0"/>
              <w:spacing w:before="0" w:beforeAutospacing="0" w:after="0" w:afterAutospacing="0"/>
              <w:ind w:left="0" w:right="0"/>
              <w:rPr>
                <w:rFonts w:hint="default"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29" w:hRule="atLeast"/>
        </w:trPr>
        <w:tc>
          <w:tcPr>
            <w:tcW w:w="170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p>
        </w:tc>
        <w:tc>
          <w:tcPr>
            <w:tcW w:w="1283" w:type="dxa"/>
            <w:noWrap w:val="0"/>
            <w:vAlign w:val="center"/>
          </w:tcPr>
          <w:p>
            <w:pPr>
              <w:keepNext w:val="0"/>
              <w:keepLines w:val="0"/>
              <w:suppressLineNumbers w:val="0"/>
              <w:spacing w:before="0" w:beforeAutospacing="0" w:after="0" w:afterAutospacing="0"/>
              <w:ind w:left="0" w:right="0"/>
              <w:jc w:val="center"/>
              <w:rPr>
                <w:rFonts w:hint="default" w:ascii="宋体" w:hAnsi="宋体" w:eastAsia="黑体"/>
                <w:sz w:val="24"/>
                <w:szCs w:val="24"/>
                <w:highlight w:val="none"/>
              </w:rPr>
            </w:pPr>
            <w:r>
              <w:rPr>
                <w:rFonts w:hint="eastAsia" w:ascii="宋体" w:hAnsi="宋体" w:eastAsia="黑体"/>
                <w:sz w:val="24"/>
                <w:szCs w:val="24"/>
                <w:highlight w:val="none"/>
              </w:rPr>
              <w:t>住址或</w:t>
            </w:r>
          </w:p>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地  址</w:t>
            </w:r>
          </w:p>
        </w:tc>
        <w:tc>
          <w:tcPr>
            <w:tcW w:w="2340"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eastAsia="黑体"/>
                <w:sz w:val="24"/>
                <w:szCs w:val="24"/>
                <w:highlight w:val="none"/>
              </w:rPr>
            </w:pPr>
          </w:p>
        </w:tc>
        <w:tc>
          <w:tcPr>
            <w:tcW w:w="1494"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电  话</w:t>
            </w:r>
          </w:p>
        </w:tc>
        <w:tc>
          <w:tcPr>
            <w:tcW w:w="1706" w:type="dxa"/>
            <w:noWrap w:val="0"/>
            <w:vAlign w:val="top"/>
          </w:tcPr>
          <w:p>
            <w:pPr>
              <w:keepNext w:val="0"/>
              <w:keepLines w:val="0"/>
              <w:suppressLineNumbers w:val="0"/>
              <w:spacing w:before="0" w:beforeAutospacing="0" w:after="0" w:afterAutospacing="0"/>
              <w:ind w:left="0" w:right="0"/>
              <w:rPr>
                <w:rFonts w:hint="default"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90" w:hRule="atLeast"/>
        </w:trPr>
        <w:tc>
          <w:tcPr>
            <w:tcW w:w="1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简要案情</w:t>
            </w:r>
          </w:p>
        </w:tc>
        <w:tc>
          <w:tcPr>
            <w:tcW w:w="6823" w:type="dxa"/>
            <w:gridSpan w:val="6"/>
            <w:noWrap w:val="0"/>
            <w:vAlign w:val="top"/>
          </w:tcPr>
          <w:p>
            <w:pPr>
              <w:keepNext w:val="0"/>
              <w:keepLines w:val="0"/>
              <w:suppressLineNumbers w:val="0"/>
              <w:spacing w:before="0" w:beforeAutospacing="0" w:after="0" w:afterAutospacing="0"/>
              <w:ind w:left="0" w:right="0"/>
              <w:rPr>
                <w:rFonts w:hint="default"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6" w:hRule="atLeast"/>
        </w:trPr>
        <w:tc>
          <w:tcPr>
            <w:tcW w:w="1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处理结果</w:t>
            </w:r>
          </w:p>
        </w:tc>
        <w:tc>
          <w:tcPr>
            <w:tcW w:w="6823" w:type="dxa"/>
            <w:gridSpan w:val="6"/>
            <w:noWrap w:val="0"/>
            <w:vAlign w:val="top"/>
          </w:tcPr>
          <w:p>
            <w:pPr>
              <w:keepNext w:val="0"/>
              <w:keepLines w:val="0"/>
              <w:suppressLineNumbers w:val="0"/>
              <w:spacing w:before="0" w:beforeAutospacing="0" w:after="0" w:afterAutospacing="0"/>
              <w:ind w:left="0" w:right="0"/>
              <w:rPr>
                <w:rFonts w:hint="default"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36" w:hRule="atLeast"/>
        </w:trPr>
        <w:tc>
          <w:tcPr>
            <w:tcW w:w="1705" w:type="dxa"/>
            <w:noWrap w:val="0"/>
            <w:vAlign w:val="center"/>
          </w:tcPr>
          <w:p>
            <w:pPr>
              <w:keepNext w:val="0"/>
              <w:keepLines w:val="0"/>
              <w:suppressLineNumbers w:val="0"/>
              <w:spacing w:before="0" w:beforeAutospacing="0" w:after="0" w:afterAutospacing="0"/>
              <w:ind w:left="0" w:right="0" w:firstLine="120" w:firstLineChars="50"/>
              <w:rPr>
                <w:rFonts w:hint="eastAsia" w:ascii="宋体" w:hAnsi="宋体" w:eastAsia="黑体"/>
                <w:sz w:val="24"/>
                <w:szCs w:val="24"/>
                <w:highlight w:val="none"/>
              </w:rPr>
            </w:pPr>
            <w:r>
              <w:rPr>
                <w:rFonts w:hint="eastAsia" w:ascii="宋体" w:hAnsi="宋体" w:eastAsia="黑体"/>
                <w:sz w:val="24"/>
                <w:szCs w:val="24"/>
                <w:highlight w:val="none"/>
              </w:rPr>
              <w:t>承办单位</w:t>
            </w:r>
          </w:p>
        </w:tc>
        <w:tc>
          <w:tcPr>
            <w:tcW w:w="2363" w:type="dxa"/>
            <w:gridSpan w:val="2"/>
            <w:noWrap w:val="0"/>
            <w:vAlign w:val="top"/>
          </w:tcPr>
          <w:p>
            <w:pPr>
              <w:keepNext w:val="0"/>
              <w:keepLines w:val="0"/>
              <w:suppressLineNumbers w:val="0"/>
              <w:spacing w:before="0" w:beforeAutospacing="0" w:after="0" w:afterAutospacing="0"/>
              <w:ind w:left="0" w:right="0"/>
              <w:rPr>
                <w:rFonts w:hint="eastAsia" w:ascii="宋体" w:hAnsi="宋体" w:eastAsia="黑体"/>
                <w:sz w:val="24"/>
                <w:szCs w:val="24"/>
                <w:highlight w:val="none"/>
              </w:rPr>
            </w:pPr>
          </w:p>
        </w:tc>
        <w:tc>
          <w:tcPr>
            <w:tcW w:w="1620"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承办人</w:t>
            </w:r>
          </w:p>
        </w:tc>
        <w:tc>
          <w:tcPr>
            <w:tcW w:w="2840" w:type="dxa"/>
            <w:gridSpan w:val="2"/>
            <w:noWrap w:val="0"/>
            <w:vAlign w:val="center"/>
          </w:tcPr>
          <w:p>
            <w:pPr>
              <w:keepNext w:val="0"/>
              <w:keepLines w:val="0"/>
              <w:suppressLineNumbers w:val="0"/>
              <w:spacing w:before="0" w:beforeAutospacing="0" w:after="0" w:afterAutospacing="0"/>
              <w:ind w:left="0" w:right="0"/>
              <w:jc w:val="right"/>
              <w:rPr>
                <w:rFonts w:hint="eastAsia" w:ascii="宋体" w:hAnsi="宋体" w:eastAsia="黑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49" w:hRule="atLeast"/>
        </w:trPr>
        <w:tc>
          <w:tcPr>
            <w:tcW w:w="1705" w:type="dxa"/>
            <w:noWrap w:val="0"/>
            <w:vAlign w:val="center"/>
          </w:tcPr>
          <w:p>
            <w:pPr>
              <w:keepNext w:val="0"/>
              <w:keepLines w:val="0"/>
              <w:suppressLineNumbers w:val="0"/>
              <w:spacing w:before="0" w:beforeAutospacing="0" w:after="0" w:afterAutospacing="0"/>
              <w:ind w:left="0" w:right="0" w:firstLine="120" w:firstLineChars="50"/>
              <w:rPr>
                <w:rFonts w:hint="eastAsia" w:ascii="宋体" w:hAnsi="宋体" w:eastAsia="黑体"/>
                <w:sz w:val="24"/>
                <w:szCs w:val="24"/>
                <w:highlight w:val="none"/>
              </w:rPr>
            </w:pPr>
            <w:r>
              <w:rPr>
                <w:rFonts w:hint="eastAsia" w:ascii="宋体" w:hAnsi="宋体" w:eastAsia="黑体"/>
                <w:sz w:val="24"/>
                <w:szCs w:val="24"/>
                <w:highlight w:val="none"/>
              </w:rPr>
              <w:t>立案日期</w:t>
            </w:r>
          </w:p>
        </w:tc>
        <w:tc>
          <w:tcPr>
            <w:tcW w:w="2363" w:type="dxa"/>
            <w:gridSpan w:val="2"/>
            <w:noWrap w:val="0"/>
            <w:vAlign w:val="center"/>
          </w:tcPr>
          <w:p>
            <w:pPr>
              <w:keepNext w:val="0"/>
              <w:keepLines w:val="0"/>
              <w:suppressLineNumbers w:val="0"/>
              <w:spacing w:before="0" w:beforeAutospacing="0" w:after="0" w:afterAutospacing="0"/>
              <w:ind w:left="0" w:right="0"/>
              <w:jc w:val="right"/>
              <w:rPr>
                <w:rFonts w:hint="eastAsia" w:ascii="宋体" w:hAnsi="宋体" w:eastAsia="黑体"/>
                <w:sz w:val="24"/>
                <w:szCs w:val="24"/>
                <w:highlight w:val="none"/>
              </w:rPr>
            </w:pPr>
            <w:r>
              <w:rPr>
                <w:rFonts w:hint="eastAsia" w:ascii="宋体" w:hAnsi="宋体" w:eastAsia="黑体"/>
                <w:sz w:val="24"/>
                <w:szCs w:val="24"/>
                <w:highlight w:val="none"/>
              </w:rPr>
              <w:t>年  月  日</w:t>
            </w:r>
          </w:p>
        </w:tc>
        <w:tc>
          <w:tcPr>
            <w:tcW w:w="1620"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结案日期</w:t>
            </w:r>
          </w:p>
        </w:tc>
        <w:tc>
          <w:tcPr>
            <w:tcW w:w="2840" w:type="dxa"/>
            <w:gridSpan w:val="2"/>
            <w:noWrap w:val="0"/>
            <w:vAlign w:val="center"/>
          </w:tcPr>
          <w:p>
            <w:pPr>
              <w:keepNext w:val="0"/>
              <w:keepLines w:val="0"/>
              <w:suppressLineNumbers w:val="0"/>
              <w:spacing w:before="0" w:beforeAutospacing="0" w:after="0" w:afterAutospacing="0"/>
              <w:ind w:left="0" w:right="0"/>
              <w:jc w:val="right"/>
              <w:rPr>
                <w:rFonts w:hint="eastAsia" w:ascii="宋体" w:hAnsi="宋体" w:eastAsia="黑体"/>
                <w:sz w:val="24"/>
                <w:szCs w:val="24"/>
                <w:highlight w:val="none"/>
              </w:rPr>
            </w:pPr>
            <w:r>
              <w:rPr>
                <w:rFonts w:hint="eastAsia" w:ascii="宋体" w:hAnsi="宋体" w:eastAsia="黑体"/>
                <w:sz w:val="24"/>
                <w:szCs w:val="24"/>
                <w:highlight w:val="none"/>
              </w:rPr>
              <w:t>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10" w:hRule="atLeast"/>
        </w:trPr>
        <w:tc>
          <w:tcPr>
            <w:tcW w:w="1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归档人</w:t>
            </w:r>
          </w:p>
        </w:tc>
        <w:tc>
          <w:tcPr>
            <w:tcW w:w="2363" w:type="dxa"/>
            <w:gridSpan w:val="2"/>
            <w:noWrap w:val="0"/>
            <w:vAlign w:val="center"/>
          </w:tcPr>
          <w:p>
            <w:pPr>
              <w:keepNext w:val="0"/>
              <w:keepLines w:val="0"/>
              <w:suppressLineNumbers w:val="0"/>
              <w:spacing w:before="0" w:beforeAutospacing="0" w:after="0" w:afterAutospacing="0"/>
              <w:ind w:left="0" w:right="0" w:firstLine="600" w:firstLineChars="250"/>
              <w:jc w:val="center"/>
              <w:rPr>
                <w:rFonts w:hint="default" w:ascii="宋体" w:hAnsi="宋体" w:eastAsia="黑体"/>
                <w:sz w:val="24"/>
                <w:szCs w:val="24"/>
                <w:highlight w:val="none"/>
              </w:rPr>
            </w:pPr>
          </w:p>
        </w:tc>
        <w:tc>
          <w:tcPr>
            <w:tcW w:w="1620"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归档日期</w:t>
            </w:r>
          </w:p>
        </w:tc>
        <w:tc>
          <w:tcPr>
            <w:tcW w:w="2840"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42" w:hRule="atLeast"/>
        </w:trPr>
        <w:tc>
          <w:tcPr>
            <w:tcW w:w="17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保管期限</w:t>
            </w:r>
          </w:p>
        </w:tc>
        <w:tc>
          <w:tcPr>
            <w:tcW w:w="2363" w:type="dxa"/>
            <w:gridSpan w:val="2"/>
            <w:noWrap w:val="0"/>
            <w:vAlign w:val="center"/>
          </w:tcPr>
          <w:p>
            <w:pPr>
              <w:keepNext w:val="0"/>
              <w:keepLines w:val="0"/>
              <w:suppressLineNumbers w:val="0"/>
              <w:spacing w:before="0" w:beforeAutospacing="0" w:after="0" w:afterAutospacing="0"/>
              <w:ind w:left="0" w:right="0" w:firstLine="600" w:firstLineChars="250"/>
              <w:jc w:val="center"/>
              <w:rPr>
                <w:rFonts w:hint="eastAsia" w:ascii="宋体" w:hAnsi="宋体" w:eastAsia="黑体"/>
                <w:sz w:val="24"/>
                <w:szCs w:val="24"/>
                <w:highlight w:val="none"/>
              </w:rPr>
            </w:pPr>
          </w:p>
        </w:tc>
        <w:tc>
          <w:tcPr>
            <w:tcW w:w="1620"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归档号</w:t>
            </w:r>
          </w:p>
        </w:tc>
        <w:tc>
          <w:tcPr>
            <w:tcW w:w="113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p>
        </w:tc>
        <w:tc>
          <w:tcPr>
            <w:tcW w:w="170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卷内    页</w:t>
            </w:r>
          </w:p>
        </w:tc>
      </w:tr>
    </w:tbl>
    <w:p>
      <w:pPr>
        <w:jc w:val="center"/>
        <w:rPr>
          <w:rFonts w:hint="eastAsia" w:ascii="宋体" w:hAnsi="宋体" w:eastAsia="方正大标宋简体"/>
          <w:bCs/>
          <w:sz w:val="24"/>
          <w:szCs w:val="24"/>
          <w:highlight w:val="none"/>
        </w:rPr>
      </w:pPr>
      <w:r>
        <w:rPr>
          <w:rFonts w:ascii="宋体" w:hAnsi="宋体"/>
          <w:sz w:val="24"/>
          <w:szCs w:val="24"/>
          <w:highlight w:val="none"/>
        </w:rPr>
        <w:br w:type="page"/>
      </w:r>
      <w:r>
        <w:rPr>
          <w:rStyle w:val="10"/>
          <w:rFonts w:hint="default"/>
          <w:lang w:val="en-US" w:eastAsia="zh-CN"/>
        </w:rPr>
        <mc:AlternateContent>
          <mc:Choice Requires="wps">
            <w:drawing>
              <wp:anchor distT="0" distB="0" distL="114300" distR="114300" simplePos="0" relativeHeight="251661312" behindDoc="0" locked="0" layoutInCell="1" allowOverlap="1">
                <wp:simplePos x="0" y="0"/>
                <wp:positionH relativeFrom="column">
                  <wp:posOffset>7000875</wp:posOffset>
                </wp:positionH>
                <wp:positionV relativeFrom="paragraph">
                  <wp:posOffset>297180</wp:posOffset>
                </wp:positionV>
                <wp:extent cx="914400" cy="914400"/>
                <wp:effectExtent l="4445" t="4445" r="14605" b="14605"/>
                <wp:wrapNone/>
                <wp:docPr id="1" name="椭圆 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51.25pt;margin-top:23.4pt;height:72pt;width:72pt;z-index:251661312;mso-width-relative:page;mso-height-relative:page;" fillcolor="#FFFFFF" filled="t" stroked="t" coordsize="21600,21600" o:gfxdata="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o1annZAAAADAEAAA8AAAAAAAAAAQAgAAAAIgAAAGRycy9kb3ducmV2LnhtbFBLAQIU&#10;ABQAAAAIAIdO4kD9idTg8gEAABYEAAAOAAAAAAAAAAEAIAAAACgBAABkcnMvZTJvRG9jLnhtbFBL&#10;BQYAAAAABgAGAFkBAACMBQAAAAA=&#10;">
                <v:fill on="t" focussize="0,0"/>
                <v:stroke color="#000000" joinstyle="round"/>
                <v:imagedata o:title=""/>
                <o:lock v:ext="edit" aspectratio="f"/>
              </v:shape>
            </w:pict>
          </mc:Fallback>
        </mc:AlternateContent>
      </w:r>
      <w:r>
        <w:rPr>
          <w:rStyle w:val="10"/>
          <w:rFonts w:hint="eastAsia"/>
          <w:lang w:val="en-US" w:eastAsia="zh-CN"/>
        </w:rPr>
        <w:t>2、案卷目录</w:t>
      </w:r>
    </w:p>
    <w:p>
      <w:pPr>
        <w:tabs>
          <w:tab w:val="left" w:pos="1470"/>
          <w:tab w:val="center" w:pos="4422"/>
        </w:tabs>
        <w:jc w:val="center"/>
        <w:rPr>
          <w:rFonts w:hint="eastAsia" w:ascii="宋体" w:hAnsi="宋体"/>
          <w:sz w:val="24"/>
          <w:szCs w:val="24"/>
          <w:highlight w:val="none"/>
        </w:rPr>
      </w:pPr>
    </w:p>
    <w:tbl>
      <w:tblPr>
        <w:tblStyle w:val="7"/>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395"/>
        <w:gridCol w:w="1111"/>
        <w:gridCol w:w="1453"/>
        <w:gridCol w:w="1197"/>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01"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序号</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文书 （材料）</w:t>
            </w:r>
          </w:p>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名称</w:t>
            </w: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制作</w:t>
            </w:r>
          </w:p>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日期</w:t>
            </w:r>
          </w:p>
        </w:tc>
        <w:tc>
          <w:tcPr>
            <w:tcW w:w="943"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数量（份）</w:t>
            </w:r>
          </w:p>
        </w:tc>
        <w:tc>
          <w:tcPr>
            <w:tcW w:w="777"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页 号</w:t>
            </w:r>
          </w:p>
        </w:tc>
        <w:tc>
          <w:tcPr>
            <w:tcW w:w="499" w:type="pct"/>
            <w:noWrap w:val="0"/>
            <w:vAlign w:val="center"/>
          </w:tcPr>
          <w:p>
            <w:pPr>
              <w:keepNext w:val="0"/>
              <w:keepLines w:val="0"/>
              <w:suppressLineNumbers w:val="0"/>
              <w:spacing w:before="0" w:beforeAutospacing="0" w:after="0" w:afterAutospacing="0"/>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tabs>
                <w:tab w:val="center" w:pos="1312"/>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2</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tabs>
                <w:tab w:val="center" w:pos="1312"/>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3</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4</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5</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6</w:t>
            </w:r>
          </w:p>
        </w:tc>
        <w:tc>
          <w:tcPr>
            <w:tcW w:w="1555" w:type="pct"/>
            <w:noWrap w:val="0"/>
            <w:vAlign w:val="center"/>
          </w:tcPr>
          <w:p>
            <w:pPr>
              <w:keepNext w:val="0"/>
              <w:keepLines w:val="0"/>
              <w:suppressLineNumbers w:val="0"/>
              <w:tabs>
                <w:tab w:val="left" w:pos="880"/>
              </w:tabs>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tabs>
                <w:tab w:val="left" w:pos="880"/>
              </w:tabs>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7</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r>
              <w:rPr>
                <w:rFonts w:hint="eastAsia" w:ascii="宋体" w:hAnsi="宋体"/>
                <w:sz w:val="24"/>
                <w:szCs w:val="24"/>
                <w:highlight w:val="none"/>
              </w:rPr>
              <w:t>8</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r>
              <w:rPr>
                <w:rFonts w:hint="eastAsia" w:ascii="宋体" w:hAnsi="宋体"/>
                <w:sz w:val="24"/>
                <w:szCs w:val="24"/>
                <w:highlight w:val="none"/>
              </w:rPr>
              <w:t>9</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10</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11</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12</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r>
              <w:rPr>
                <w:rFonts w:hint="eastAsia" w:ascii="宋体" w:hAnsi="宋体"/>
                <w:sz w:val="24"/>
                <w:szCs w:val="24"/>
                <w:highlight w:val="none"/>
              </w:rPr>
              <w:t>13</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14</w:t>
            </w:r>
          </w:p>
        </w:tc>
        <w:tc>
          <w:tcPr>
            <w:tcW w:w="1555"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p>
        </w:tc>
        <w:tc>
          <w:tcPr>
            <w:tcW w:w="943" w:type="pct"/>
            <w:noWrap w:val="0"/>
            <w:vAlign w:val="center"/>
          </w:tcPr>
          <w:p>
            <w:pPr>
              <w:keepNext w:val="0"/>
              <w:keepLines w:val="0"/>
              <w:suppressLineNumbers w:val="0"/>
              <w:tabs>
                <w:tab w:val="right" w:pos="2625"/>
              </w:tabs>
              <w:spacing w:before="0" w:beforeAutospacing="0" w:after="0" w:afterAutospacing="0"/>
              <w:ind w:left="0" w:right="0"/>
              <w:jc w:val="center"/>
              <w:rPr>
                <w:rFonts w:hint="default"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r>
              <w:rPr>
                <w:rFonts w:hint="eastAsia" w:ascii="宋体" w:hAnsi="宋体"/>
                <w:sz w:val="24"/>
                <w:szCs w:val="24"/>
                <w:highlight w:val="none"/>
              </w:rPr>
              <w:t>15</w:t>
            </w:r>
          </w:p>
        </w:tc>
        <w:tc>
          <w:tcPr>
            <w:tcW w:w="1555"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21"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943" w:type="pct"/>
            <w:noWrap w:val="0"/>
            <w:vAlign w:val="center"/>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tc>
        <w:tc>
          <w:tcPr>
            <w:tcW w:w="777"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c>
          <w:tcPr>
            <w:tcW w:w="499" w:type="pct"/>
            <w:noWrap w:val="0"/>
            <w:vAlign w:val="center"/>
          </w:tcPr>
          <w:p>
            <w:pPr>
              <w:keepNext w:val="0"/>
              <w:keepLines w:val="0"/>
              <w:suppressLineNumbers w:val="0"/>
              <w:spacing w:before="0" w:beforeAutospacing="0" w:after="0" w:afterAutospacing="0" w:line="600" w:lineRule="exact"/>
              <w:ind w:left="0" w:right="0"/>
              <w:jc w:val="center"/>
              <w:rPr>
                <w:rFonts w:hint="eastAsia" w:ascii="宋体" w:hAnsi="宋体"/>
                <w:sz w:val="24"/>
                <w:szCs w:val="24"/>
                <w:highlight w:val="none"/>
              </w:rPr>
            </w:pPr>
          </w:p>
        </w:tc>
      </w:tr>
    </w:tbl>
    <w:p>
      <w:pPr>
        <w:pStyle w:val="2"/>
        <w:bidi w:val="0"/>
        <w:rPr>
          <w:rFonts w:hint="eastAsia"/>
          <w:lang w:val="en-US" w:eastAsia="zh-CN"/>
        </w:rPr>
      </w:pPr>
      <w:r>
        <w:rPr>
          <w:rFonts w:hint="eastAsia"/>
          <w:lang w:val="en-US" w:eastAsia="zh-CN"/>
        </w:rPr>
        <w:t>3、行政处罚立案审批表</w:t>
      </w:r>
    </w:p>
    <w:p>
      <w:pPr>
        <w:ind w:right="128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                    文书编号：</w:t>
      </w:r>
    </w:p>
    <w:tbl>
      <w:tblPr>
        <w:tblStyle w:val="7"/>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285"/>
        <w:gridCol w:w="1293"/>
        <w:gridCol w:w="194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41"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2578" w:type="dxa"/>
            <w:gridSpan w:val="2"/>
            <w:tcBorders>
              <w:top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943" w:type="dxa"/>
            <w:tcBorders>
              <w:top w:val="single" w:color="auto" w:sz="12" w:space="0"/>
            </w:tcBorders>
            <w:noWrap w:val="0"/>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p>
        </w:tc>
        <w:tc>
          <w:tcPr>
            <w:tcW w:w="1864"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1941" w:type="dxa"/>
            <w:vMerge w:val="restart"/>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2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293" w:type="dxa"/>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94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864"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1941" w:type="dxa"/>
            <w:vMerge w:val="continue"/>
            <w:tcBorders>
              <w:lef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2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2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94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864"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1941"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及立案依据</w:t>
            </w:r>
          </w:p>
        </w:tc>
        <w:tc>
          <w:tcPr>
            <w:tcW w:w="6385"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941"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385"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941"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85"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1941"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385"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2" w:hRule="atLeast"/>
          <w:jc w:val="center"/>
        </w:trPr>
        <w:tc>
          <w:tcPr>
            <w:tcW w:w="1941"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行政执法机关负责人</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85"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3" w:hRule="atLeast"/>
          <w:jc w:val="center"/>
        </w:trPr>
        <w:tc>
          <w:tcPr>
            <w:tcW w:w="1941"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385" w:type="dxa"/>
            <w:gridSpan w:val="4"/>
            <w:tcBorders>
              <w:bottom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4、现场检查（勘验）笔录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4"/>
          <w:szCs w:val="24"/>
          <w:highlight w:val="none"/>
          <w:u w:val="thick"/>
        </w:rPr>
        <w:t xml:space="preserve">                             </w:t>
      </w:r>
      <w:r>
        <w:rPr>
          <w:rFonts w:hint="eastAsia" w:ascii="宋体" w:hAnsi="宋体" w:eastAsia="仿宋_GB2312"/>
          <w:b/>
          <w:bCs/>
          <w:sz w:val="24"/>
          <w:szCs w:val="24"/>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检查（勘验）时间：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检查（勘验）地点：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被检查（勘验）人：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 xml:space="preserve"> 法定代表人：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　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记 录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见 证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我们是</w:t>
      </w:r>
      <w:r>
        <w:rPr>
          <w:rFonts w:hint="eastAsia" w:ascii="宋体" w:hAnsi="宋体" w:eastAsia="仿宋_GB2312"/>
          <w:sz w:val="24"/>
          <w:szCs w:val="24"/>
          <w:highlight w:val="none"/>
          <w:u w:val="single"/>
        </w:rPr>
        <w:t xml:space="preserve"> （单位名称） </w:t>
      </w:r>
      <w:r>
        <w:rPr>
          <w:rFonts w:hint="eastAsia" w:ascii="宋体" w:hAnsi="宋体" w:eastAsia="仿宋_GB2312"/>
          <w:sz w:val="24"/>
          <w:szCs w:val="24"/>
          <w:highlight w:val="none"/>
        </w:rPr>
        <w:t>的执法人员，这是我们的执法证件（出示证件），请查看。如果执法人员与你有直接利害关系的，你可以申请回避。现依法进行现场检查（勘验），请予以配合。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现场检查（勘验）情况：</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z w:val="24"/>
          <w:szCs w:val="24"/>
          <w:highlight w:val="none"/>
          <w:lang w:val="zh-CN"/>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被检查（勘验）人或委托代理人：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jc w:val="center"/>
        <w:rPr>
          <w:rFonts w:hint="eastAsia" w:ascii="宋体" w:hAnsi="宋体" w:eastAsia="方正大标宋简体"/>
          <w:bCs/>
          <w:sz w:val="44"/>
          <w:szCs w:val="44"/>
          <w:highlight w:val="none"/>
        </w:rPr>
      </w:pPr>
      <w:r>
        <w:rPr>
          <w:rFonts w:ascii="宋体" w:hAnsi="宋体" w:eastAsia="仿宋_GB2312"/>
          <w:sz w:val="24"/>
          <w:szCs w:val="24"/>
          <w:highlight w:val="none"/>
        </w:rPr>
        <w:br w:type="page"/>
      </w:r>
      <w:r>
        <w:rPr>
          <w:rStyle w:val="10"/>
          <w:rFonts w:hint="eastAsia"/>
        </w:rPr>
        <w:t>现场检查（勘验）笔录（续页）</w:t>
      </w:r>
    </w:p>
    <w:p>
      <w:pPr>
        <w:spacing w:line="500" w:lineRule="exact"/>
        <w:rPr>
          <w:rFonts w:hint="eastAsia" w:ascii="宋体" w:hAnsi="宋体" w:eastAsia="仿宋_GB2312"/>
          <w:sz w:val="32"/>
          <w:szCs w:val="32"/>
          <w:highlight w:val="none"/>
        </w:rPr>
      </w:pPr>
    </w:p>
    <w:p>
      <w:pPr>
        <w:spacing w:line="500" w:lineRule="exact"/>
        <w:rPr>
          <w:rFonts w:hint="eastAsia" w:ascii="宋体" w:hAnsi="宋体" w:eastAsia="仿宋_GB2312"/>
          <w:sz w:val="24"/>
          <w:szCs w:val="24"/>
          <w:highlight w:val="none"/>
        </w:rPr>
      </w:pPr>
      <w:r>
        <w:rPr>
          <w:rFonts w:hint="eastAsia" w:ascii="宋体" w:hAnsi="宋体" w:eastAsia="仿宋_GB2312"/>
          <w:b/>
          <w:bCs/>
          <w:sz w:val="24"/>
          <w:szCs w:val="24"/>
          <w:highlight w:val="none"/>
          <w:u w:val="thick"/>
        </w:rPr>
        <w:t xml:space="preserve">                                   </w:t>
      </w:r>
      <w:r>
        <w:rPr>
          <w:rFonts w:hint="eastAsia" w:ascii="宋体" w:hAnsi="宋体" w:eastAsia="仿宋_GB2312"/>
          <w:b/>
          <w:bCs/>
          <w:sz w:val="24"/>
          <w:szCs w:val="24"/>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eastAsia" w:ascii="宋体" w:hAnsi="宋体" w:cs="宋体"/>
          <w:sz w:val="24"/>
          <w:szCs w:val="24"/>
          <w:highlight w:val="none"/>
          <w:lang w:val="zh-CN"/>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00" w:lineRule="exact"/>
        <w:rPr>
          <w:rFonts w:hint="default" w:ascii="宋体" w:hAnsi="宋体" w:eastAsia="仿宋_GB2312" w:cs="宋体"/>
          <w:sz w:val="24"/>
          <w:szCs w:val="24"/>
          <w:highlight w:val="none"/>
          <w:lang w:val="en-US" w:eastAsia="zh-CN"/>
        </w:rPr>
      </w:pPr>
      <w:r>
        <w:rPr>
          <w:rFonts w:hint="eastAsia" w:ascii="宋体" w:hAnsi="宋体" w:eastAsia="仿宋_GB2312" w:cs="宋体"/>
          <w:kern w:val="0"/>
          <w:sz w:val="24"/>
          <w:szCs w:val="24"/>
          <w:highlight w:val="none"/>
          <w:u w:val="words"/>
        </w:rPr>
        <w:t>上述笔录我已看过（或已向我宣读过），情况属实无误</w:t>
      </w:r>
      <w:r>
        <w:rPr>
          <w:rFonts w:hint="eastAsia" w:ascii="宋体" w:hAnsi="宋体" w:eastAsia="仿宋_GB2312" w:cs="宋体"/>
          <w:kern w:val="0"/>
          <w:sz w:val="24"/>
          <w:szCs w:val="24"/>
          <w:highlight w:val="none"/>
          <w:u w:val="single"/>
        </w:rPr>
        <w:t>。</w:t>
      </w:r>
      <w:r>
        <w:rPr>
          <w:rFonts w:hint="eastAsia" w:ascii="宋体" w:hAnsi="宋体" w:eastAsia="仿宋_GB2312" w:cs="宋体"/>
          <w:kern w:val="0"/>
          <w:sz w:val="24"/>
          <w:szCs w:val="24"/>
          <w:highlight w:val="none"/>
          <w:u w:val="single"/>
          <w:lang w:val="en-US" w:eastAsia="zh-CN"/>
        </w:rPr>
        <w:t xml:space="preserve">           </w:t>
      </w:r>
      <w:r>
        <w:rPr>
          <w:rFonts w:hint="eastAsia" w:ascii="宋体" w:hAnsi="宋体" w:eastAsia="仿宋_GB2312" w:cs="宋体"/>
          <w:kern w:val="0"/>
          <w:sz w:val="24"/>
          <w:szCs w:val="24"/>
          <w:highlight w:val="none"/>
          <w:u w:val="words"/>
          <w:lang w:val="en-US" w:eastAsia="zh-CN"/>
        </w:rPr>
        <w:t xml:space="preserve">   </w:t>
      </w:r>
    </w:p>
    <w:p>
      <w:pPr>
        <w:spacing w:line="500" w:lineRule="exact"/>
        <w:rPr>
          <w:rFonts w:hint="eastAsia" w:ascii="宋体" w:hAnsi="宋体" w:eastAsia="仿宋_GB2312"/>
          <w:sz w:val="24"/>
          <w:szCs w:val="24"/>
          <w:highlight w:val="none"/>
        </w:rPr>
      </w:pPr>
    </w:p>
    <w:p>
      <w:pPr>
        <w:spacing w:line="500" w:lineRule="exact"/>
        <w:rPr>
          <w:rFonts w:hint="eastAsia" w:ascii="宋体" w:hAnsi="宋体" w:eastAsia="仿宋_GB2312"/>
          <w:sz w:val="24"/>
          <w:szCs w:val="24"/>
          <w:highlight w:val="none"/>
        </w:rPr>
      </w:pPr>
      <w:r>
        <w:rPr>
          <w:rFonts w:hint="eastAsia" w:ascii="宋体" w:hAnsi="宋体" w:eastAsia="仿宋_GB2312"/>
          <w:sz w:val="24"/>
          <w:szCs w:val="24"/>
          <w:highlight w:val="none"/>
        </w:rPr>
        <w:t>被检查（勘验）人或委托代理人：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rPr>
        <w:t>见证人：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5、现场检查（勘验）影像证据</w:t>
      </w:r>
    </w:p>
    <w:tbl>
      <w:tblPr>
        <w:tblStyle w:val="7"/>
        <w:tblW w:w="8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2984"/>
        <w:gridCol w:w="1656"/>
        <w:gridCol w:w="2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2" w:hRule="atLeast"/>
          <w:jc w:val="center"/>
        </w:trPr>
        <w:tc>
          <w:tcPr>
            <w:tcW w:w="8762"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eastAsiaTheme="minorEastAsia"/>
                <w:b/>
                <w:sz w:val="24"/>
                <w:szCs w:val="24"/>
                <w:highlight w:val="none"/>
                <w:lang w:eastAsia="zh-CN"/>
              </w:rPr>
            </w:pPr>
            <w:r>
              <w:rPr>
                <w:rFonts w:hint="eastAsia" w:ascii="宋体" w:hAnsi="宋体"/>
                <w:b/>
                <w:sz w:val="24"/>
                <w:szCs w:val="24"/>
                <w:highlight w:val="none"/>
              </w:rPr>
              <w:t>影像资料</w:t>
            </w:r>
            <w:r>
              <w:rPr>
                <w:rFonts w:hint="eastAsia" w:ascii="宋体" w:hAnsi="宋体"/>
                <w:b/>
                <w:sz w:val="24"/>
                <w:szCs w:val="24"/>
                <w:highlight w:val="none"/>
                <w:lang w:eastAsia="zh-CN"/>
              </w:rPr>
              <w:t>（</w:t>
            </w:r>
            <w:r>
              <w:rPr>
                <w:rFonts w:hint="eastAsia" w:ascii="宋体" w:hAnsi="宋体"/>
                <w:b/>
                <w:sz w:val="24"/>
                <w:szCs w:val="24"/>
                <w:highlight w:val="none"/>
              </w:rPr>
              <w:t>附照片或光盘</w:t>
            </w:r>
            <w:r>
              <w:rPr>
                <w:rFonts w:hint="eastAsia" w:ascii="宋体" w:hAnsi="宋体"/>
                <w:b/>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9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拍摄人</w:t>
            </w:r>
          </w:p>
        </w:tc>
        <w:tc>
          <w:tcPr>
            <w:tcW w:w="298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b/>
                <w:sz w:val="24"/>
                <w:szCs w:val="24"/>
                <w:highlight w:val="none"/>
              </w:rPr>
            </w:pPr>
          </w:p>
        </w:tc>
        <w:tc>
          <w:tcPr>
            <w:tcW w:w="165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见证人</w:t>
            </w:r>
          </w:p>
        </w:tc>
        <w:tc>
          <w:tcPr>
            <w:tcW w:w="253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90" w:type="dxa"/>
            <w:noWrap w:val="0"/>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拍摄时间</w:t>
            </w:r>
          </w:p>
        </w:tc>
        <w:tc>
          <w:tcPr>
            <w:tcW w:w="2984" w:type="dxa"/>
            <w:noWrap w:val="0"/>
            <w:vAlign w:val="center"/>
          </w:tcPr>
          <w:p>
            <w:pPr>
              <w:keepNext w:val="0"/>
              <w:keepLines w:val="0"/>
              <w:suppressLineNumbers w:val="0"/>
              <w:spacing w:before="0" w:beforeAutospacing="0" w:after="0" w:afterAutospacing="0"/>
              <w:ind w:left="0" w:right="0"/>
              <w:jc w:val="center"/>
              <w:rPr>
                <w:rFonts w:hint="default" w:ascii="宋体" w:hAnsi="宋体" w:eastAsia="仿宋_GB2312"/>
                <w:b/>
                <w:sz w:val="24"/>
                <w:szCs w:val="24"/>
                <w:highlight w:val="none"/>
                <w:lang w:val="en-US" w:eastAsia="zh-CN"/>
              </w:rPr>
            </w:pP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lang w:eastAsia="zh-CN"/>
              </w:rPr>
              <w:t>年</w:t>
            </w:r>
            <w:r>
              <w:rPr>
                <w:rFonts w:hint="eastAsia" w:ascii="宋体" w:hAnsi="宋体" w:eastAsia="仿宋_GB2312"/>
                <w:sz w:val="24"/>
                <w:szCs w:val="24"/>
                <w:highlight w:val="none"/>
                <w:lang w:val="en-US" w:eastAsia="zh-CN"/>
              </w:rPr>
              <w:t xml:space="preserve">  月  日</w:t>
            </w:r>
          </w:p>
        </w:tc>
        <w:tc>
          <w:tcPr>
            <w:tcW w:w="165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b/>
                <w:sz w:val="24"/>
                <w:szCs w:val="24"/>
                <w:highlight w:val="none"/>
                <w:lang w:eastAsia="zh-CN"/>
              </w:rPr>
            </w:pPr>
            <w:r>
              <w:rPr>
                <w:rFonts w:hint="eastAsia" w:ascii="宋体" w:hAnsi="宋体" w:eastAsia="仿宋_GB2312"/>
                <w:sz w:val="24"/>
                <w:szCs w:val="24"/>
                <w:highlight w:val="none"/>
                <w:lang w:eastAsia="zh-CN"/>
              </w:rPr>
              <w:t>拍摄地点</w:t>
            </w:r>
          </w:p>
        </w:tc>
        <w:tc>
          <w:tcPr>
            <w:tcW w:w="253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b/>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90" w:type="dxa"/>
            <w:noWrap w:val="0"/>
            <w:vAlign w:val="center"/>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r>
              <w:rPr>
                <w:rFonts w:hint="eastAsia" w:ascii="宋体" w:hAnsi="宋体" w:eastAsia="仿宋_GB2312"/>
                <w:sz w:val="24"/>
                <w:szCs w:val="24"/>
                <w:highlight w:val="none"/>
                <w:lang w:eastAsia="zh-CN"/>
              </w:rPr>
              <w:t>拍摄内容</w:t>
            </w:r>
          </w:p>
        </w:tc>
        <w:tc>
          <w:tcPr>
            <w:tcW w:w="7172" w:type="dxa"/>
            <w:gridSpan w:val="3"/>
            <w:noWrap w:val="0"/>
            <w:vAlign w:val="center"/>
          </w:tcPr>
          <w:p>
            <w:pPr>
              <w:keepNext w:val="0"/>
              <w:keepLines w:val="0"/>
              <w:suppressLineNumbers w:val="0"/>
              <w:spacing w:before="0" w:beforeAutospacing="0" w:after="0" w:afterAutospacing="0"/>
              <w:ind w:left="330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59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7172" w:type="dxa"/>
            <w:gridSpan w:val="3"/>
            <w:noWrap w:val="0"/>
            <w:vAlign w:val="center"/>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bl>
    <w:p>
      <w:pPr>
        <w:spacing w:line="480" w:lineRule="exact"/>
        <w:jc w:val="center"/>
        <w:rPr>
          <w:rStyle w:val="10"/>
          <w:rFonts w:hint="eastAsia"/>
        </w:rPr>
      </w:pPr>
      <w:r>
        <w:rPr>
          <w:rFonts w:ascii="宋体" w:hAnsi="宋体"/>
          <w:b/>
          <w:sz w:val="44"/>
          <w:szCs w:val="44"/>
          <w:highlight w:val="none"/>
        </w:rPr>
        <w:br w:type="page"/>
      </w:r>
      <w:r>
        <w:rPr>
          <w:rStyle w:val="10"/>
          <w:rFonts w:hint="eastAsia"/>
          <w:lang w:val="en-US" w:eastAsia="zh-CN"/>
        </w:rPr>
        <w:t>6、调查（询问）笔录</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4"/>
          <w:szCs w:val="24"/>
          <w:highlight w:val="none"/>
          <w:u w:val="thick"/>
        </w:rPr>
        <w:t xml:space="preserve">                                 </w:t>
      </w:r>
      <w:r>
        <w:rPr>
          <w:rFonts w:hint="eastAsia" w:ascii="宋体" w:hAnsi="宋体" w:eastAsia="仿宋_GB2312"/>
          <w:b/>
          <w:bCs/>
          <w:sz w:val="24"/>
          <w:szCs w:val="24"/>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调查（询问）时间：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调查（询问）地点：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被调查（询问）人：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法定代表人：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记 录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我们是</w:t>
      </w:r>
      <w:r>
        <w:rPr>
          <w:rFonts w:hint="eastAsia" w:ascii="宋体" w:hAnsi="宋体" w:eastAsia="仿宋_GB2312"/>
          <w:sz w:val="24"/>
          <w:szCs w:val="24"/>
          <w:highlight w:val="none"/>
          <w:u w:val="single"/>
        </w:rPr>
        <w:t xml:space="preserve"> （单位名称） </w:t>
      </w:r>
      <w:r>
        <w:rPr>
          <w:rFonts w:hint="eastAsia" w:ascii="宋体" w:hAnsi="宋体" w:eastAsia="仿宋_GB2312"/>
          <w:sz w:val="24"/>
          <w:szCs w:val="24"/>
          <w:highlight w:val="none"/>
        </w:rPr>
        <w:t>的执法人员，这是我们的执法证件（出示证件），请查看。如果执法人员与你有直接利害关系的，你可以申请回避。现依法向你询问，请如实回答所问问题，你也有陈述、申辩的权利，你是否明白？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答：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问：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z w:val="24"/>
          <w:szCs w:val="24"/>
          <w:highlight w:val="none"/>
          <w:lang w:val="zh-CN"/>
        </w:rPr>
      </w:pPr>
      <w:r>
        <w:rPr>
          <w:rFonts w:hint="eastAsia" w:ascii="宋体" w:hAnsi="宋体" w:eastAsia="仿宋_GB2312"/>
          <w:sz w:val="24"/>
          <w:szCs w:val="24"/>
          <w:highlight w:val="none"/>
          <w:u w:val="single"/>
        </w:rPr>
        <w:t xml:space="preserve">答：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问：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被调查（询问）人或委托代理人：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spacing w:line="500" w:lineRule="exact"/>
        <w:rPr>
          <w:rFonts w:hint="eastAsia" w:ascii="宋体" w:hAnsi="宋体" w:eastAsia="仿宋_GB2312"/>
          <w:sz w:val="24"/>
          <w:szCs w:val="24"/>
          <w:highlight w:val="none"/>
          <w:u w:val="single"/>
        </w:rPr>
      </w:pPr>
    </w:p>
    <w:p>
      <w:pPr>
        <w:pStyle w:val="2"/>
        <w:bidi w:val="0"/>
        <w:rPr>
          <w:rFonts w:hint="eastAsia"/>
        </w:rPr>
      </w:pPr>
      <w:r>
        <w:rPr>
          <w:rFonts w:hint="eastAsia"/>
        </w:rPr>
        <w:t>调查（询问）笔录（续页）</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4"/>
          <w:szCs w:val="24"/>
          <w:highlight w:val="none"/>
          <w:u w:val="thick"/>
        </w:rPr>
        <w:t xml:space="preserve">                        </w:t>
      </w:r>
      <w:r>
        <w:rPr>
          <w:rFonts w:hint="eastAsia" w:ascii="宋体" w:hAnsi="宋体" w:eastAsia="仿宋_GB2312"/>
          <w:b/>
          <w:bCs/>
          <w:sz w:val="24"/>
          <w:szCs w:val="24"/>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答：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问：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sz w:val="24"/>
          <w:szCs w:val="24"/>
          <w:highlight w:val="none"/>
          <w:lang w:val="zh-CN"/>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仿宋_GB2312"/>
          <w:sz w:val="24"/>
          <w:szCs w:val="24"/>
          <w:highlight w:val="none"/>
          <w:u w:val="single"/>
          <w:lang w:val="en-US" w:eastAsia="zh-CN"/>
        </w:rPr>
      </w:pPr>
      <w:r>
        <w:rPr>
          <w:rFonts w:hint="eastAsia" w:ascii="宋体" w:hAnsi="宋体" w:eastAsia="仿宋_GB2312" w:cs="宋体"/>
          <w:kern w:val="0"/>
          <w:sz w:val="24"/>
          <w:szCs w:val="24"/>
          <w:highlight w:val="none"/>
          <w:u w:val="words"/>
        </w:rPr>
        <w:t>上述笔录我已看过（或已向我宣读过），情况属实无误</w:t>
      </w:r>
      <w:r>
        <w:rPr>
          <w:rFonts w:hint="eastAsia" w:ascii="宋体" w:hAnsi="宋体" w:eastAsia="仿宋_GB2312" w:cs="宋体"/>
          <w:kern w:val="0"/>
          <w:sz w:val="24"/>
          <w:szCs w:val="24"/>
          <w:highlight w:val="none"/>
          <w:u w:val="single"/>
        </w:rPr>
        <w:t>。</w:t>
      </w:r>
      <w:r>
        <w:rPr>
          <w:rFonts w:hint="eastAsia" w:ascii="宋体" w:hAnsi="宋体" w:eastAsia="仿宋_GB2312" w:cs="宋体"/>
          <w:kern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被调查（询问）人或委托代理人：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仿宋_GB2312"/>
          <w:sz w:val="24"/>
          <w:szCs w:val="24"/>
          <w:highlight w:val="none"/>
        </w:rPr>
      </w:pPr>
      <w:r>
        <w:rPr>
          <w:rFonts w:hint="eastAsia" w:ascii="宋体" w:hAnsi="宋体" w:eastAsia="仿宋_GB2312"/>
          <w:sz w:val="24"/>
          <w:szCs w:val="24"/>
          <w:highlight w:val="none"/>
        </w:rPr>
        <w:t>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日</w:t>
      </w:r>
    </w:p>
    <w:p>
      <w:pPr>
        <w:jc w:val="center"/>
        <w:rPr>
          <w:rFonts w:hint="eastAsia" w:ascii="宋体" w:hAnsi="宋体" w:eastAsia="方正大标宋简体"/>
          <w:sz w:val="44"/>
          <w:szCs w:val="44"/>
          <w:highlight w:val="none"/>
        </w:rPr>
      </w:pPr>
      <w:r>
        <w:rPr>
          <w:rFonts w:ascii="宋体" w:hAnsi="宋体" w:eastAsia="仿宋_GB2312"/>
          <w:sz w:val="24"/>
          <w:szCs w:val="24"/>
          <w:highlight w:val="none"/>
        </w:rPr>
        <w:br w:type="page"/>
      </w:r>
      <w:r>
        <w:rPr>
          <w:rFonts w:hint="eastAsia" w:ascii="方正小标宋简体" w:hAnsi="方正小标宋简体" w:eastAsia="方正小标宋简体" w:cs="方正小标宋简体"/>
          <w:sz w:val="36"/>
          <w:szCs w:val="36"/>
          <w:highlight w:val="none"/>
          <w:lang w:val="en-US" w:eastAsia="zh-CN"/>
        </w:rPr>
        <w:t>7、责令停止违法行为通知书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564" w:firstLineChars="235"/>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的规定，依据《中华人民共和国行政处罚法》</w:t>
      </w:r>
      <w:r>
        <w:rPr>
          <w:rFonts w:hint="eastAsia" w:ascii="宋体" w:hAnsi="宋体" w:eastAsia="仿宋_GB2312"/>
          <w:color w:val="auto"/>
          <w:sz w:val="24"/>
          <w:szCs w:val="24"/>
          <w:highlight w:val="none"/>
        </w:rPr>
        <w:t>第二十八条</w:t>
      </w:r>
      <w:r>
        <w:rPr>
          <w:rFonts w:hint="eastAsia" w:ascii="宋体" w:hAnsi="宋体" w:eastAsia="仿宋_GB2312"/>
          <w:color w:val="auto"/>
          <w:sz w:val="24"/>
          <w:szCs w:val="24"/>
          <w:highlight w:val="none"/>
          <w:lang w:eastAsia="zh-CN"/>
        </w:rPr>
        <w:t>第一款</w:t>
      </w:r>
      <w:r>
        <w:rPr>
          <w:rFonts w:hint="eastAsia" w:ascii="宋体" w:hAnsi="宋体" w:eastAsia="仿宋_GB2312"/>
          <w:sz w:val="24"/>
          <w:szCs w:val="24"/>
          <w:highlight w:val="none"/>
        </w:rPr>
        <w:t>和</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的规定，现责令你（单位）立即停止违法行为，并于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日到本机关</w:t>
      </w:r>
      <w:r>
        <w:rPr>
          <w:rFonts w:hint="eastAsia" w:ascii="宋体" w:hAnsi="宋体" w:eastAsia="仿宋_GB2312"/>
          <w:sz w:val="24"/>
          <w:szCs w:val="24"/>
          <w:highlight w:val="none"/>
          <w:u w:val="single"/>
        </w:rPr>
        <w:t xml:space="preserve"> （具体承办机构）              </w:t>
      </w:r>
      <w:r>
        <w:rPr>
          <w:rFonts w:hint="eastAsia" w:ascii="宋体" w:hAnsi="宋体" w:eastAsia="仿宋_GB2312"/>
          <w:sz w:val="24"/>
          <w:szCs w:val="24"/>
          <w:highlight w:val="none"/>
        </w:rPr>
        <w:t>接受处理。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sz w:val="44"/>
          <w:szCs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8、责令（限期）改正通知书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564" w:firstLineChars="235"/>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 xml:space="preserve">经查，你（单位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的</w:t>
      </w:r>
      <w:r>
        <w:rPr>
          <w:rFonts w:hint="eastAsia" w:ascii="宋体" w:hAnsi="宋体" w:eastAsia="仿宋_GB2312"/>
          <w:sz w:val="24"/>
          <w:szCs w:val="24"/>
          <w:highlight w:val="none"/>
        </w:rPr>
        <w:t>规定，依据《中华人民共和国行政处罚法》第</w:t>
      </w:r>
      <w:r>
        <w:rPr>
          <w:rFonts w:hint="eastAsia" w:ascii="宋体" w:hAnsi="宋体" w:eastAsia="仿宋_GB2312"/>
          <w:color w:val="auto"/>
          <w:sz w:val="24"/>
          <w:szCs w:val="24"/>
          <w:highlight w:val="none"/>
        </w:rPr>
        <w:t>二十八</w:t>
      </w:r>
      <w:r>
        <w:rPr>
          <w:rFonts w:hint="eastAsia" w:ascii="宋体" w:hAnsi="宋体" w:eastAsia="仿宋_GB2312"/>
          <w:color w:val="auto"/>
          <w:sz w:val="24"/>
          <w:szCs w:val="24"/>
          <w:highlight w:val="none"/>
          <w:lang w:eastAsia="zh-CN"/>
        </w:rPr>
        <w:t>第一款</w:t>
      </w:r>
      <w:r>
        <w:rPr>
          <w:rFonts w:hint="eastAsia" w:ascii="宋体" w:hAnsi="宋体" w:eastAsia="仿宋_GB2312"/>
          <w:sz w:val="24"/>
          <w:szCs w:val="24"/>
          <w:highlight w:val="none"/>
        </w:rPr>
        <w:t>条和</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的规定，现责令你（单位）立即改正（于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日前限期改正），并于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日到本机关</w:t>
      </w:r>
      <w:r>
        <w:rPr>
          <w:rFonts w:hint="eastAsia" w:ascii="宋体" w:hAnsi="宋体" w:eastAsia="仿宋_GB2312"/>
          <w:sz w:val="24"/>
          <w:szCs w:val="24"/>
          <w:highlight w:val="none"/>
          <w:u w:val="single"/>
        </w:rPr>
        <w:t xml:space="preserve"> （具体承办机构）           </w:t>
      </w:r>
      <w:r>
        <w:rPr>
          <w:rFonts w:hint="eastAsia" w:ascii="宋体" w:hAnsi="宋体" w:eastAsia="仿宋_GB2312"/>
          <w:sz w:val="24"/>
          <w:szCs w:val="24"/>
          <w:highlight w:val="none"/>
        </w:rPr>
        <w:t>接受处理。（逾期未改正的，本机关将依据</w:t>
      </w:r>
      <w:r>
        <w:rPr>
          <w:rFonts w:hint="eastAsia" w:ascii="宋体" w:hAnsi="宋体" w:eastAsia="仿宋_GB2312"/>
          <w:sz w:val="24"/>
          <w:szCs w:val="24"/>
          <w:highlight w:val="none"/>
          <w:u w:val="single"/>
        </w:rPr>
        <w:t>《××法》第×条第×款第×项</w:t>
      </w:r>
      <w:r>
        <w:rPr>
          <w:rFonts w:hint="eastAsia" w:ascii="宋体" w:hAnsi="宋体" w:eastAsia="仿宋_GB2312"/>
          <w:sz w:val="24"/>
          <w:szCs w:val="24"/>
          <w:highlight w:val="none"/>
        </w:rPr>
        <w:t>的规定，依法</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bCs/>
          <w:sz w:val="24"/>
          <w:szCs w:val="24"/>
          <w:highlight w:val="none"/>
          <w:lang w:eastAsia="zh-CN"/>
        </w:rPr>
      </w:pP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 xml:space="preserve"> 年   月   </w:t>
      </w:r>
      <w:r>
        <w:rPr>
          <w:rFonts w:hint="eastAsia" w:ascii="宋体" w:hAnsi="宋体" w:eastAsia="仿宋_GB2312"/>
          <w:sz w:val="24"/>
          <w:szCs w:val="24"/>
          <w:highlight w:val="none"/>
          <w:lang w:eastAsia="zh-CN"/>
        </w:rPr>
        <w:t>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9、责令限期拆除通知书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564" w:firstLineChars="235"/>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的规定，依据《中华人民共和国行政处罚法》</w:t>
      </w:r>
      <w:r>
        <w:rPr>
          <w:rFonts w:hint="eastAsia" w:ascii="宋体" w:hAnsi="宋体" w:eastAsia="仿宋_GB2312"/>
          <w:color w:val="000000" w:themeColor="text1"/>
          <w:sz w:val="24"/>
          <w:szCs w:val="24"/>
          <w:highlight w:val="none"/>
          <w14:textFill>
            <w14:solidFill>
              <w14:schemeClr w14:val="tx1"/>
            </w14:solidFill>
          </w14:textFill>
        </w:rPr>
        <w:t>第二十八条</w:t>
      </w:r>
      <w:r>
        <w:rPr>
          <w:rFonts w:hint="eastAsia" w:ascii="宋体" w:hAnsi="宋体" w:eastAsia="仿宋_GB2312"/>
          <w:color w:val="000000" w:themeColor="text1"/>
          <w:sz w:val="24"/>
          <w:szCs w:val="24"/>
          <w:highlight w:val="none"/>
          <w:lang w:eastAsia="zh-CN"/>
          <w14:textFill>
            <w14:solidFill>
              <w14:schemeClr w14:val="tx1"/>
            </w14:solidFill>
          </w14:textFill>
        </w:rPr>
        <w:t>第一款</w:t>
      </w:r>
      <w:r>
        <w:rPr>
          <w:rFonts w:hint="eastAsia" w:ascii="宋体" w:hAnsi="宋体" w:eastAsia="仿宋_GB2312"/>
          <w:sz w:val="24"/>
          <w:szCs w:val="24"/>
          <w:highlight w:val="none"/>
        </w:rPr>
        <w:t>和</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的规定，现责令你（单位）于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日前自行拆除。逾期未拆除的，本机关将依据</w:t>
      </w:r>
      <w:r>
        <w:rPr>
          <w:rFonts w:hint="eastAsia" w:ascii="宋体" w:hAnsi="宋体" w:eastAsia="仿宋_GB2312"/>
          <w:sz w:val="24"/>
          <w:szCs w:val="24"/>
          <w:highlight w:val="none"/>
          <w:u w:val="single"/>
        </w:rPr>
        <w:t>《××法》第×条第×款第×项</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none"/>
          <w:lang w:val="en-US" w:eastAsia="zh-CN"/>
        </w:rPr>
        <w:t>的规定</w:t>
      </w:r>
      <w:r>
        <w:rPr>
          <w:rFonts w:hint="eastAsia" w:ascii="宋体" w:hAnsi="宋体" w:eastAsia="仿宋_GB2312"/>
          <w:sz w:val="24"/>
          <w:szCs w:val="24"/>
          <w:highlight w:val="none"/>
        </w:rPr>
        <w:t>，依法</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eastAsia="zh-CN"/>
        </w:rPr>
        <w:t>。</w:t>
      </w: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10、抽样取证审批表</w:t>
      </w:r>
    </w:p>
    <w:tbl>
      <w:tblPr>
        <w:tblStyle w:val="7"/>
        <w:tblpPr w:leftFromText="180" w:rightFromText="180" w:vertAnchor="page" w:horzAnchor="page" w:tblpX="1189" w:tblpY="3132"/>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204"/>
        <w:gridCol w:w="1310"/>
        <w:gridCol w:w="1817"/>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812" w:type="dxa"/>
            <w:vMerge w:val="restart"/>
            <w:tcBorders>
              <w:top w:val="single" w:color="auto" w:sz="12" w:space="0"/>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204" w:type="dxa"/>
            <w:tcBorders>
              <w:top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310" w:type="dxa"/>
            <w:tcBorders>
              <w:top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仿宋_GB2312"/>
                <w:sz w:val="24"/>
                <w:szCs w:val="24"/>
                <w:highlight w:val="none"/>
              </w:rPr>
            </w:pPr>
          </w:p>
        </w:tc>
        <w:tc>
          <w:tcPr>
            <w:tcW w:w="1817" w:type="dxa"/>
            <w:tcBorders>
              <w:top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105" w:leftChars="-50" w:right="-105" w:rightChars="-5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2012" w:type="dxa"/>
            <w:tcBorders>
              <w:top w:val="single" w:color="auto" w:sz="12" w:space="0"/>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1812" w:type="dxa"/>
            <w:vMerge w:val="continue"/>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p>
        </w:tc>
        <w:tc>
          <w:tcPr>
            <w:tcW w:w="120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3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仿宋_GB2312"/>
                <w:sz w:val="24"/>
                <w:szCs w:val="24"/>
                <w:highlight w:val="none"/>
              </w:rPr>
            </w:pPr>
          </w:p>
        </w:tc>
        <w:tc>
          <w:tcPr>
            <w:tcW w:w="18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2012" w:type="dxa"/>
            <w:tcBorders>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812" w:type="dxa"/>
            <w:tcBorders>
              <w:left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抽样取证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时    间</w:t>
            </w:r>
          </w:p>
        </w:tc>
        <w:tc>
          <w:tcPr>
            <w:tcW w:w="2514" w:type="dxa"/>
            <w:gridSpan w:val="2"/>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pacing w:val="-10"/>
                <w:sz w:val="24"/>
                <w:szCs w:val="24"/>
                <w:highlight w:val="none"/>
              </w:rPr>
            </w:pPr>
            <w:r>
              <w:rPr>
                <w:rFonts w:hint="eastAsia" w:ascii="宋体" w:hAnsi="宋体" w:eastAsia="仿宋_GB2312"/>
                <w:spacing w:val="-10"/>
                <w:sz w:val="24"/>
                <w:szCs w:val="24"/>
                <w:highlight w:val="none"/>
              </w:rPr>
              <w:t xml:space="preserve">       年  月  日</w:t>
            </w:r>
          </w:p>
        </w:tc>
        <w:tc>
          <w:tcPr>
            <w:tcW w:w="1817" w:type="dxa"/>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pacing w:val="-10"/>
                <w:sz w:val="24"/>
                <w:szCs w:val="24"/>
                <w:highlight w:val="none"/>
              </w:rPr>
            </w:pPr>
            <w:r>
              <w:rPr>
                <w:rFonts w:hint="eastAsia" w:ascii="宋体" w:hAnsi="宋体" w:eastAsia="仿宋_GB2312"/>
                <w:spacing w:val="-10"/>
                <w:sz w:val="24"/>
                <w:szCs w:val="24"/>
                <w:highlight w:val="none"/>
              </w:rPr>
              <w:t>抽样取证地点</w:t>
            </w:r>
          </w:p>
        </w:tc>
        <w:tc>
          <w:tcPr>
            <w:tcW w:w="2012" w:type="dxa"/>
            <w:tcBorders>
              <w:left w:val="single" w:color="auto" w:sz="4" w:space="0"/>
              <w:righ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违法事实</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抽样取证物品及数量</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抽样取证理由及依据</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812" w:type="dxa"/>
            <w:tcBorders>
              <w:lef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行政执法机关负责人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43" w:type="dxa"/>
            <w:gridSpan w:val="4"/>
            <w:tcBorders>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812" w:type="dxa"/>
            <w:tcBorders>
              <w:left w:val="single" w:color="auto" w:sz="12" w:space="0"/>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343" w:type="dxa"/>
            <w:gridSpan w:val="4"/>
            <w:tcBorders>
              <w:bottom w:val="single" w:color="auto" w:sz="12" w:space="0"/>
              <w:right w:val="single" w:color="auto" w:sz="12"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right"/>
              <w:textAlignment w:val="auto"/>
              <w:rPr>
                <w:rFonts w:hint="eastAsia" w:ascii="宋体" w:hAnsi="宋体" w:eastAsia="仿宋_GB2312"/>
                <w:sz w:val="24"/>
                <w:szCs w:val="24"/>
                <w:highlight w:val="none"/>
              </w:rPr>
            </w:pPr>
          </w:p>
        </w:tc>
      </w:tr>
    </w:tbl>
    <w:p>
      <w:pPr>
        <w:spacing w:line="460" w:lineRule="exact"/>
        <w:ind w:right="1280" w:firstLine="1680" w:firstLineChars="700"/>
        <w:jc w:val="right"/>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p>
      <w:pPr>
        <w:jc w:val="center"/>
        <w:rPr>
          <w:rFonts w:hint="eastAsia" w:ascii="宋体" w:hAnsi="宋体" w:eastAsia="方正大标宋简体"/>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11、抽样取证通知书</w:t>
      </w:r>
    </w:p>
    <w:p>
      <w:pPr>
        <w:spacing w:line="480" w:lineRule="exact"/>
        <w:ind w:right="640"/>
        <w:rPr>
          <w:rFonts w:hint="eastAsia" w:ascii="宋体" w:hAnsi="宋体" w:eastAsia="仿宋_GB2312"/>
          <w:sz w:val="32"/>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564" w:firstLineChars="235"/>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你（单位）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的规定，依据《中华人民共和国行政处罚法》第</w:t>
      </w:r>
      <w:r>
        <w:rPr>
          <w:rFonts w:hint="eastAsia" w:ascii="宋体" w:hAnsi="宋体" w:eastAsia="仿宋_GB2312"/>
          <w:color w:val="auto"/>
          <w:sz w:val="24"/>
          <w:szCs w:val="24"/>
          <w:highlight w:val="none"/>
        </w:rPr>
        <w:t>五十六条</w:t>
      </w:r>
      <w:r>
        <w:rPr>
          <w:rFonts w:hint="eastAsia" w:ascii="宋体" w:hAnsi="宋体" w:eastAsia="仿宋_GB2312"/>
          <w:sz w:val="24"/>
          <w:szCs w:val="24"/>
          <w:highlight w:val="none"/>
        </w:rPr>
        <w:t>的规定，本机关决定对你（单位）存放于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的物品（详见《涉案物品清单》）进行抽样取证。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附 ：涉案物品清单</w:t>
      </w:r>
    </w:p>
    <w:p>
      <w:pPr>
        <w:keepNext w:val="0"/>
        <w:keepLines w:val="0"/>
        <w:pageBreakBefore w:val="0"/>
        <w:widowControl w:val="0"/>
        <w:tabs>
          <w:tab w:val="left" w:pos="900"/>
        </w:tabs>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当 事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1447" w:firstLineChars="603"/>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6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6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sz w:val="44"/>
          <w:highlight w:val="none"/>
        </w:rPr>
      </w:pPr>
      <w:r>
        <w:rPr>
          <w:rFonts w:ascii="宋体" w:hAnsi="宋体"/>
          <w:b/>
          <w:bCs/>
          <w:sz w:val="44"/>
          <w:highlight w:val="none"/>
        </w:rPr>
        <w:br w:type="page"/>
      </w:r>
      <w:r>
        <w:rPr>
          <w:rFonts w:hint="eastAsia" w:ascii="方正小标宋简体" w:hAnsi="方正小标宋简体" w:eastAsia="方正小标宋简体" w:cs="方正小标宋简体"/>
          <w:sz w:val="36"/>
          <w:szCs w:val="36"/>
          <w:highlight w:val="none"/>
          <w:lang w:val="en-US" w:eastAsia="zh-CN"/>
        </w:rPr>
        <w:t>12、抽样取证物品处理决定书</w:t>
      </w:r>
    </w:p>
    <w:p>
      <w:pPr>
        <w:spacing w:line="480" w:lineRule="exact"/>
        <w:ind w:right="640"/>
        <w:rPr>
          <w:rFonts w:hint="eastAsia" w:ascii="宋体" w:hAnsi="宋体" w:eastAsia="仿宋_GB2312"/>
          <w:sz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64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根据《中华人民共和国行政处罚法》第</w:t>
      </w:r>
      <w:r>
        <w:rPr>
          <w:rFonts w:hint="eastAsia" w:ascii="宋体" w:hAnsi="宋体" w:eastAsia="仿宋_GB2312"/>
          <w:color w:val="auto"/>
          <w:sz w:val="24"/>
          <w:szCs w:val="24"/>
          <w:highlight w:val="none"/>
        </w:rPr>
        <w:t>五十六条</w:t>
      </w:r>
      <w:r>
        <w:rPr>
          <w:rFonts w:hint="eastAsia" w:ascii="宋体" w:hAnsi="宋体" w:eastAsia="仿宋_GB2312"/>
          <w:sz w:val="24"/>
          <w:szCs w:val="24"/>
          <w:highlight w:val="none"/>
        </w:rPr>
        <w:t>的规定，本机关于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日对你（单位）存放于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的物品（详见《涉案物品清单》）进行了抽样取证。现作出如下处理决定：</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附：涉案物品清单</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当 事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13、先行登记保存证据审批表</w:t>
      </w:r>
    </w:p>
    <w:p>
      <w:pPr>
        <w:spacing w:line="460" w:lineRule="exact"/>
        <w:ind w:right="1280"/>
        <w:jc w:val="right"/>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tbl>
      <w:tblPr>
        <w:tblStyle w:val="7"/>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776"/>
        <w:gridCol w:w="1183"/>
        <w:gridCol w:w="930"/>
        <w:gridCol w:w="1289"/>
        <w:gridCol w:w="1225"/>
        <w:gridCol w:w="866"/>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727" w:type="dxa"/>
            <w:gridSpan w:val="2"/>
            <w:vMerge w:val="restart"/>
            <w:tcBorders>
              <w:top w:val="single" w:color="auto" w:sz="12" w:space="0"/>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183" w:type="dxa"/>
            <w:tcBorders>
              <w:top w:val="single" w:color="auto" w:sz="12" w:space="0"/>
            </w:tcBorders>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2219" w:type="dxa"/>
            <w:gridSpan w:val="2"/>
            <w:tcBorders>
              <w:top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225" w:type="dxa"/>
            <w:tcBorders>
              <w:top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line="480" w:lineRule="exact"/>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903" w:type="dxa"/>
            <w:gridSpan w:val="2"/>
            <w:tcBorders>
              <w:top w:val="single" w:color="auto" w:sz="12" w:space="0"/>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1727" w:type="dxa"/>
            <w:gridSpan w:val="2"/>
            <w:vMerge w:val="continue"/>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p>
        </w:tc>
        <w:tc>
          <w:tcPr>
            <w:tcW w:w="1183"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2219" w:type="dxa"/>
            <w:gridSpan w:val="2"/>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225"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903" w:type="dxa"/>
            <w:gridSpan w:val="2"/>
            <w:tcBorders>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center"/>
        </w:trPr>
        <w:tc>
          <w:tcPr>
            <w:tcW w:w="951" w:type="dxa"/>
            <w:tcBorders>
              <w:left w:val="single" w:color="auto" w:sz="12" w:space="0"/>
              <w:right w:val="single" w:color="auto" w:sz="4"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保存</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时间</w:t>
            </w:r>
          </w:p>
        </w:tc>
        <w:tc>
          <w:tcPr>
            <w:tcW w:w="2889" w:type="dxa"/>
            <w:gridSpan w:val="3"/>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480" w:lineRule="exact"/>
              <w:ind w:left="0" w:right="0"/>
              <w:jc w:val="right"/>
              <w:rPr>
                <w:rFonts w:hint="eastAsia" w:ascii="宋体" w:hAnsi="宋体" w:eastAsia="仿宋_GB2312"/>
                <w:spacing w:val="-10"/>
                <w:sz w:val="24"/>
                <w:szCs w:val="24"/>
                <w:highlight w:val="none"/>
              </w:rPr>
            </w:pPr>
            <w:r>
              <w:rPr>
                <w:rFonts w:hint="eastAsia" w:ascii="宋体" w:hAnsi="宋体" w:eastAsia="仿宋_GB2312"/>
                <w:spacing w:val="-10"/>
                <w:sz w:val="24"/>
                <w:szCs w:val="24"/>
                <w:highlight w:val="none"/>
              </w:rPr>
              <w:t>年 月 日至 月 日</w:t>
            </w:r>
          </w:p>
        </w:tc>
        <w:tc>
          <w:tcPr>
            <w:tcW w:w="1289"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pacing w:val="-10"/>
                <w:sz w:val="24"/>
                <w:szCs w:val="24"/>
                <w:highlight w:val="none"/>
              </w:rPr>
            </w:pPr>
            <w:r>
              <w:rPr>
                <w:rFonts w:hint="eastAsia" w:ascii="宋体" w:hAnsi="宋体" w:eastAsia="仿宋_GB2312"/>
                <w:spacing w:val="-10"/>
                <w:sz w:val="24"/>
                <w:szCs w:val="24"/>
                <w:highlight w:val="none"/>
              </w:rPr>
              <w:t>保存方式</w:t>
            </w:r>
          </w:p>
        </w:tc>
        <w:tc>
          <w:tcPr>
            <w:tcW w:w="1225"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pacing w:val="-10"/>
                <w:sz w:val="24"/>
                <w:szCs w:val="24"/>
                <w:highlight w:val="none"/>
              </w:rPr>
            </w:pPr>
          </w:p>
        </w:tc>
        <w:tc>
          <w:tcPr>
            <w:tcW w:w="866"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pacing w:val="-10"/>
                <w:sz w:val="24"/>
                <w:szCs w:val="24"/>
                <w:highlight w:val="none"/>
              </w:rPr>
            </w:pPr>
            <w:r>
              <w:rPr>
                <w:rFonts w:hint="eastAsia" w:ascii="宋体" w:hAnsi="宋体" w:eastAsia="仿宋_GB2312"/>
                <w:spacing w:val="-10"/>
                <w:sz w:val="24"/>
                <w:szCs w:val="24"/>
                <w:highlight w:val="none"/>
              </w:rPr>
              <w:t>保存地点</w:t>
            </w:r>
          </w:p>
        </w:tc>
        <w:tc>
          <w:tcPr>
            <w:tcW w:w="1037" w:type="dxa"/>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pacing w:val="-1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保存证据物品及数量</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保存证据理由及依据</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6" w:hRule="atLeast"/>
          <w:jc w:val="center"/>
        </w:trPr>
        <w:tc>
          <w:tcPr>
            <w:tcW w:w="1727" w:type="dxa"/>
            <w:gridSpan w:val="2"/>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关负责人</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530" w:type="dxa"/>
            <w:gridSpan w:val="6"/>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727" w:type="dxa"/>
            <w:gridSpan w:val="2"/>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530" w:type="dxa"/>
            <w:gridSpan w:val="6"/>
            <w:tcBorders>
              <w:bottom w:val="single" w:color="auto" w:sz="12" w:space="0"/>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bl>
    <w:p>
      <w:pPr>
        <w:jc w:val="center"/>
        <w:rPr>
          <w:rFonts w:hint="eastAsia" w:ascii="宋体" w:hAnsi="宋体" w:eastAsia="方正大标宋简体"/>
          <w:bCs/>
          <w:sz w:val="44"/>
          <w:highlight w:val="none"/>
        </w:rPr>
      </w:pPr>
      <w:r>
        <w:rPr>
          <w:rFonts w:ascii="宋体" w:hAnsi="宋体" w:eastAsia="仿宋_GB2312"/>
          <w:b/>
          <w:sz w:val="24"/>
          <w:szCs w:val="24"/>
          <w:highlight w:val="none"/>
        </w:rPr>
        <w:br w:type="page"/>
      </w:r>
      <w:r>
        <w:rPr>
          <w:rFonts w:hint="eastAsia" w:ascii="方正小标宋简体" w:hAnsi="方正小标宋简体" w:eastAsia="方正小标宋简体" w:cs="方正小标宋简体"/>
          <w:sz w:val="36"/>
          <w:szCs w:val="36"/>
          <w:highlight w:val="none"/>
          <w:lang w:val="en-US" w:eastAsia="zh-CN"/>
        </w:rPr>
        <w:t>14、先行登记保存证据通知书</w:t>
      </w:r>
    </w:p>
    <w:p>
      <w:pPr>
        <w:keepNext w:val="0"/>
        <w:keepLines w:val="0"/>
        <w:pageBreakBefore w:val="0"/>
        <w:widowControl w:val="0"/>
        <w:kinsoku/>
        <w:wordWrap/>
        <w:overflowPunct/>
        <w:topLinePunct w:val="0"/>
        <w:autoSpaceDE/>
        <w:autoSpaceDN/>
        <w:bidi w:val="0"/>
        <w:adjustRightInd/>
        <w:snapToGrid/>
        <w:spacing w:line="440" w:lineRule="exact"/>
        <w:ind w:right="128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你（单位）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的规定，依据《中华人民共和国行政处罚法》</w:t>
      </w:r>
      <w:r>
        <w:rPr>
          <w:rFonts w:hint="eastAsia" w:ascii="宋体" w:hAnsi="宋体" w:eastAsia="仿宋_GB2312"/>
          <w:color w:val="auto"/>
          <w:sz w:val="24"/>
          <w:szCs w:val="24"/>
          <w:highlight w:val="none"/>
        </w:rPr>
        <w:t>第五十六条</w:t>
      </w:r>
      <w:r>
        <w:rPr>
          <w:rFonts w:hint="eastAsia" w:ascii="宋体" w:hAnsi="宋体" w:eastAsia="仿宋_GB2312"/>
          <w:sz w:val="24"/>
          <w:szCs w:val="24"/>
          <w:highlight w:val="none"/>
        </w:rPr>
        <w:t>的规定</w:t>
      </w:r>
      <w:r>
        <w:rPr>
          <w:rFonts w:hint="eastAsia" w:ascii="宋体" w:hAnsi="宋体" w:eastAsia="仿宋_GB2312"/>
          <w:sz w:val="24"/>
          <w:szCs w:val="24"/>
          <w:highlight w:val="none"/>
          <w:lang w:eastAsia="zh-CN"/>
        </w:rPr>
        <w:t>，</w:t>
      </w:r>
      <w:r>
        <w:rPr>
          <w:rFonts w:hint="eastAsia" w:ascii="宋体" w:hAnsi="宋体" w:eastAsia="仿宋_GB2312"/>
          <w:sz w:val="24"/>
          <w:szCs w:val="24"/>
          <w:highlight w:val="none"/>
        </w:rPr>
        <w:t>本机关决定对你（单位）存放于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的物品（详见《涉案物品清单》）作为证据予以先行登记保存。先行登记保存证据物品自</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方式，存放于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w:t>
      </w:r>
      <w:r>
        <w:rPr>
          <w:rFonts w:hint="eastAsia" w:ascii="宋体" w:hAnsi="宋体" w:eastAsia="仿宋_GB2312"/>
          <w:sz w:val="24"/>
          <w:szCs w:val="24"/>
          <w:highlight w:val="none"/>
          <w:lang w:eastAsia="zh-CN"/>
        </w:rPr>
        <w:t>法</w:t>
      </w:r>
      <w:r>
        <w:rPr>
          <w:rFonts w:hint="eastAsia" w:ascii="宋体" w:hAnsi="宋体" w:eastAsia="仿宋_GB2312"/>
          <w:sz w:val="24"/>
          <w:szCs w:val="24"/>
          <w:highlight w:val="none"/>
        </w:rPr>
        <w:t>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645"/>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附：涉案物品清单</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当 事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jc w:val="lef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15、先行登记保存证据物品处理决定书</w:t>
      </w:r>
    </w:p>
    <w:p>
      <w:pPr>
        <w:spacing w:line="240" w:lineRule="exact"/>
        <w:ind w:right="1281" w:firstLine="5820" w:firstLineChars="1819"/>
        <w:rPr>
          <w:rFonts w:hint="eastAsia" w:ascii="宋体" w:hAnsi="宋体" w:eastAsia="仿宋_GB2312"/>
          <w:sz w:val="32"/>
          <w:highlight w:val="none"/>
        </w:rPr>
      </w:pPr>
    </w:p>
    <w:p>
      <w:pPr>
        <w:keepNext w:val="0"/>
        <w:keepLines w:val="0"/>
        <w:pageBreakBefore w:val="0"/>
        <w:widowControl w:val="0"/>
        <w:kinsoku/>
        <w:wordWrap/>
        <w:overflowPunct/>
        <w:topLinePunct w:val="0"/>
        <w:autoSpaceDE/>
        <w:autoSpaceDN/>
        <w:bidi w:val="0"/>
        <w:adjustRightInd/>
        <w:snapToGrid/>
        <w:spacing w:line="440" w:lineRule="exact"/>
        <w:ind w:right="128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64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根据《中华人民共和国行政处罚法》第</w:t>
      </w:r>
      <w:r>
        <w:rPr>
          <w:rFonts w:hint="eastAsia" w:ascii="宋体" w:hAnsi="宋体" w:eastAsia="仿宋_GB2312"/>
          <w:color w:val="auto"/>
          <w:sz w:val="24"/>
          <w:szCs w:val="24"/>
          <w:highlight w:val="none"/>
        </w:rPr>
        <w:t>五十六条</w:t>
      </w:r>
      <w:r>
        <w:rPr>
          <w:rFonts w:hint="eastAsia" w:ascii="宋体" w:hAnsi="宋体" w:eastAsia="仿宋_GB2312"/>
          <w:sz w:val="24"/>
          <w:szCs w:val="24"/>
          <w:highlight w:val="none"/>
        </w:rPr>
        <w:t>的规定，本机关于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日对你（单位）存放于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的物品（详见《涉案物品清单》）作为证据予以先行登记保存。现作出如下处理决定：</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附：涉案物品清单</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当 事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tabs>
          <w:tab w:val="right" w:pos="8844"/>
        </w:tabs>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p>
    <w:p>
      <w:pPr>
        <w:keepNext w:val="0"/>
        <w:keepLines w:val="0"/>
        <w:pageBreakBefore w:val="0"/>
        <w:widowControl w:val="0"/>
        <w:tabs>
          <w:tab w:val="right" w:pos="8844"/>
        </w:tabs>
        <w:kinsoku/>
        <w:wordWrap/>
        <w:overflowPunct/>
        <w:topLinePunct w:val="0"/>
        <w:autoSpaceDE/>
        <w:autoSpaceDN/>
        <w:bidi w:val="0"/>
        <w:adjustRightInd/>
        <w:snapToGrid/>
        <w:spacing w:line="440" w:lineRule="exact"/>
        <w:ind w:firstLine="3360" w:firstLineChars="14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方正大标宋简体"/>
          <w:bCs/>
          <w:sz w:val="24"/>
          <w:szCs w:val="24"/>
          <w:highlight w:val="none"/>
        </w:rPr>
      </w:pPr>
      <w:r>
        <w:rPr>
          <w:rFonts w:hint="eastAsia" w:ascii="宋体" w:hAnsi="宋体" w:eastAsia="仿宋_GB2312"/>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16、行政处罚事先告知书</w:t>
      </w:r>
    </w:p>
    <w:p>
      <w:pPr>
        <w:keepNext w:val="0"/>
        <w:keepLines w:val="0"/>
        <w:pageBreakBefore w:val="0"/>
        <w:widowControl w:val="0"/>
        <w:kinsoku/>
        <w:wordWrap/>
        <w:overflowPunct/>
        <w:topLinePunct w:val="0"/>
        <w:autoSpaceDE/>
        <w:autoSpaceDN/>
        <w:bidi w:val="0"/>
        <w:adjustRightInd/>
        <w:snapToGrid/>
        <w:spacing w:line="440" w:lineRule="exact"/>
        <w:ind w:right="128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564" w:firstLineChars="235"/>
        <w:jc w:val="lef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rPr>
        <w:t>的规定，依据</w:t>
      </w: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rPr>
        <w:t>的规定，本机关拟对你（单位）作出以下行政处罚：</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color w:val="auto"/>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color w:val="auto"/>
          <w:sz w:val="24"/>
          <w:szCs w:val="24"/>
          <w:highlight w:val="none"/>
        </w:rPr>
        <w:t>依据《中华人民共和国行政处罚法》第四十四条和第四十五条的规定，你（单位）如对本机关上述认定的违法事实、处罚依据及处罚内容等有异议的，可于</w:t>
      </w:r>
      <w:r>
        <w:rPr>
          <w:rFonts w:hint="eastAsia" w:ascii="宋体" w:hAnsi="宋体" w:eastAsia="仿宋_GB2312"/>
          <w:color w:val="auto"/>
          <w:sz w:val="24"/>
          <w:szCs w:val="24"/>
          <w:highlight w:val="none"/>
          <w:u w:val="single"/>
        </w:rPr>
        <w:t xml:space="preserve">    </w:t>
      </w:r>
      <w:r>
        <w:rPr>
          <w:rFonts w:hint="eastAsia" w:ascii="宋体" w:hAnsi="宋体" w:eastAsia="仿宋_GB2312"/>
          <w:color w:val="auto"/>
          <w:sz w:val="24"/>
          <w:szCs w:val="24"/>
          <w:highlight w:val="none"/>
        </w:rPr>
        <w:t>年</w:t>
      </w:r>
      <w:r>
        <w:rPr>
          <w:rFonts w:hint="eastAsia" w:ascii="宋体" w:hAnsi="宋体" w:eastAsia="仿宋_GB2312"/>
          <w:color w:val="auto"/>
          <w:sz w:val="24"/>
          <w:szCs w:val="24"/>
          <w:highlight w:val="none"/>
          <w:u w:val="single"/>
        </w:rPr>
        <w:t xml:space="preserve">    </w:t>
      </w:r>
      <w:r>
        <w:rPr>
          <w:rFonts w:hint="eastAsia" w:ascii="宋体" w:hAnsi="宋体" w:eastAsia="仿宋_GB2312"/>
          <w:color w:val="auto"/>
          <w:sz w:val="24"/>
          <w:szCs w:val="24"/>
          <w:highlight w:val="none"/>
        </w:rPr>
        <w:t>月</w:t>
      </w:r>
      <w:r>
        <w:rPr>
          <w:rFonts w:hint="eastAsia" w:ascii="宋体" w:hAnsi="宋体" w:eastAsia="仿宋_GB2312"/>
          <w:color w:val="auto"/>
          <w:sz w:val="24"/>
          <w:szCs w:val="24"/>
          <w:highlight w:val="none"/>
          <w:u w:val="single"/>
        </w:rPr>
        <w:t xml:space="preserve">    </w:t>
      </w:r>
      <w:r>
        <w:rPr>
          <w:rFonts w:hint="eastAsia" w:ascii="宋体" w:hAnsi="宋体" w:eastAsia="仿宋_GB2312"/>
          <w:color w:val="auto"/>
          <w:sz w:val="24"/>
          <w:szCs w:val="24"/>
          <w:highlight w:val="none"/>
        </w:rPr>
        <w:t>日前提出书面陈述、申辩意见；也可直接到本机关进行陈述、申辩。逾期未提出陈述或申辩的，视为你</w:t>
      </w:r>
      <w:r>
        <w:rPr>
          <w:rFonts w:hint="eastAsia" w:ascii="宋体" w:hAnsi="宋体" w:eastAsia="仿宋_GB2312"/>
          <w:color w:val="auto"/>
          <w:sz w:val="24"/>
          <w:szCs w:val="24"/>
          <w:highlight w:val="none"/>
          <w:lang w:eastAsia="zh-CN"/>
        </w:rPr>
        <w:t>（</w:t>
      </w:r>
      <w:r>
        <w:rPr>
          <w:rFonts w:hint="eastAsia" w:ascii="宋体" w:hAnsi="宋体" w:eastAsia="仿宋_GB2312"/>
          <w:color w:val="auto"/>
          <w:sz w:val="24"/>
          <w:szCs w:val="24"/>
          <w:highlight w:val="none"/>
        </w:rPr>
        <w:t>单位</w:t>
      </w:r>
      <w:r>
        <w:rPr>
          <w:rFonts w:hint="eastAsia" w:ascii="宋体" w:hAnsi="宋体" w:eastAsia="仿宋_GB2312"/>
          <w:color w:val="auto"/>
          <w:sz w:val="24"/>
          <w:szCs w:val="24"/>
          <w:highlight w:val="none"/>
          <w:lang w:eastAsia="zh-CN"/>
        </w:rPr>
        <w:t>）</w:t>
      </w:r>
      <w:r>
        <w:rPr>
          <w:rFonts w:hint="eastAsia" w:ascii="宋体" w:hAnsi="宋体" w:eastAsia="仿宋_GB2312"/>
          <w:color w:val="auto"/>
          <w:sz w:val="24"/>
          <w:szCs w:val="24"/>
          <w:highlight w:val="none"/>
        </w:rPr>
        <w:t>自动放弃上述权利。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color w:val="auto"/>
          <w:sz w:val="24"/>
          <w:szCs w:val="24"/>
          <w:highlight w:val="none"/>
          <w:lang w:eastAsia="zh-CN"/>
        </w:rPr>
      </w:pPr>
      <w:r>
        <w:rPr>
          <w:rFonts w:hint="eastAsia" w:ascii="宋体" w:hAnsi="宋体" w:eastAsia="仿宋_GB2312"/>
          <w:sz w:val="24"/>
          <w:szCs w:val="24"/>
          <w:highlight w:val="none"/>
        </w:rPr>
        <w:t xml:space="preserve">□ </w:t>
      </w:r>
      <w:r>
        <w:rPr>
          <w:rFonts w:hint="eastAsia" w:ascii="宋体" w:hAnsi="宋体" w:eastAsia="仿宋_GB2312"/>
          <w:color w:val="auto"/>
          <w:sz w:val="24"/>
          <w:szCs w:val="24"/>
          <w:highlight w:val="none"/>
        </w:rPr>
        <w:t>依据《中华人民共和国行政处罚法》</w:t>
      </w:r>
      <w:r>
        <w:rPr>
          <w:rFonts w:hint="eastAsia" w:ascii="宋体" w:hAnsi="宋体" w:eastAsia="仿宋_GB2312"/>
          <w:color w:val="auto"/>
          <w:sz w:val="24"/>
          <w:szCs w:val="24"/>
          <w:highlight w:val="none"/>
          <w:lang w:eastAsia="zh-CN"/>
        </w:rPr>
        <w:t>第四十四条和第六十三条规定，你（单位）有权在收到本告知书之日起五日内向本机关要求听证；逾期不要求举行听证的，视为</w:t>
      </w:r>
      <w:r>
        <w:rPr>
          <w:rFonts w:hint="eastAsia" w:ascii="宋体" w:hAnsi="宋体" w:eastAsia="仿宋_GB2312"/>
          <w:color w:val="auto"/>
          <w:sz w:val="24"/>
          <w:szCs w:val="24"/>
          <w:highlight w:val="none"/>
        </w:rPr>
        <w:t>你</w:t>
      </w:r>
      <w:r>
        <w:rPr>
          <w:rFonts w:hint="eastAsia" w:ascii="宋体" w:hAnsi="宋体" w:eastAsia="仿宋_GB2312"/>
          <w:color w:val="auto"/>
          <w:sz w:val="24"/>
          <w:szCs w:val="24"/>
          <w:highlight w:val="none"/>
          <w:lang w:eastAsia="zh-CN"/>
        </w:rPr>
        <w:t>（</w:t>
      </w:r>
      <w:r>
        <w:rPr>
          <w:rFonts w:hint="eastAsia" w:ascii="宋体" w:hAnsi="宋体" w:eastAsia="仿宋_GB2312"/>
          <w:color w:val="auto"/>
          <w:sz w:val="24"/>
          <w:szCs w:val="24"/>
          <w:highlight w:val="none"/>
        </w:rPr>
        <w:t>单位</w:t>
      </w:r>
      <w:r>
        <w:rPr>
          <w:rFonts w:hint="eastAsia" w:ascii="宋体" w:hAnsi="宋体" w:eastAsia="仿宋_GB2312"/>
          <w:color w:val="auto"/>
          <w:sz w:val="24"/>
          <w:szCs w:val="24"/>
          <w:highlight w:val="none"/>
          <w:lang w:eastAsia="zh-CN"/>
        </w:rPr>
        <w:t>）</w:t>
      </w:r>
      <w:r>
        <w:rPr>
          <w:rFonts w:hint="eastAsia" w:ascii="宋体" w:hAnsi="宋体" w:eastAsia="仿宋_GB2312"/>
          <w:color w:val="auto"/>
          <w:sz w:val="24"/>
          <w:szCs w:val="24"/>
          <w:highlight w:val="none"/>
        </w:rPr>
        <w:t>自动放弃上述权利</w:t>
      </w:r>
      <w:r>
        <w:rPr>
          <w:rFonts w:hint="eastAsia" w:ascii="宋体" w:hAnsi="宋体" w:eastAsia="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color w:val="auto"/>
          <w:sz w:val="24"/>
          <w:szCs w:val="24"/>
          <w:highlight w:val="none"/>
          <w:lang w:eastAsia="zh-CN"/>
        </w:rPr>
      </w:pPr>
      <w:r>
        <w:rPr>
          <w:rFonts w:hint="eastAsia" w:ascii="宋体" w:hAnsi="宋体" w:eastAsia="仿宋_GB2312"/>
          <w:color w:val="auto"/>
          <w:sz w:val="24"/>
          <w:szCs w:val="24"/>
          <w:highlight w:val="none"/>
          <w:lang w:eastAsia="zh-CN"/>
        </w:rPr>
        <w:t>（注：在</w:t>
      </w:r>
      <w:r>
        <w:rPr>
          <w:rFonts w:hint="eastAsia" w:ascii="宋体" w:hAnsi="宋体" w:eastAsia="仿宋_GB2312"/>
          <w:sz w:val="24"/>
          <w:szCs w:val="24"/>
          <w:highlight w:val="none"/>
        </w:rPr>
        <w:t>□</w:t>
      </w:r>
      <w:r>
        <w:rPr>
          <w:rFonts w:hint="eastAsia" w:ascii="宋体" w:hAnsi="宋体" w:eastAsia="仿宋_GB2312"/>
          <w:color w:val="auto"/>
          <w:sz w:val="24"/>
          <w:szCs w:val="24"/>
          <w:highlight w:val="none"/>
          <w:lang w:eastAsia="zh-CN"/>
        </w:rPr>
        <w:t>内打对号的当事人享有该权利）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年   月   日</w:t>
      </w:r>
    </w:p>
    <w:p>
      <w:pPr>
        <w:jc w:val="center"/>
        <w:rPr>
          <w:rFonts w:hint="eastAsia" w:ascii="宋体" w:hAnsi="宋体" w:eastAsia="方正大标宋简体"/>
          <w:bCs/>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17、当事人陈述、申辩笔录</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8"/>
          <w:highlight w:val="none"/>
          <w:u w:val="thick"/>
        </w:rPr>
        <w:t xml:space="preserve">                             </w:t>
      </w:r>
      <w:r>
        <w:rPr>
          <w:rFonts w:hint="eastAsia" w:ascii="宋体" w:hAnsi="宋体" w:eastAsia="仿宋_GB2312"/>
          <w:b/>
          <w:bCs/>
          <w:sz w:val="28"/>
          <w:highlight w:val="none"/>
          <w:u w:val="thick"/>
          <w:lang w:val="en-US" w:eastAsia="zh-CN"/>
        </w:rPr>
        <w:t xml:space="preserve">    </w:t>
      </w:r>
      <w:r>
        <w:rPr>
          <w:rFonts w:hint="eastAsia" w:ascii="宋体" w:hAnsi="宋体" w:eastAsia="仿宋_GB2312"/>
          <w:b/>
          <w:bCs/>
          <w:sz w:val="28"/>
          <w:highlight w:val="none"/>
          <w:u w:val="thick"/>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陈述、申辩时间：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陈述、申辩地点：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陈述、申辩人：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法定代表人：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　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记 录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5"/>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我们是</w:t>
      </w:r>
      <w:r>
        <w:rPr>
          <w:rFonts w:hint="eastAsia" w:ascii="宋体" w:hAnsi="宋体" w:eastAsia="仿宋_GB2312"/>
          <w:sz w:val="24"/>
          <w:szCs w:val="24"/>
          <w:highlight w:val="none"/>
          <w:u w:val="single"/>
        </w:rPr>
        <w:t xml:space="preserve"> （单位名称） </w:t>
      </w:r>
      <w:r>
        <w:rPr>
          <w:rFonts w:hint="eastAsia" w:ascii="宋体" w:hAnsi="宋体" w:eastAsia="仿宋_GB2312"/>
          <w:sz w:val="24"/>
          <w:szCs w:val="24"/>
          <w:highlight w:val="none"/>
        </w:rPr>
        <w:t>的执法人员，这是我们的执法证件（出示证件），请查看。如果执法人员与你有直接利害关系的，你可以申请回避。现对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一案听取你（单位）的陈述、申辩。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highlight w:val="none"/>
          <w:lang w:val="zh-CN"/>
        </w:rPr>
      </w:pPr>
      <w:r>
        <w:rPr>
          <w:rFonts w:hint="eastAsia" w:ascii="宋体" w:hAnsi="宋体" w:eastAsia="仿宋_GB2312"/>
          <w:sz w:val="24"/>
          <w:szCs w:val="24"/>
          <w:highlight w:val="none"/>
        </w:rPr>
        <w:t>陈述、申辩内容：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陈述、申辩人或委托代理人：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jc w:val="center"/>
        <w:rPr>
          <w:rFonts w:hint="eastAsia" w:ascii="宋体" w:hAnsi="宋体" w:eastAsia="方正大标宋简体"/>
          <w:bCs/>
          <w:sz w:val="44"/>
          <w:highlight w:val="none"/>
        </w:rPr>
      </w:pPr>
      <w:r>
        <w:rPr>
          <w:rFonts w:ascii="宋体" w:hAnsi="宋体" w:eastAsia="仿宋_GB2312"/>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当事人陈述、申辩笔录（续页）</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4"/>
          <w:szCs w:val="24"/>
          <w:highlight w:val="none"/>
          <w:u w:val="thick"/>
        </w:rPr>
        <w:t xml:space="preserve">                                   </w:t>
      </w:r>
      <w:r>
        <w:rPr>
          <w:rFonts w:hint="eastAsia" w:ascii="宋体" w:hAnsi="宋体" w:eastAsia="仿宋_GB2312"/>
          <w:b/>
          <w:bCs/>
          <w:sz w:val="24"/>
          <w:szCs w:val="24"/>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仿宋_GB2312"/>
          <w:sz w:val="24"/>
          <w:szCs w:val="24"/>
          <w:highlight w:val="none"/>
          <w:u w:val="single"/>
          <w:lang w:val="en-US" w:eastAsia="zh-CN"/>
        </w:rPr>
      </w:pPr>
      <w:r>
        <w:rPr>
          <w:rFonts w:hint="eastAsia" w:ascii="宋体" w:hAnsi="宋体" w:eastAsia="仿宋_GB2312" w:cs="宋体"/>
          <w:kern w:val="0"/>
          <w:sz w:val="24"/>
          <w:szCs w:val="24"/>
          <w:highlight w:val="none"/>
          <w:u w:val="words"/>
        </w:rPr>
        <w:t>上述笔录我已看过（或已向我宣读过），情况属实无误</w:t>
      </w:r>
      <w:r>
        <w:rPr>
          <w:rFonts w:hint="eastAsia" w:ascii="宋体" w:hAnsi="宋体" w:eastAsia="仿宋_GB2312" w:cs="宋体"/>
          <w:kern w:val="0"/>
          <w:sz w:val="24"/>
          <w:szCs w:val="24"/>
          <w:highlight w:val="none"/>
          <w:u w:val="single"/>
        </w:rPr>
        <w:t>。</w:t>
      </w:r>
      <w:r>
        <w:rPr>
          <w:rFonts w:hint="eastAsia" w:ascii="宋体" w:hAnsi="宋体" w:eastAsia="仿宋_GB2312" w:cs="宋体"/>
          <w:kern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陈述、申辩人或委托代理人：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rPr>
        <w:br w:type="textWrapping"/>
      </w:r>
      <w:r>
        <w:rPr>
          <w:rFonts w:hint="eastAsia" w:ascii="宋体" w:hAnsi="宋体" w:eastAsia="仿宋_GB2312"/>
          <w:sz w:val="24"/>
          <w:szCs w:val="24"/>
          <w:highlight w:val="none"/>
        </w:rPr>
        <w:t>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jc w:val="center"/>
        <w:rPr>
          <w:rFonts w:hint="eastAsia" w:ascii="宋体" w:hAnsi="宋体" w:eastAsia="方正大标宋简体"/>
          <w:bCs/>
          <w:sz w:val="44"/>
          <w:highlight w:val="none"/>
        </w:rPr>
      </w:pPr>
      <w:r>
        <w:rPr>
          <w:rFonts w:ascii="宋体" w:hAnsi="宋体" w:eastAsia="仿宋_GB2312"/>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18、当事人陈述、申辩复核意见书</w:t>
      </w:r>
    </w:p>
    <w:p>
      <w:pPr>
        <w:ind w:right="1280"/>
        <w:jc w:val="right"/>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tbl>
      <w:tblPr>
        <w:tblStyle w:val="7"/>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185"/>
        <w:gridCol w:w="1647"/>
        <w:gridCol w:w="1564"/>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040"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6107" w:type="dxa"/>
            <w:gridSpan w:val="4"/>
            <w:tcBorders>
              <w:top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2040" w:type="dxa"/>
            <w:vMerge w:val="restart"/>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1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6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56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711"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trPr>
        <w:tc>
          <w:tcPr>
            <w:tcW w:w="2040" w:type="dxa"/>
            <w:vMerge w:val="continue"/>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1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64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56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711"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trPr>
        <w:tc>
          <w:tcPr>
            <w:tcW w:w="2040"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仿宋_GB2312"/>
                <w:sz w:val="24"/>
                <w:szCs w:val="24"/>
                <w:highlight w:val="none"/>
              </w:rPr>
            </w:pPr>
            <w:r>
              <w:rPr>
                <w:rFonts w:hint="eastAsia" w:ascii="宋体" w:hAnsi="宋体" w:eastAsia="仿宋_GB2312"/>
                <w:sz w:val="24"/>
                <w:szCs w:val="24"/>
                <w:highlight w:val="none"/>
              </w:rPr>
              <w:t>陈述、申辩的事实、理由和证据</w:t>
            </w:r>
          </w:p>
        </w:tc>
        <w:tc>
          <w:tcPr>
            <w:tcW w:w="6107"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atLeast"/>
        </w:trPr>
        <w:tc>
          <w:tcPr>
            <w:tcW w:w="2040"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复核人意见</w:t>
            </w:r>
          </w:p>
        </w:tc>
        <w:tc>
          <w:tcPr>
            <w:tcW w:w="6107"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2040"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复核机构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07"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atLeast"/>
        </w:trPr>
        <w:tc>
          <w:tcPr>
            <w:tcW w:w="2040"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107"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6" w:hRule="atLeast"/>
        </w:trPr>
        <w:tc>
          <w:tcPr>
            <w:tcW w:w="2040" w:type="dxa"/>
            <w:tcBorders>
              <w:left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行政执法机关负责人</w:t>
            </w:r>
          </w:p>
          <w:p>
            <w:pPr>
              <w:keepNext w:val="0"/>
              <w:keepLines w:val="0"/>
              <w:suppressLineNumbers w:val="0"/>
              <w:spacing w:before="0" w:beforeAutospacing="0" w:after="0" w:afterAutospacing="0" w:line="40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07"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trPr>
        <w:tc>
          <w:tcPr>
            <w:tcW w:w="2040" w:type="dxa"/>
            <w:tcBorders>
              <w:left w:val="single" w:color="auto" w:sz="12"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107" w:type="dxa"/>
            <w:gridSpan w:val="4"/>
            <w:tcBorders>
              <w:left w:val="single" w:color="auto" w:sz="4" w:space="0"/>
              <w:bottom w:val="single" w:color="auto" w:sz="12" w:space="0"/>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bl>
    <w:p>
      <w:pPr>
        <w:jc w:val="center"/>
        <w:rPr>
          <w:rFonts w:hint="eastAsia" w:ascii="宋体" w:hAnsi="宋体" w:eastAsia="方正大标宋简体"/>
          <w:bCs/>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19、行政处罚听证告知书</w:t>
      </w:r>
    </w:p>
    <w:p>
      <w:pPr>
        <w:spacing w:line="600" w:lineRule="exact"/>
        <w:ind w:right="1280"/>
        <w:jc w:val="right"/>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spacing w:line="480" w:lineRule="exact"/>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spacing w:line="480" w:lineRule="exact"/>
        <w:ind w:firstLine="564" w:firstLineChars="235"/>
        <w:rPr>
          <w:rFonts w:hint="eastAsia" w:ascii="宋体" w:hAnsi="宋体" w:eastAsia="仿宋_GB2312"/>
          <w:sz w:val="24"/>
          <w:szCs w:val="24"/>
          <w:highlight w:val="none"/>
          <w:u w:val="singl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48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48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的规定，依据</w:t>
      </w: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48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的规定，本机关拟对你（单位）作出以下行政处罚：</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480" w:lineRule="exact"/>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spacing w:line="480" w:lineRule="exact"/>
        <w:ind w:firstLine="480" w:firstLineChars="200"/>
        <w:rPr>
          <w:rFonts w:hint="eastAsia" w:ascii="宋体" w:hAnsi="宋体" w:eastAsia="仿宋_GB2312"/>
          <w:sz w:val="24"/>
          <w:szCs w:val="24"/>
          <w:highlight w:val="none"/>
        </w:rPr>
      </w:pPr>
      <w:r>
        <w:rPr>
          <w:rFonts w:hint="eastAsia" w:ascii="宋体" w:hAnsi="宋体" w:eastAsia="仿宋_GB2312"/>
          <w:sz w:val="24"/>
          <w:szCs w:val="24"/>
          <w:highlight w:val="none"/>
        </w:rPr>
        <w:t>依据《中华人民共和国行政处罚法》第</w:t>
      </w:r>
      <w:r>
        <w:rPr>
          <w:rFonts w:hint="eastAsia" w:ascii="宋体" w:hAnsi="宋体" w:eastAsia="仿宋_GB2312"/>
          <w:color w:val="auto"/>
          <w:sz w:val="24"/>
          <w:szCs w:val="24"/>
          <w:highlight w:val="none"/>
        </w:rPr>
        <w:t>六十三条</w:t>
      </w:r>
      <w:r>
        <w:rPr>
          <w:rFonts w:hint="eastAsia" w:ascii="宋体" w:hAnsi="宋体" w:eastAsia="仿宋_GB2312"/>
          <w:color w:val="auto"/>
          <w:sz w:val="24"/>
          <w:szCs w:val="24"/>
          <w:highlight w:val="none"/>
          <w:lang w:eastAsia="zh-CN"/>
        </w:rPr>
        <w:t>和第六十四条</w:t>
      </w:r>
      <w:r>
        <w:rPr>
          <w:rFonts w:hint="eastAsia" w:ascii="宋体" w:hAnsi="宋体" w:eastAsia="仿宋_GB2312"/>
          <w:color w:val="auto"/>
          <w:sz w:val="24"/>
          <w:szCs w:val="24"/>
          <w:highlight w:val="none"/>
        </w:rPr>
        <w:t>的规定，你（单位）有要求举行听证的权利。如你（单位）要求举行听证，应当在收到本告知书之日起</w:t>
      </w:r>
      <w:r>
        <w:rPr>
          <w:rFonts w:hint="eastAsia" w:ascii="宋体" w:hAnsi="宋体" w:eastAsia="仿宋_GB2312"/>
          <w:color w:val="auto"/>
          <w:sz w:val="24"/>
          <w:szCs w:val="24"/>
          <w:highlight w:val="none"/>
          <w:lang w:eastAsia="zh-CN"/>
        </w:rPr>
        <w:t>五</w:t>
      </w:r>
      <w:r>
        <w:rPr>
          <w:rFonts w:hint="eastAsia" w:ascii="宋体" w:hAnsi="宋体" w:eastAsia="仿宋_GB2312"/>
          <w:sz w:val="24"/>
          <w:szCs w:val="24"/>
          <w:highlight w:val="none"/>
        </w:rPr>
        <w:t>日内向本机关提出听证申请。逾期未提出申请的，视为你</w:t>
      </w:r>
      <w:r>
        <w:rPr>
          <w:rFonts w:hint="eastAsia" w:ascii="宋体" w:hAnsi="宋体" w:eastAsia="仿宋_GB2312"/>
          <w:sz w:val="24"/>
          <w:szCs w:val="24"/>
          <w:highlight w:val="none"/>
          <w:lang w:eastAsia="zh-CN"/>
        </w:rPr>
        <w:t>（</w:t>
      </w:r>
      <w:r>
        <w:rPr>
          <w:rFonts w:hint="eastAsia" w:ascii="宋体" w:hAnsi="宋体" w:eastAsia="仿宋_GB2312"/>
          <w:sz w:val="24"/>
          <w:szCs w:val="24"/>
          <w:highlight w:val="none"/>
        </w:rPr>
        <w:t>单位</w:t>
      </w:r>
      <w:r>
        <w:rPr>
          <w:rFonts w:hint="eastAsia" w:ascii="宋体" w:hAnsi="宋体" w:eastAsia="仿宋_GB2312"/>
          <w:sz w:val="24"/>
          <w:szCs w:val="24"/>
          <w:highlight w:val="none"/>
          <w:lang w:eastAsia="zh-CN"/>
        </w:rPr>
        <w:t>）</w:t>
      </w:r>
      <w:r>
        <w:rPr>
          <w:rFonts w:hint="eastAsia" w:ascii="宋体" w:hAnsi="宋体" w:eastAsia="仿宋_GB2312"/>
          <w:sz w:val="24"/>
          <w:szCs w:val="24"/>
          <w:highlight w:val="none"/>
        </w:rPr>
        <w:t>自动放弃上述权利。</w:t>
      </w:r>
    </w:p>
    <w:p>
      <w:pPr>
        <w:spacing w:line="480" w:lineRule="exact"/>
        <w:ind w:firstLine="480" w:firstLineChars="200"/>
        <w:rPr>
          <w:rFonts w:hint="eastAsia" w:ascii="宋体" w:hAnsi="宋体" w:eastAsia="仿宋_GB2312"/>
          <w:sz w:val="24"/>
          <w:szCs w:val="24"/>
          <w:highlight w:val="none"/>
        </w:rPr>
      </w:pPr>
    </w:p>
    <w:p>
      <w:pPr>
        <w:spacing w:line="480" w:lineRule="exact"/>
        <w:ind w:firstLine="480" w:firstLineChars="200"/>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tabs>
          <w:tab w:val="left" w:pos="900"/>
        </w:tabs>
        <w:spacing w:line="480" w:lineRule="exact"/>
        <w:ind w:firstLine="480" w:firstLineChars="200"/>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tabs>
          <w:tab w:val="left" w:pos="900"/>
        </w:tabs>
        <w:spacing w:line="480" w:lineRule="exact"/>
        <w:ind w:firstLine="480" w:firstLineChars="200"/>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48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spacing w:line="48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spacing w:line="48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bCs/>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20、行政处罚听证公告</w:t>
      </w:r>
    </w:p>
    <w:p>
      <w:pPr>
        <w:keepNext w:val="0"/>
        <w:keepLines w:val="0"/>
        <w:pageBreakBefore w:val="0"/>
        <w:widowControl w:val="0"/>
        <w:kinsoku/>
        <w:wordWrap/>
        <w:overflowPunct/>
        <w:topLinePunct w:val="0"/>
        <w:autoSpaceDE/>
        <w:autoSpaceDN/>
        <w:bidi w:val="0"/>
        <w:adjustRightInd/>
        <w:snapToGrid/>
        <w:spacing w:line="440" w:lineRule="exact"/>
        <w:ind w:right="1280"/>
        <w:jc w:val="righ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根据《中华人民共和国行政处罚法》第</w:t>
      </w:r>
      <w:r>
        <w:rPr>
          <w:rFonts w:hint="eastAsia" w:ascii="宋体" w:hAnsi="宋体" w:eastAsia="仿宋_GB2312"/>
          <w:color w:val="000000" w:themeColor="text1"/>
          <w:sz w:val="24"/>
          <w:szCs w:val="24"/>
          <w:highlight w:val="none"/>
          <w14:textFill>
            <w14:solidFill>
              <w14:schemeClr w14:val="tx1"/>
            </w14:solidFill>
          </w14:textFill>
        </w:rPr>
        <w:t>六十三条</w:t>
      </w:r>
      <w:r>
        <w:rPr>
          <w:rFonts w:hint="eastAsia" w:ascii="宋体" w:hAnsi="宋体" w:eastAsia="仿宋_GB2312"/>
          <w:color w:val="000000" w:themeColor="text1"/>
          <w:sz w:val="24"/>
          <w:szCs w:val="24"/>
          <w:highlight w:val="none"/>
          <w:lang w:eastAsia="zh-CN"/>
          <w14:textFill>
            <w14:solidFill>
              <w14:schemeClr w14:val="tx1"/>
            </w14:solidFill>
          </w14:textFill>
        </w:rPr>
        <w:t>、第六十四条</w:t>
      </w:r>
      <w:r>
        <w:rPr>
          <w:rFonts w:hint="eastAsia" w:ascii="宋体" w:hAnsi="宋体" w:eastAsia="仿宋_GB2312"/>
          <w:sz w:val="24"/>
          <w:szCs w:val="24"/>
          <w:highlight w:val="none"/>
        </w:rPr>
        <w:t>和</w:t>
      </w:r>
      <w:r>
        <w:rPr>
          <w:rFonts w:hint="eastAsia" w:ascii="宋体" w:hAnsi="宋体" w:eastAsia="仿宋_GB2312"/>
          <w:sz w:val="24"/>
          <w:szCs w:val="24"/>
          <w:highlight w:val="none"/>
          <w:u w:val="single"/>
        </w:rPr>
        <w:t>《××法》第×条第×款第×项　</w:t>
      </w:r>
      <w:r>
        <w:rPr>
          <w:rFonts w:hint="eastAsia" w:ascii="宋体" w:hAnsi="宋体" w:eastAsia="仿宋_GB2312"/>
          <w:sz w:val="24"/>
          <w:szCs w:val="24"/>
          <w:highlight w:val="none"/>
        </w:rPr>
        <w:t>的有关规定及当事人的申请，本机关决定对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一案举行公开听证，现将有关事项公告如下：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黑体"/>
          <w:sz w:val="24"/>
          <w:szCs w:val="24"/>
          <w:highlight w:val="none"/>
        </w:rPr>
        <w:t>一、听证内容：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黑体"/>
          <w:sz w:val="24"/>
          <w:szCs w:val="24"/>
          <w:highlight w:val="none"/>
        </w:rPr>
        <w:t>二、听证时间：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黑体"/>
          <w:sz w:val="24"/>
          <w:szCs w:val="24"/>
          <w:highlight w:val="none"/>
        </w:rPr>
        <w:t>三、听证地点：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黑体"/>
          <w:sz w:val="24"/>
          <w:szCs w:val="24"/>
          <w:highlight w:val="none"/>
        </w:rPr>
        <w:t>四、联系方式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黑体"/>
          <w:sz w:val="24"/>
          <w:szCs w:val="24"/>
          <w:highlight w:val="none"/>
        </w:rPr>
      </w:pPr>
      <w:r>
        <w:rPr>
          <w:rFonts w:hint="eastAsia" w:ascii="宋体" w:hAnsi="宋体" w:eastAsia="黑体"/>
          <w:sz w:val="24"/>
          <w:szCs w:val="24"/>
          <w:highlight w:val="none"/>
        </w:rPr>
        <w:t>五、注意事项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（一）与案件有直接利害关系的公民、法人或其他组织要求参加听证的，请于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前向本机关提交书面申请及相关证明材料。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（二）需要旁听听证的人员，可于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前到本机关办理有关参加听证手续。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（三）参加听证的人员应当遵守会场纪律，遵守听证规则，服从听证主持人的安排。未经听证机构同意，不得录音录像。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特此公告。</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bCs/>
          <w:sz w:val="44"/>
          <w:highlight w:val="none"/>
        </w:rPr>
      </w:pPr>
      <w:r>
        <w:rPr>
          <w:rFonts w:ascii="宋体" w:hAnsi="宋体"/>
          <w:b/>
          <w:bCs/>
          <w:sz w:val="44"/>
          <w:highlight w:val="none"/>
        </w:rPr>
        <w:br w:type="page"/>
      </w:r>
      <w:r>
        <w:rPr>
          <w:rFonts w:hint="eastAsia" w:ascii="方正小标宋简体" w:hAnsi="方正小标宋简体" w:eastAsia="方正小标宋简体" w:cs="方正小标宋简体"/>
          <w:sz w:val="36"/>
          <w:szCs w:val="36"/>
          <w:highlight w:val="none"/>
          <w:lang w:val="en-US" w:eastAsia="zh-CN"/>
        </w:rPr>
        <w:t>21、行政处罚听证通知书</w:t>
      </w:r>
    </w:p>
    <w:p>
      <w:pPr>
        <w:keepNext w:val="0"/>
        <w:keepLines w:val="0"/>
        <w:pageBreakBefore w:val="0"/>
        <w:widowControl w:val="0"/>
        <w:kinsoku/>
        <w:wordWrap/>
        <w:overflowPunct/>
        <w:topLinePunct w:val="0"/>
        <w:autoSpaceDE/>
        <w:autoSpaceDN/>
        <w:bidi w:val="0"/>
        <w:adjustRightInd/>
        <w:snapToGrid/>
        <w:spacing w:line="440" w:lineRule="exact"/>
        <w:ind w:right="1280"/>
        <w:jc w:val="right"/>
        <w:textAlignment w:val="auto"/>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58" w:firstLineChars="191"/>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依据《中华人民共和国行政处罚法》第</w:t>
      </w:r>
      <w:r>
        <w:rPr>
          <w:rFonts w:hint="eastAsia" w:ascii="宋体" w:hAnsi="宋体" w:eastAsia="仿宋_GB2312"/>
          <w:color w:val="auto"/>
          <w:sz w:val="24"/>
          <w:szCs w:val="24"/>
          <w:highlight w:val="none"/>
        </w:rPr>
        <w:t>六十三条</w:t>
      </w:r>
      <w:r>
        <w:rPr>
          <w:rFonts w:hint="eastAsia" w:ascii="宋体" w:hAnsi="宋体" w:eastAsia="仿宋_GB2312"/>
          <w:color w:val="auto"/>
          <w:sz w:val="24"/>
          <w:szCs w:val="24"/>
          <w:highlight w:val="none"/>
          <w:lang w:eastAsia="zh-CN"/>
        </w:rPr>
        <w:t>和第六十四条</w:t>
      </w:r>
      <w:r>
        <w:rPr>
          <w:rFonts w:hint="eastAsia" w:ascii="宋体" w:hAnsi="宋体" w:eastAsia="仿宋_GB2312"/>
          <w:sz w:val="24"/>
          <w:szCs w:val="24"/>
          <w:highlight w:val="none"/>
        </w:rPr>
        <w:t>的规定，对你（单位）</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日提出的听证申请，本机关决定于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分在</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举行（不）公开听证，请持本通知书准时出席。如需委托代理人，请于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日前向本机关提交授权委托书。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听证主持人：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none"/>
          <w:lang w:val="en-US" w:eastAsia="zh-CN"/>
        </w:rPr>
      </w:pPr>
      <w:r>
        <w:rPr>
          <w:rFonts w:hint="eastAsia" w:ascii="宋体" w:hAnsi="宋体" w:eastAsia="仿宋_GB2312"/>
          <w:color w:val="auto"/>
          <w:sz w:val="24"/>
          <w:szCs w:val="24"/>
          <w:highlight w:val="none"/>
          <w:u w:val="none"/>
          <w:lang w:val="en-US" w:eastAsia="zh-CN"/>
        </w:rPr>
        <w:t>听证主持人证号：</w:t>
      </w:r>
      <w:r>
        <w:rPr>
          <w:rFonts w:hint="eastAsia" w:ascii="宋体" w:hAnsi="宋体" w:eastAsia="仿宋_GB2312"/>
          <w:color w:val="auto"/>
          <w:sz w:val="24"/>
          <w:szCs w:val="24"/>
          <w:highlight w:val="none"/>
        </w:rPr>
        <w:t xml:space="preserve"> </w:t>
      </w:r>
      <w:r>
        <w:rPr>
          <w:rFonts w:hint="eastAsia" w:ascii="宋体" w:hAnsi="宋体" w:eastAsia="仿宋_GB2312"/>
          <w:color w:val="auto"/>
          <w:sz w:val="24"/>
          <w:szCs w:val="24"/>
          <w:highlight w:val="none"/>
          <w:u w:val="single"/>
        </w:rPr>
        <w:t xml:space="preserve">     </w:t>
      </w:r>
      <w:r>
        <w:rPr>
          <w:rFonts w:hint="eastAsia" w:ascii="宋体" w:hAnsi="宋体" w:eastAsia="仿宋_GB2312"/>
          <w:color w:val="auto"/>
          <w:sz w:val="24"/>
          <w:szCs w:val="24"/>
          <w:highlight w:val="none"/>
          <w:u w:val="single"/>
          <w:lang w:val="en-US" w:eastAsia="zh-CN"/>
        </w:rPr>
        <w:t xml:space="preserve"> </w:t>
      </w:r>
      <w:r>
        <w:rPr>
          <w:rFonts w:hint="eastAsia" w:ascii="宋体" w:hAnsi="宋体" w:eastAsia="仿宋_GB2312"/>
          <w:color w:val="auto"/>
          <w:sz w:val="24"/>
          <w:szCs w:val="24"/>
          <w:highlight w:val="none"/>
          <w:u w:val="single"/>
        </w:rPr>
        <w:t xml:space="preserve">       </w:t>
      </w:r>
      <w:r>
        <w:rPr>
          <w:rFonts w:hint="eastAsia" w:ascii="宋体" w:hAnsi="宋体" w:eastAsia="仿宋_GB2312"/>
          <w:color w:val="auto"/>
          <w:sz w:val="24"/>
          <w:szCs w:val="24"/>
          <w:highlight w:val="none"/>
          <w:u w:val="none"/>
          <w:lang w:val="en-US" w:eastAsia="zh-CN"/>
        </w:rPr>
        <w:t xml:space="preserve"> </w:t>
      </w:r>
      <w:r>
        <w:rPr>
          <w:rFonts w:hint="eastAsia" w:ascii="宋体" w:hAnsi="宋体" w:eastAsia="仿宋_GB2312"/>
          <w:color w:val="FF0000"/>
          <w:sz w:val="24"/>
          <w:szCs w:val="24"/>
          <w:highlight w:val="none"/>
          <w:u w:val="none"/>
          <w:lang w:val="en-US" w:eastAsia="zh-CN"/>
        </w:rPr>
        <w:t xml:space="preserve"> </w:t>
      </w:r>
      <w:r>
        <w:rPr>
          <w:rFonts w:hint="eastAsia" w:ascii="宋体" w:hAnsi="宋体" w:eastAsia="仿宋_GB2312"/>
          <w:sz w:val="24"/>
          <w:szCs w:val="24"/>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仿宋_GB2312"/>
          <w:sz w:val="24"/>
          <w:szCs w:val="24"/>
          <w:highlight w:val="none"/>
          <w:u w:val="single"/>
          <w:lang w:val="en-US"/>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none"/>
          <w:lang w:val="en-US" w:eastAsia="zh-CN"/>
        </w:rPr>
        <w:t>：</w:t>
      </w:r>
      <w:r>
        <w:rPr>
          <w:rFonts w:hint="eastAsia" w:ascii="宋体" w:hAnsi="宋体" w:eastAsia="仿宋_GB231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68" w:firstLineChars="19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如你（单位）认为听证主持人与本案有直接利害关系的，有权申请回避。申请听证主持人回避的，可于听证举行前向本机关提出申请并说明理由。</w:t>
      </w:r>
    </w:p>
    <w:p>
      <w:pPr>
        <w:keepNext w:val="0"/>
        <w:keepLines w:val="0"/>
        <w:pageBreakBefore w:val="0"/>
        <w:widowControl w:val="0"/>
        <w:kinsoku/>
        <w:wordWrap/>
        <w:overflowPunct/>
        <w:topLinePunct w:val="0"/>
        <w:autoSpaceDE/>
        <w:autoSpaceDN/>
        <w:bidi w:val="0"/>
        <w:adjustRightInd/>
        <w:snapToGrid/>
        <w:spacing w:line="440" w:lineRule="exact"/>
        <w:ind w:firstLine="468" w:firstLineChars="19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因特殊原因需申请延期举行的，应当于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日前向本机关提出，由本机关决定是否延期。若无正当理由不按时参加听证，又不事先说明理由的，视为放弃听证权利。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宋体" w:hAnsi="宋体" w:eastAsia="方正大标宋简体"/>
          <w:bCs/>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22、行政处罚听证笔录</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8"/>
          <w:highlight w:val="none"/>
          <w:u w:val="thick"/>
        </w:rPr>
        <w:t xml:space="preserve">                                   </w:t>
      </w:r>
      <w:r>
        <w:rPr>
          <w:rFonts w:hint="eastAsia" w:ascii="宋体" w:hAnsi="宋体" w:eastAsia="仿宋_GB2312"/>
          <w:b/>
          <w:bCs/>
          <w:sz w:val="28"/>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案  由:</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主持听证机关：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听证时间：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听证申请人：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法定代表人：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　联系电话：</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仿宋_GB2312"/>
          <w:color w:val="FF0000"/>
          <w:sz w:val="24"/>
          <w:szCs w:val="24"/>
          <w:highlight w:val="none"/>
          <w:u w:val="none"/>
          <w:lang w:val="en-US" w:eastAsia="zh-CN"/>
        </w:rPr>
      </w:pPr>
      <w:r>
        <w:rPr>
          <w:rFonts w:hint="eastAsia" w:ascii="宋体" w:hAnsi="宋体" w:eastAsia="仿宋_GB2312"/>
          <w:sz w:val="24"/>
          <w:szCs w:val="24"/>
          <w:highlight w:val="none"/>
        </w:rPr>
        <w:t>听证主持人：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color w:val="auto"/>
          <w:sz w:val="24"/>
          <w:szCs w:val="24"/>
          <w:highlight w:val="none"/>
          <w:lang w:eastAsia="zh-CN"/>
        </w:rPr>
        <w:t>听证主持人证号：</w:t>
      </w:r>
      <w:r>
        <w:rPr>
          <w:rFonts w:hint="eastAsia" w:ascii="宋体" w:hAnsi="宋体" w:eastAsia="仿宋_GB2312"/>
          <w:color w:val="auto"/>
          <w:sz w:val="24"/>
          <w:szCs w:val="24"/>
          <w:highlight w:val="none"/>
          <w:u w:val="single"/>
          <w:lang w:val="en-US" w:eastAsia="zh-CN"/>
        </w:rPr>
        <w:t xml:space="preserve">            </w:t>
      </w:r>
      <w:r>
        <w:rPr>
          <w:rFonts w:hint="eastAsia" w:ascii="宋体" w:hAnsi="宋体" w:eastAsia="仿宋_GB2312"/>
          <w:color w:val="FF000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听证记录：</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听证申请人或委托代理人：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jc w:val="center"/>
        <w:rPr>
          <w:rFonts w:hint="eastAsia" w:ascii="宋体" w:hAnsi="宋体" w:eastAsia="方正大标宋简体"/>
          <w:bCs/>
          <w:sz w:val="44"/>
          <w:highlight w:val="none"/>
        </w:rPr>
      </w:pPr>
      <w:r>
        <w:rPr>
          <w:rFonts w:ascii="宋体" w:hAnsi="宋体" w:eastAsia="仿宋_GB2312"/>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行政处罚听证笔录（续页）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b/>
          <w:bCs/>
          <w:sz w:val="28"/>
          <w:highlight w:val="none"/>
          <w:u w:val="thick"/>
        </w:rPr>
        <w:t xml:space="preserve">                                </w:t>
      </w:r>
      <w:r>
        <w:rPr>
          <w:rFonts w:hint="eastAsia" w:ascii="宋体" w:hAnsi="宋体" w:eastAsia="仿宋_GB2312"/>
          <w:b/>
          <w:bCs/>
          <w:sz w:val="28"/>
          <w:highlight w:val="none"/>
          <w:u w:val="thick"/>
          <w:lang w:val="en-US" w:eastAsia="zh-CN"/>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仿宋_GB2312"/>
          <w:sz w:val="24"/>
          <w:szCs w:val="24"/>
          <w:highlight w:val="none"/>
          <w:u w:val="single"/>
          <w:lang w:val="en-US" w:eastAsia="zh-CN"/>
        </w:rPr>
      </w:pPr>
      <w:r>
        <w:rPr>
          <w:rFonts w:hint="eastAsia" w:ascii="宋体" w:hAnsi="宋体" w:eastAsia="仿宋_GB2312" w:cs="宋体"/>
          <w:kern w:val="0"/>
          <w:sz w:val="24"/>
          <w:szCs w:val="24"/>
          <w:highlight w:val="none"/>
          <w:u w:val="words"/>
        </w:rPr>
        <w:t>上述笔录我已看过（或已向我宣读过），情况属实无误</w:t>
      </w:r>
      <w:r>
        <w:rPr>
          <w:rFonts w:hint="eastAsia" w:ascii="宋体" w:hAnsi="宋体" w:eastAsia="仿宋_GB2312" w:cs="宋体"/>
          <w:kern w:val="0"/>
          <w:sz w:val="24"/>
          <w:szCs w:val="24"/>
          <w:highlight w:val="none"/>
          <w:u w:val="single"/>
        </w:rPr>
        <w:t>。</w:t>
      </w:r>
      <w:r>
        <w:rPr>
          <w:rFonts w:hint="eastAsia" w:ascii="宋体" w:hAnsi="宋体" w:eastAsia="仿宋_GB2312" w:cs="宋体"/>
          <w:kern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听证申请人或委托代理人：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none"/>
          <w:lang w:eastAsia="zh-CN"/>
        </w:rPr>
        <w:t>、</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u w:val="none"/>
        </w:rPr>
        <w:t xml:space="preserve">  </w:t>
      </w:r>
      <w:r>
        <w:rPr>
          <w:rFonts w:hint="eastAsia" w:ascii="宋体" w:hAnsi="宋体" w:eastAsia="仿宋_GB2312"/>
          <w:sz w:val="24"/>
          <w:szCs w:val="24"/>
          <w:highlight w:val="none"/>
          <w:u w:val="single"/>
        </w:rPr>
        <w:t>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23、行政处罚听证报告</w:t>
      </w:r>
    </w:p>
    <w:p>
      <w:pPr>
        <w:spacing w:line="500" w:lineRule="exact"/>
        <w:rPr>
          <w:rFonts w:hint="eastAsia" w:ascii="宋体" w:hAnsi="宋体" w:eastAsia="仿宋_GB2312"/>
          <w:b/>
          <w:bCs/>
          <w:sz w:val="28"/>
          <w:highlight w:val="none"/>
          <w:u w:val="thick"/>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案  由:</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主持听证机关：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听证时间：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听证申请人：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lang w:val="en-US" w:eastAsia="zh-CN"/>
        </w:rPr>
      </w:pPr>
      <w:r>
        <w:rPr>
          <w:rFonts w:hint="eastAsia" w:ascii="宋体" w:hAnsi="宋体" w:eastAsia="仿宋_GB2312"/>
          <w:sz w:val="24"/>
          <w:szCs w:val="24"/>
          <w:highlight w:val="none"/>
        </w:rPr>
        <w:t>听证主持人：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none"/>
          <w:lang w:val="en-US" w:eastAsia="zh-CN"/>
        </w:rPr>
        <w:t>听证主持人证号</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仿宋_GB2312"/>
          <w:sz w:val="24"/>
          <w:szCs w:val="24"/>
          <w:highlight w:val="none"/>
          <w:u w:val="single"/>
          <w:lang w:val="en-US" w:eastAsia="zh-CN"/>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none"/>
          <w:lang w:val="en-US" w:eastAsia="zh-CN"/>
        </w:rPr>
        <w:t>：</w:t>
      </w:r>
      <w:r>
        <w:rPr>
          <w:rFonts w:hint="eastAsia" w:ascii="宋体" w:hAnsi="宋体" w:eastAsia="仿宋_GB231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听证会基本情况：</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案件事实：</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处理意见和建议：</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仿宋_GB2312"/>
          <w:spacing w:val="-6"/>
          <w:sz w:val="24"/>
          <w:szCs w:val="24"/>
          <w:highlight w:val="none"/>
          <w:u w:val="single"/>
        </w:rPr>
      </w:pPr>
      <w:r>
        <w:rPr>
          <w:rFonts w:hint="eastAsia" w:ascii="宋体" w:hAnsi="宋体" w:eastAsia="仿宋_GB2312"/>
          <w:spacing w:val="-6"/>
          <w:sz w:val="24"/>
          <w:szCs w:val="24"/>
          <w:highlight w:val="none"/>
        </w:rPr>
        <w:t>听证主持人：</w:t>
      </w:r>
      <w:r>
        <w:rPr>
          <w:rFonts w:hint="eastAsia" w:ascii="宋体" w:hAnsi="宋体" w:eastAsia="仿宋_GB2312"/>
          <w:spacing w:val="-6"/>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方正大标宋简体"/>
          <w:bCs/>
          <w:sz w:val="24"/>
          <w:szCs w:val="24"/>
          <w:highlight w:val="none"/>
        </w:rPr>
      </w:pPr>
      <w:r>
        <w:rPr>
          <w:rFonts w:hint="eastAsia" w:ascii="宋体" w:hAnsi="宋体" w:eastAsia="仿宋_GB2312"/>
          <w:spacing w:val="-6"/>
          <w:sz w:val="24"/>
          <w:szCs w:val="24"/>
          <w:highlight w:val="none"/>
        </w:rPr>
        <w:t xml:space="preserve">                       </w:t>
      </w:r>
      <w:r>
        <w:rPr>
          <w:rFonts w:hint="eastAsia" w:ascii="宋体" w:hAnsi="宋体" w:eastAsia="仿宋_GB2312"/>
          <w:spacing w:val="-6"/>
          <w:sz w:val="24"/>
          <w:szCs w:val="24"/>
          <w:highlight w:val="none"/>
          <w:lang w:val="en-US" w:eastAsia="zh-CN"/>
        </w:rPr>
        <w:t xml:space="preserve">       </w:t>
      </w:r>
      <w:r>
        <w:rPr>
          <w:rFonts w:hint="eastAsia" w:ascii="宋体" w:hAnsi="宋体" w:eastAsia="仿宋_GB2312"/>
          <w:spacing w:val="-6"/>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24、案件调查终结报告</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案    由:</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立案时间：</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当事人：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法定代表人：</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联系电话：</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委托代理人：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工作单位及职务：</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身份证号：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住址或地址：</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简要案情：</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调查经过：</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处理意见和建议</w:t>
      </w:r>
      <w:r>
        <w:rPr>
          <w:rFonts w:hint="eastAsia" w:ascii="宋体" w:hAnsi="宋体" w:eastAsia="仿宋_GB2312"/>
          <w:color w:val="auto"/>
          <w:sz w:val="24"/>
          <w:szCs w:val="24"/>
          <w:highlight w:val="none"/>
          <w:lang w:eastAsia="zh-CN"/>
        </w:rPr>
        <w:t>（</w:t>
      </w:r>
      <w:r>
        <w:rPr>
          <w:rFonts w:hint="eastAsia" w:ascii="宋体" w:hAnsi="宋体" w:eastAsia="仿宋_GB2312"/>
          <w:color w:val="auto"/>
          <w:sz w:val="24"/>
          <w:szCs w:val="24"/>
          <w:highlight w:val="none"/>
          <w:lang w:val="en-US" w:eastAsia="zh-CN"/>
        </w:rPr>
        <w:t>含对裁量基准适用的说明</w:t>
      </w:r>
      <w:r>
        <w:rPr>
          <w:rFonts w:hint="eastAsia" w:ascii="宋体" w:hAnsi="宋体" w:eastAsia="仿宋_GB2312"/>
          <w:color w:val="auto"/>
          <w:sz w:val="24"/>
          <w:szCs w:val="24"/>
          <w:highlight w:val="none"/>
          <w:lang w:eastAsia="zh-CN"/>
        </w:rPr>
        <w:t>）</w:t>
      </w:r>
      <w:r>
        <w:rPr>
          <w:rFonts w:hint="eastAsia" w:ascii="宋体" w:hAnsi="宋体" w:eastAsia="仿宋_GB2312"/>
          <w:sz w:val="24"/>
          <w:szCs w:val="24"/>
          <w:highlight w:val="none"/>
        </w:rPr>
        <w:t>：</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none"/>
        </w:rPr>
        <w:t xml:space="preserve">  </w:t>
      </w:r>
      <w:r>
        <w:rPr>
          <w:rFonts w:hint="eastAsia" w:ascii="宋体" w:hAnsi="宋体" w:eastAsia="仿宋_GB2312"/>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tabs>
          <w:tab w:val="left" w:pos="564"/>
          <w:tab w:val="left" w:pos="847"/>
          <w:tab w:val="left" w:pos="1130"/>
          <w:tab w:val="left" w:pos="1413"/>
          <w:tab w:val="left" w:pos="1695"/>
          <w:tab w:val="left" w:pos="2191"/>
          <w:tab w:val="left" w:pos="2472"/>
          <w:tab w:val="left" w:pos="2753"/>
          <w:tab w:val="left" w:pos="3249"/>
          <w:tab w:val="left" w:pos="3530"/>
          <w:tab w:val="left" w:pos="5150"/>
          <w:tab w:val="left" w:pos="5431"/>
        </w:tabs>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p>
    <w:p>
      <w:pPr>
        <w:keepNext w:val="0"/>
        <w:keepLines w:val="0"/>
        <w:pageBreakBefore w:val="0"/>
        <w:widowControl/>
        <w:tabs>
          <w:tab w:val="left" w:pos="564"/>
          <w:tab w:val="left" w:pos="847"/>
          <w:tab w:val="left" w:pos="1130"/>
          <w:tab w:val="left" w:pos="1413"/>
          <w:tab w:val="left" w:pos="1695"/>
          <w:tab w:val="left" w:pos="2191"/>
          <w:tab w:val="left" w:pos="2472"/>
          <w:tab w:val="left" w:pos="2753"/>
          <w:tab w:val="left" w:pos="3249"/>
          <w:tab w:val="left" w:pos="3530"/>
          <w:tab w:val="left" w:pos="5150"/>
          <w:tab w:val="left" w:pos="5431"/>
        </w:tabs>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　　</w:t>
      </w:r>
    </w:p>
    <w:p>
      <w:pPr>
        <w:keepNext w:val="0"/>
        <w:keepLines w:val="0"/>
        <w:pageBreakBefore w:val="0"/>
        <w:widowControl/>
        <w:tabs>
          <w:tab w:val="left" w:pos="564"/>
          <w:tab w:val="left" w:pos="847"/>
          <w:tab w:val="left" w:pos="1130"/>
          <w:tab w:val="left" w:pos="1413"/>
          <w:tab w:val="left" w:pos="1695"/>
          <w:tab w:val="left" w:pos="2191"/>
          <w:tab w:val="left" w:pos="2472"/>
          <w:tab w:val="left" w:pos="2753"/>
          <w:tab w:val="left" w:pos="3249"/>
          <w:tab w:val="left" w:pos="3530"/>
          <w:tab w:val="left" w:pos="5150"/>
          <w:tab w:val="left" w:pos="5431"/>
        </w:tabs>
        <w:kinsoku/>
        <w:wordWrap/>
        <w:overflowPunct/>
        <w:topLinePunct w:val="0"/>
        <w:autoSpaceDE/>
        <w:autoSpaceDN/>
        <w:bidi w:val="0"/>
        <w:adjustRightInd/>
        <w:snapToGrid/>
        <w:spacing w:line="420" w:lineRule="exact"/>
        <w:ind w:firstLine="480" w:firstLineChars="200"/>
        <w:textAlignment w:val="auto"/>
        <w:rPr>
          <w:rFonts w:hint="eastAsia" w:ascii="宋体" w:hAnsi="宋体" w:eastAsia="仿宋_GB2312" w:cs="宋体"/>
          <w:kern w:val="0"/>
          <w:sz w:val="24"/>
          <w:szCs w:val="24"/>
          <w:highlight w:val="none"/>
        </w:rPr>
      </w:pPr>
      <w:r>
        <w:rPr>
          <w:rFonts w:hint="eastAsia" w:ascii="宋体" w:hAnsi="宋体" w:eastAsia="仿宋_GB2312" w:cs="宋体"/>
          <w:kern w:val="0"/>
          <w:sz w:val="24"/>
          <w:szCs w:val="24"/>
          <w:highlight w:val="none"/>
        </w:rPr>
        <w:t>此案现已调查终结，特此报告。</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z w:val="24"/>
          <w:szCs w:val="24"/>
          <w:highlight w:val="none"/>
          <w:u w:val="single"/>
        </w:rPr>
      </w:pPr>
    </w:p>
    <w:p>
      <w:pPr>
        <w:keepNext w:val="0"/>
        <w:keepLines w:val="0"/>
        <w:pageBreakBefore w:val="0"/>
        <w:kinsoku/>
        <w:wordWrap/>
        <w:overflowPunct/>
        <w:topLinePunct w:val="0"/>
        <w:autoSpaceDE/>
        <w:autoSpaceDN/>
        <w:bidi w:val="0"/>
        <w:adjustRightInd/>
        <w:snapToGrid/>
        <w:spacing w:line="420" w:lineRule="exact"/>
        <w:ind w:firstLine="3192" w:firstLineChars="1400"/>
        <w:textAlignment w:val="auto"/>
        <w:rPr>
          <w:rFonts w:hint="eastAsia" w:ascii="宋体" w:hAnsi="宋体" w:eastAsia="仿宋_GB2312"/>
          <w:spacing w:val="-6"/>
          <w:sz w:val="24"/>
          <w:szCs w:val="24"/>
          <w:highlight w:val="none"/>
          <w:u w:val="single"/>
        </w:rPr>
      </w:pPr>
      <w:r>
        <w:rPr>
          <w:rFonts w:hint="eastAsia" w:ascii="宋体" w:hAnsi="宋体" w:eastAsia="仿宋_GB2312"/>
          <w:spacing w:val="-6"/>
          <w:sz w:val="24"/>
          <w:szCs w:val="24"/>
          <w:highlight w:val="none"/>
        </w:rPr>
        <w:t>承办人：</w:t>
      </w:r>
      <w:r>
        <w:rPr>
          <w:rFonts w:hint="eastAsia" w:ascii="宋体" w:hAnsi="宋体" w:eastAsia="仿宋_GB2312"/>
          <w:spacing w:val="-6"/>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ind w:firstLine="3732" w:firstLineChars="1637"/>
        <w:textAlignment w:val="auto"/>
        <w:rPr>
          <w:rFonts w:hint="eastAsia" w:ascii="宋体" w:hAnsi="宋体" w:eastAsia="仿宋_GB2312"/>
          <w:spacing w:val="-6"/>
          <w:sz w:val="24"/>
          <w:szCs w:val="24"/>
          <w:highlight w:val="none"/>
        </w:rPr>
      </w:pPr>
      <w:r>
        <w:rPr>
          <w:rFonts w:hint="eastAsia" w:ascii="宋体" w:hAnsi="宋体" w:eastAsia="仿宋_GB2312"/>
          <w:spacing w:val="-6"/>
          <w:sz w:val="24"/>
          <w:szCs w:val="24"/>
          <w:highlight w:val="none"/>
          <w:lang w:val="en-US" w:eastAsia="zh-CN"/>
        </w:rPr>
        <w:t xml:space="preserve">   </w:t>
      </w:r>
      <w:r>
        <w:rPr>
          <w:rFonts w:hint="eastAsia" w:ascii="宋体" w:hAnsi="宋体" w:eastAsia="仿宋_GB2312"/>
          <w:spacing w:val="-6"/>
          <w:sz w:val="24"/>
          <w:szCs w:val="24"/>
          <w:highlight w:val="none"/>
        </w:rPr>
        <w:t xml:space="preserve"> </w:t>
      </w:r>
      <w:r>
        <w:rPr>
          <w:rFonts w:hint="eastAsia" w:ascii="宋体" w:hAnsi="宋体" w:eastAsia="仿宋_GB2312"/>
          <w:spacing w:val="-6"/>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仿宋_GB2312"/>
          <w:spacing w:val="-6"/>
          <w:sz w:val="24"/>
          <w:szCs w:val="24"/>
          <w:highlight w:val="none"/>
        </w:rPr>
      </w:pPr>
      <w:r>
        <w:rPr>
          <w:rFonts w:hint="eastAsia" w:ascii="宋体" w:hAnsi="宋体" w:eastAsia="仿宋_GB2312"/>
          <w:spacing w:val="-6"/>
          <w:sz w:val="24"/>
          <w:szCs w:val="24"/>
          <w:highlight w:val="none"/>
        </w:rPr>
        <w:t xml:space="preserve">                           </w:t>
      </w:r>
      <w:r>
        <w:rPr>
          <w:rFonts w:hint="eastAsia" w:ascii="宋体" w:hAnsi="宋体" w:eastAsia="仿宋_GB2312"/>
          <w:spacing w:val="-6"/>
          <w:sz w:val="24"/>
          <w:szCs w:val="24"/>
          <w:highlight w:val="none"/>
          <w:lang w:val="en-US" w:eastAsia="zh-CN"/>
        </w:rPr>
        <w:t xml:space="preserve">        </w:t>
      </w:r>
      <w:r>
        <w:rPr>
          <w:rFonts w:hint="eastAsia" w:ascii="宋体" w:hAnsi="宋体" w:eastAsia="仿宋_GB2312"/>
          <w:spacing w:val="-6"/>
          <w:sz w:val="24"/>
          <w:szCs w:val="24"/>
          <w:highlight w:val="none"/>
        </w:rPr>
        <w:t xml:space="preserve"> 年    月    日</w:t>
      </w:r>
    </w:p>
    <w:p>
      <w:pPr>
        <w:pStyle w:val="2"/>
        <w:bidi w:val="0"/>
        <w:rPr>
          <w:rFonts w:hint="eastAsia" w:ascii="方正小标宋简体" w:hAnsi="方正小标宋简体" w:eastAsia="方正小标宋简体" w:cs="方正小标宋简体"/>
          <w:kern w:val="2"/>
          <w:sz w:val="36"/>
          <w:szCs w:val="36"/>
          <w:highlight w:val="none"/>
          <w:lang w:val="en-US" w:eastAsia="zh-CN" w:bidi="ar-SA"/>
        </w:rPr>
      </w:pPr>
      <w:r>
        <w:rPr>
          <w:rFonts w:ascii="宋体" w:hAnsi="宋体"/>
          <w:b/>
          <w:bCs/>
          <w:highlight w:val="none"/>
        </w:rPr>
        <w:br w:type="page"/>
      </w:r>
      <w:r>
        <w:rPr>
          <w:rFonts w:hint="eastAsia" w:ascii="方正小标宋简体" w:hAnsi="方正小标宋简体" w:eastAsia="方正小标宋简体" w:cs="方正小标宋简体"/>
          <w:kern w:val="2"/>
          <w:sz w:val="36"/>
          <w:szCs w:val="36"/>
          <w:highlight w:val="none"/>
          <w:lang w:val="en-US" w:eastAsia="zh-CN" w:bidi="ar-SA"/>
        </w:rPr>
        <w:t>25、重大行政处罚决定法制审核</w:t>
      </w:r>
    </w:p>
    <w:p>
      <w:pPr>
        <w:pStyle w:val="2"/>
        <w:bidi w:val="0"/>
        <w:rPr>
          <w:rFonts w:hint="eastAsia" w:ascii="方正小标宋简体" w:hAnsi="方正小标宋简体" w:eastAsia="方正小标宋简体" w:cs="方正小标宋简体"/>
          <w:kern w:val="2"/>
          <w:sz w:val="36"/>
          <w:szCs w:val="36"/>
          <w:highlight w:val="none"/>
          <w:lang w:val="en-US" w:eastAsia="zh-CN" w:bidi="ar-SA"/>
        </w:rPr>
      </w:pPr>
      <w:r>
        <w:rPr>
          <w:rFonts w:hint="eastAsia" w:ascii="方正小标宋简体" w:hAnsi="方正小标宋简体" w:eastAsia="方正小标宋简体" w:cs="方正小标宋简体"/>
          <w:kern w:val="2"/>
          <w:sz w:val="36"/>
          <w:szCs w:val="36"/>
          <w:highlight w:val="none"/>
          <w:lang w:val="en-US" w:eastAsia="zh-CN" w:bidi="ar-SA"/>
        </w:rPr>
        <w:t>意见书</w:t>
      </w:r>
    </w:p>
    <w:p>
      <w:pPr>
        <w:jc w:val="center"/>
        <w:rPr>
          <w:rFonts w:hint="eastAsia" w:ascii="宋体" w:hAnsi="宋体" w:eastAsia="仿宋_GB2312"/>
          <w:b/>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文书编号：</w:t>
      </w:r>
    </w:p>
    <w:tbl>
      <w:tblPr>
        <w:tblStyle w:val="7"/>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3318"/>
        <w:gridCol w:w="159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040"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3318"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595" w:type="dxa"/>
            <w:tcBorders>
              <w:top w:val="single" w:color="auto" w:sz="12" w:space="0"/>
            </w:tcBorders>
            <w:noWrap w:val="0"/>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p>
        </w:tc>
        <w:tc>
          <w:tcPr>
            <w:tcW w:w="1302" w:type="dxa"/>
            <w:tcBorders>
              <w:top w:val="single" w:color="auto" w:sz="12" w:space="0"/>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jc w:val="center"/>
        </w:trPr>
        <w:tc>
          <w:tcPr>
            <w:tcW w:w="2040"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呈报单位</w:t>
            </w:r>
          </w:p>
        </w:tc>
        <w:tc>
          <w:tcPr>
            <w:tcW w:w="3318"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595"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r>
              <w:rPr>
                <w:rFonts w:hint="eastAsia" w:ascii="宋体" w:hAnsi="宋体" w:eastAsia="仿宋_GB2312"/>
                <w:sz w:val="24"/>
                <w:szCs w:val="24"/>
                <w:highlight w:val="none"/>
              </w:rPr>
              <w:t>呈报日期</w:t>
            </w:r>
          </w:p>
        </w:tc>
        <w:tc>
          <w:tcPr>
            <w:tcW w:w="1302" w:type="dxa"/>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2040"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处理意见</w:t>
            </w:r>
          </w:p>
        </w:tc>
        <w:tc>
          <w:tcPr>
            <w:tcW w:w="6215" w:type="dxa"/>
            <w:gridSpan w:val="3"/>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2040"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215" w:type="dxa"/>
            <w:gridSpan w:val="3"/>
            <w:tcBorders>
              <w:right w:val="single" w:color="auto" w:sz="12" w:space="0"/>
            </w:tcBorders>
            <w:noWrap w:val="0"/>
            <w:vAlign w:val="bottom"/>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lang w:eastAsia="zh-CN"/>
              </w:rPr>
            </w:pPr>
          </w:p>
          <w:p>
            <w:pPr>
              <w:keepNext w:val="0"/>
              <w:keepLines w:val="0"/>
              <w:suppressLineNumbers w:val="0"/>
              <w:spacing w:before="0" w:beforeAutospacing="0" w:after="0" w:afterAutospacing="0"/>
              <w:ind w:left="0" w:right="0" w:firstLine="480" w:firstLineChars="200"/>
              <w:rPr>
                <w:rFonts w:hint="eastAsia" w:ascii="宋体" w:hAnsi="宋体" w:eastAsia="仿宋_GB2312"/>
                <w:sz w:val="24"/>
                <w:szCs w:val="24"/>
                <w:highlight w:val="none"/>
              </w:rPr>
            </w:pPr>
            <w:r>
              <w:rPr>
                <w:rFonts w:hint="eastAsia" w:ascii="宋体" w:hAnsi="宋体" w:eastAsia="仿宋_GB2312"/>
                <w:sz w:val="24"/>
                <w:szCs w:val="24"/>
                <w:highlight w:val="none"/>
                <w:lang w:eastAsia="zh-CN"/>
              </w:rPr>
              <w:t>经审核</w:t>
            </w:r>
            <w:r>
              <w:rPr>
                <w:rFonts w:hint="eastAsia" w:ascii="宋体" w:hAnsi="宋体" w:eastAsia="仿宋_GB2312"/>
                <w:sz w:val="24"/>
                <w:szCs w:val="24"/>
                <w:highlight w:val="none"/>
              </w:rPr>
              <w:t>：1、本机关是否具有管辖权；2、违法事实是否清楚；3、证据是否确凿、充分，材料是否齐全；4、定性是否准确，适用法律、法规或规章是否正确；5、行政处罚是否适当；6、程序是否合法；7、其他依法应当审核的事项。</w:t>
            </w:r>
          </w:p>
          <w:p>
            <w:pPr>
              <w:keepNext w:val="0"/>
              <w:keepLines w:val="0"/>
              <w:suppressLineNumbers w:val="0"/>
              <w:spacing w:before="0" w:beforeAutospacing="0" w:after="0" w:afterAutospacing="0"/>
              <w:ind w:left="0" w:right="0" w:firstLine="480" w:firstLineChars="200"/>
              <w:rPr>
                <w:rFonts w:hint="eastAsia" w:ascii="宋体" w:hAnsi="宋体" w:eastAsia="仿宋_GB2312"/>
                <w:sz w:val="24"/>
                <w:szCs w:val="24"/>
                <w:highlight w:val="none"/>
              </w:rPr>
            </w:pPr>
            <w:r>
              <w:rPr>
                <w:rFonts w:hint="eastAsia" w:ascii="宋体" w:hAnsi="宋体" w:eastAsia="仿宋_GB2312"/>
                <w:b w:val="0"/>
                <w:bCs w:val="0"/>
                <w:sz w:val="24"/>
                <w:szCs w:val="24"/>
                <w:highlight w:val="none"/>
                <w:lang w:val="en-US" w:eastAsia="zh-CN"/>
              </w:rPr>
              <w:t>（写明是否同意</w:t>
            </w:r>
            <w:r>
              <w:rPr>
                <w:rFonts w:hint="eastAsia" w:ascii="宋体" w:hAnsi="宋体" w:eastAsia="仿宋_GB2312"/>
                <w:sz w:val="24"/>
                <w:szCs w:val="24"/>
                <w:highlight w:val="none"/>
                <w:lang w:val="en-US" w:eastAsia="zh-CN"/>
              </w:rPr>
              <w:t>承办机构处理意见。）</w:t>
            </w:r>
          </w:p>
          <w:p>
            <w:pPr>
              <w:keepNext w:val="0"/>
              <w:keepLines w:val="0"/>
              <w:suppressLineNumbers w:val="0"/>
              <w:spacing w:before="0" w:beforeAutospacing="0" w:after="0" w:afterAutospacing="0"/>
              <w:ind w:left="0" w:right="0"/>
              <w:rPr>
                <w:rFonts w:hint="eastAsia" w:ascii="宋体" w:hAnsi="宋体" w:eastAsia="仿宋_GB2312"/>
                <w:sz w:val="24"/>
                <w:szCs w:val="24"/>
                <w:highlight w:val="none"/>
                <w:lang w:eastAsia="zh-CN"/>
              </w:rPr>
            </w:pPr>
          </w:p>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r>
              <w:rPr>
                <w:rFonts w:hint="eastAsia" w:ascii="宋体" w:hAnsi="宋体" w:eastAsia="仿宋_GB2312"/>
                <w:sz w:val="24"/>
                <w:szCs w:val="24"/>
                <w:highlight w:val="none"/>
                <w:lang w:eastAsia="zh-CN"/>
              </w:rPr>
              <w:t>法制审核人员签名：</w:t>
            </w: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2040"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负责人</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215" w:type="dxa"/>
            <w:gridSpan w:val="3"/>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jc w:val="center"/>
        </w:trPr>
        <w:tc>
          <w:tcPr>
            <w:tcW w:w="2040"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215" w:type="dxa"/>
            <w:gridSpan w:val="3"/>
            <w:tcBorders>
              <w:bottom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bl>
    <w:p>
      <w:pPr>
        <w:jc w:val="center"/>
        <w:rPr>
          <w:rFonts w:hint="eastAsia" w:ascii="宋体" w:hAnsi="宋体" w:eastAsia="方正大标宋简体"/>
          <w:bCs/>
          <w:sz w:val="44"/>
          <w:highlight w:val="none"/>
        </w:rPr>
      </w:pPr>
      <w:r>
        <w:rPr>
          <w:rFonts w:ascii="宋体" w:hAnsi="宋体" w:eastAsia="仿宋_GB2312"/>
          <w:sz w:val="24"/>
          <w:szCs w:val="24"/>
          <w:highlight w:val="none"/>
        </w:rPr>
        <w:br w:type="page"/>
      </w:r>
      <w:r>
        <w:rPr>
          <w:rFonts w:hint="eastAsia" w:ascii="方正小标宋简体" w:hAnsi="方正小标宋简体" w:eastAsia="方正小标宋简体" w:cs="方正小标宋简体"/>
          <w:sz w:val="36"/>
          <w:szCs w:val="36"/>
          <w:highlight w:val="none"/>
          <w:lang w:val="en-US" w:eastAsia="zh-CN"/>
        </w:rPr>
        <w:t>26、案件集体讨论记录</w:t>
      </w:r>
    </w:p>
    <w:p>
      <w:pPr>
        <w:spacing w:line="500" w:lineRule="exact"/>
        <w:rPr>
          <w:rFonts w:hint="eastAsia" w:ascii="宋体" w:hAnsi="宋体"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b/>
          <w:bCs/>
          <w:sz w:val="28"/>
          <w:highlight w:val="none"/>
          <w:u w:val="thick"/>
        </w:rPr>
        <w:t xml:space="preserve">                                   </w:t>
      </w:r>
      <w:r>
        <w:rPr>
          <w:rFonts w:hint="eastAsia" w:ascii="宋体" w:hAnsi="宋体" w:eastAsia="仿宋_GB2312"/>
          <w:b/>
          <w:bCs/>
          <w:sz w:val="24"/>
          <w:szCs w:val="24"/>
          <w:highlight w:val="none"/>
          <w:u w:val="thick"/>
        </w:rPr>
        <w:t xml:space="preserve">  第   页，共   页</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案件名称：</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（文书编号：</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时间: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时</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地点: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主持人：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工作单位及职务：</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参加人：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集体讨论原因：</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汇报案件情况：</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汇报听证情况：</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法制机构审核意见：</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参加讨论人员意见及理由：</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结论性意见: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主持人：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记录人：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参加人：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方正大标宋简体"/>
          <w:bCs/>
          <w:sz w:val="44"/>
          <w:highlight w:val="none"/>
        </w:rPr>
      </w:pPr>
      <w:r>
        <w:rPr>
          <w:rFonts w:ascii="宋体" w:hAnsi="宋体"/>
          <w:sz w:val="24"/>
          <w:szCs w:val="24"/>
          <w:highlight w:val="none"/>
        </w:rPr>
        <w:br w:type="page"/>
      </w:r>
      <w:r>
        <w:rPr>
          <w:rFonts w:hint="eastAsia" w:ascii="方正小标宋简体" w:hAnsi="方正小标宋简体" w:eastAsia="方正小标宋简体" w:cs="方正小标宋简体"/>
          <w:sz w:val="36"/>
          <w:szCs w:val="36"/>
          <w:highlight w:val="none"/>
          <w:lang w:val="en-US" w:eastAsia="zh-CN"/>
        </w:rPr>
        <w:t>27、行政处罚决定审批表</w:t>
      </w:r>
    </w:p>
    <w:p>
      <w:pPr>
        <w:jc w:val="right"/>
        <w:rPr>
          <w:rFonts w:hint="eastAsia" w:ascii="宋体" w:hAnsi="宋体" w:eastAsia="仿宋_GB2312"/>
          <w:sz w:val="10"/>
          <w:szCs w:val="10"/>
          <w:highlight w:val="none"/>
        </w:rPr>
      </w:pPr>
    </w:p>
    <w:p>
      <w:pPr>
        <w:ind w:right="1280" w:firstLine="3360" w:firstLineChars="1400"/>
        <w:jc w:val="right"/>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tbl>
      <w:tblPr>
        <w:tblStyle w:val="7"/>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1185"/>
        <w:gridCol w:w="1905"/>
        <w:gridCol w:w="1415"/>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041"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3090" w:type="dxa"/>
            <w:gridSpan w:val="2"/>
            <w:tcBorders>
              <w:top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415" w:type="dxa"/>
            <w:tcBorders>
              <w:top w:val="single" w:color="auto" w:sz="12" w:space="0"/>
            </w:tcBorders>
            <w:noWrap w:val="0"/>
            <w:vAlign w:val="center"/>
          </w:tcPr>
          <w:p>
            <w:pPr>
              <w:keepNext w:val="0"/>
              <w:keepLines w:val="0"/>
              <w:suppressLineNumbers w:val="0"/>
              <w:spacing w:before="0" w:beforeAutospacing="0" w:after="0" w:afterAutospacing="0"/>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p>
        </w:tc>
        <w:tc>
          <w:tcPr>
            <w:tcW w:w="1796"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3" w:hRule="atLeast"/>
          <w:jc w:val="center"/>
        </w:trPr>
        <w:tc>
          <w:tcPr>
            <w:tcW w:w="2041" w:type="dxa"/>
            <w:vMerge w:val="restart"/>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1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905" w:type="dxa"/>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41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796"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jc w:val="center"/>
        </w:trPr>
        <w:tc>
          <w:tcPr>
            <w:tcW w:w="2041" w:type="dxa"/>
            <w:vMerge w:val="continue"/>
            <w:tcBorders>
              <w:lef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18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90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c>
          <w:tcPr>
            <w:tcW w:w="141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796"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违法事实及处罚依据</w:t>
            </w:r>
          </w:p>
        </w:tc>
        <w:tc>
          <w:tcPr>
            <w:tcW w:w="6301"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301"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01"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301"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6"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负责人</w:t>
            </w:r>
          </w:p>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301"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2041"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301" w:type="dxa"/>
            <w:gridSpan w:val="4"/>
            <w:tcBorders>
              <w:bottom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bl>
    <w:p>
      <w:pPr>
        <w:jc w:val="center"/>
        <w:rPr>
          <w:rFonts w:hint="eastAsia" w:ascii="宋体" w:hAnsi="宋体" w:eastAsia="方正大标宋简体"/>
          <w:bCs/>
          <w:sz w:val="44"/>
          <w:highlight w:val="none"/>
        </w:rPr>
      </w:pPr>
      <w:r>
        <w:rPr>
          <w:rFonts w:ascii="宋体" w:hAnsi="宋体" w:eastAsia="仿宋_GB2312"/>
          <w:b/>
          <w:sz w:val="32"/>
          <w:szCs w:val="32"/>
          <w:highlight w:val="none"/>
        </w:rPr>
        <w:br w:type="page"/>
      </w:r>
      <w:r>
        <w:rPr>
          <w:rFonts w:hint="eastAsia" w:ascii="方正小标宋简体" w:hAnsi="方正小标宋简体" w:eastAsia="方正小标宋简体" w:cs="方正小标宋简体"/>
          <w:sz w:val="36"/>
          <w:szCs w:val="36"/>
          <w:highlight w:val="none"/>
          <w:lang w:val="en-US" w:eastAsia="zh-CN"/>
        </w:rPr>
        <w:t>28、行政处罚决定书</w:t>
      </w:r>
    </w:p>
    <w:p>
      <w:pPr>
        <w:spacing w:line="460" w:lineRule="exact"/>
        <w:ind w:right="640"/>
        <w:rPr>
          <w:rFonts w:hint="eastAsia" w:ascii="宋体" w:hAnsi="宋体" w:eastAsia="仿宋_GB2312"/>
          <w:sz w:val="32"/>
          <w:highlight w:val="none"/>
        </w:rPr>
      </w:pPr>
    </w:p>
    <w:p>
      <w:pPr>
        <w:spacing w:line="480" w:lineRule="exact"/>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eastAsia="zh-CN"/>
        </w:rPr>
        <w:t>：</w:t>
      </w:r>
      <w:r>
        <w:rPr>
          <w:rFonts w:hint="eastAsia" w:ascii="宋体" w:hAnsi="宋体" w:eastAsia="仿宋_GB2312"/>
          <w:sz w:val="24"/>
          <w:szCs w:val="24"/>
          <w:highlight w:val="none"/>
          <w:lang w:eastAsia="zh-CN"/>
        </w:rPr>
        <w:t>（</w:t>
      </w:r>
      <w:r>
        <w:rPr>
          <w:rFonts w:hint="eastAsia" w:ascii="宋体" w:hAnsi="宋体" w:eastAsia="仿宋_GB2312"/>
          <w:sz w:val="24"/>
          <w:szCs w:val="24"/>
          <w:highlight w:val="none"/>
        </w:rPr>
        <w:t>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564" w:firstLineChars="235"/>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（详细的违法事实，写明时间、地点、</w:t>
      </w:r>
      <w:r>
        <w:rPr>
          <w:rFonts w:hint="eastAsia" w:ascii="宋体" w:hAnsi="宋体" w:eastAsia="仿宋_GB2312"/>
          <w:sz w:val="24"/>
          <w:szCs w:val="24"/>
          <w:highlight w:val="none"/>
          <w:u w:val="single"/>
          <w:lang w:eastAsia="zh-CN"/>
        </w:rPr>
        <w:t>情</w:t>
      </w:r>
      <w:r>
        <w:rPr>
          <w:rFonts w:hint="eastAsia" w:ascii="宋体" w:hAnsi="宋体" w:eastAsia="仿宋_GB2312"/>
          <w:sz w:val="24"/>
          <w:szCs w:val="24"/>
          <w:highlight w:val="none"/>
          <w:u w:val="single"/>
        </w:rPr>
        <w:t xml:space="preserve">节、危害后果等内容）                         </w:t>
      </w:r>
      <w:r>
        <w:rPr>
          <w:rFonts w:hint="eastAsia" w:ascii="宋体" w:hAnsi="宋体" w:eastAsia="仿宋_GB2312"/>
          <w:sz w:val="24"/>
          <w:szCs w:val="24"/>
          <w:highlight w:val="none"/>
        </w:rPr>
        <w:t>，并且有</w:t>
      </w:r>
      <w:r>
        <w:rPr>
          <w:rFonts w:hint="eastAsia" w:ascii="宋体" w:hAnsi="宋体" w:eastAsia="仿宋_GB2312"/>
          <w:sz w:val="24"/>
          <w:szCs w:val="24"/>
          <w:highlight w:val="none"/>
          <w:u w:val="single"/>
        </w:rPr>
        <w:t xml:space="preserve"> 《现场检查（勘验）笔录》、《调查（询问）笔录》……                                         </w:t>
      </w:r>
      <w:r>
        <w:rPr>
          <w:rFonts w:hint="eastAsia" w:ascii="宋体" w:hAnsi="宋体" w:eastAsia="仿宋_GB2312"/>
          <w:sz w:val="24"/>
          <w:szCs w:val="24"/>
          <w:highlight w:val="none"/>
        </w:rPr>
        <w:t>等证据佐证。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仿宋_GB2312"/>
          <w:sz w:val="24"/>
          <w:szCs w:val="24"/>
          <w:highlight w:val="none"/>
          <w:lang w:eastAsia="zh-CN"/>
        </w:rPr>
      </w:pPr>
      <w:r>
        <w:rPr>
          <w:rFonts w:hint="eastAsia" w:ascii="宋体" w:hAnsi="宋体" w:eastAsia="仿宋_GB2312"/>
          <w:sz w:val="24"/>
          <w:szCs w:val="24"/>
          <w:highlight w:val="none"/>
        </w:rPr>
        <w:t>本机关认为，你（单位）违反了</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w:t>
      </w:r>
      <w:r>
        <w:rPr>
          <w:rFonts w:hint="eastAsia" w:ascii="宋体" w:hAnsi="宋体" w:eastAsia="仿宋_GB2312"/>
          <w:sz w:val="24"/>
          <w:szCs w:val="24"/>
          <w:highlight w:val="none"/>
          <w:u w:val="single"/>
        </w:rPr>
        <w:t xml:space="preserve">   （阐述责令改正情况；事先告知情况；</w:t>
      </w:r>
      <w:r>
        <w:rPr>
          <w:rFonts w:hint="eastAsia" w:ascii="宋体" w:hAnsi="宋体" w:eastAsia="仿宋_GB2312" w:cs="宋体-18030"/>
          <w:sz w:val="24"/>
          <w:szCs w:val="24"/>
          <w:highlight w:val="none"/>
          <w:u w:val="single"/>
        </w:rPr>
        <w:t>当事人陈述申辩或听证情况；自由裁量说明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，现依据</w:t>
      </w:r>
      <w:r>
        <w:rPr>
          <w:rFonts w:hint="eastAsia" w:ascii="宋体" w:hAnsi="宋体" w:eastAsia="仿宋_GB2312"/>
          <w:sz w:val="24"/>
          <w:szCs w:val="24"/>
          <w:highlight w:val="none"/>
          <w:u w:val="single"/>
        </w:rPr>
        <w:t xml:space="preserve">  《××法》第×条第×款第×项       </w:t>
      </w:r>
      <w:r>
        <w:rPr>
          <w:rFonts w:hint="eastAsia" w:ascii="宋体" w:hAnsi="宋体" w:eastAsia="仿宋_GB2312"/>
          <w:sz w:val="24"/>
          <w:szCs w:val="24"/>
          <w:highlight w:val="none"/>
        </w:rPr>
        <w:t>的规定，决定对你（单位）作出以下行政处罚：</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none"/>
        </w:rPr>
        <w:t xml:space="preserve"> </w:t>
      </w:r>
      <w:r>
        <w:rPr>
          <w:rFonts w:hint="eastAsia" w:ascii="宋体" w:hAnsi="宋体" w:eastAsia="仿宋_GB2312"/>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仿宋_GB2312"/>
          <w:color w:val="FF0000"/>
          <w:sz w:val="24"/>
          <w:szCs w:val="24"/>
          <w:highlight w:val="none"/>
          <w:lang w:eastAsia="zh-CN"/>
        </w:rPr>
      </w:pPr>
      <w:r>
        <w:rPr>
          <w:rFonts w:hint="eastAsia" w:ascii="宋体" w:hAnsi="宋体" w:eastAsia="仿宋_GB2312"/>
          <w:sz w:val="24"/>
          <w:szCs w:val="24"/>
          <w:highlight w:val="none"/>
        </w:rPr>
        <w:t>履行方式和期限：</w:t>
      </w:r>
      <w:r>
        <w:rPr>
          <w:rFonts w:hint="eastAsia" w:ascii="宋体" w:hAnsi="宋体" w:eastAsia="仿宋_GB2312"/>
          <w:color w:val="000000" w:themeColor="text1"/>
          <w:sz w:val="24"/>
          <w:szCs w:val="24"/>
          <w:highlight w:val="none"/>
          <w:lang w:eastAsia="zh-CN"/>
          <w14:textFill>
            <w14:solidFill>
              <w14:schemeClr w14:val="tx1"/>
            </w14:solidFill>
          </w14:textFill>
        </w:rPr>
        <w:t>（罚款类：根据《行政处罚法》第六十七条规定，当事人应当自收到本行政处罚决定书之日起十五日内，到财政非税收入收缴代理银行任一网点或者网上银行缴纳罚款。）</w:t>
      </w:r>
    </w:p>
    <w:p>
      <w:pPr>
        <w:keepNext w:val="0"/>
        <w:keepLines w:val="0"/>
        <w:pageBreakBefore w:val="0"/>
        <w:widowControl w:val="0"/>
        <w:kinsoku/>
        <w:wordWrap/>
        <w:overflowPunct/>
        <w:topLinePunct w:val="0"/>
        <w:autoSpaceDE/>
        <w:autoSpaceDN/>
        <w:bidi w:val="0"/>
        <w:adjustRightInd/>
        <w:snapToGrid/>
        <w:spacing w:line="400" w:lineRule="exact"/>
        <w:ind w:left="319" w:leftChars="152" w:firstLine="496" w:firstLineChars="207"/>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提起行政诉讼。逾期不申请复议，也不向人民法院起诉，又不履行本处罚决定，本机关将依法强制执行或申请人民法院强制执行。</w:t>
      </w:r>
    </w:p>
    <w:p>
      <w:pPr>
        <w:keepNext w:val="0"/>
        <w:keepLines w:val="0"/>
        <w:pageBreakBefore w:val="0"/>
        <w:widowControl w:val="0"/>
        <w:kinsoku/>
        <w:wordWrap/>
        <w:overflowPunct/>
        <w:topLinePunct w:val="0"/>
        <w:autoSpaceDE/>
        <w:autoSpaceDN/>
        <w:bidi w:val="0"/>
        <w:adjustRightInd/>
        <w:snapToGrid/>
        <w:spacing w:line="400" w:lineRule="exact"/>
        <w:ind w:firstLine="2640" w:firstLineChars="1100"/>
        <w:jc w:val="both"/>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2640" w:firstLineChars="1100"/>
        <w:jc w:val="both"/>
        <w:textAlignment w:val="auto"/>
        <w:rPr>
          <w:rFonts w:hint="eastAsia" w:ascii="宋体" w:hAnsi="宋体" w:eastAsia="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2640" w:firstLineChars="1100"/>
        <w:jc w:val="both"/>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行政执法机关名称（印章）</w:t>
      </w:r>
    </w:p>
    <w:p>
      <w:pPr>
        <w:keepNext w:val="0"/>
        <w:keepLines w:val="0"/>
        <w:pageBreakBefore w:val="0"/>
        <w:widowControl w:val="0"/>
        <w:kinsoku/>
        <w:wordWrap/>
        <w:overflowPunct/>
        <w:topLinePunct w:val="0"/>
        <w:autoSpaceDE/>
        <w:autoSpaceDN/>
        <w:bidi w:val="0"/>
        <w:adjustRightInd/>
        <w:snapToGrid/>
        <w:spacing w:line="400" w:lineRule="exact"/>
        <w:ind w:firstLine="1680" w:firstLineChars="700"/>
        <w:jc w:val="center"/>
        <w:textAlignment w:val="auto"/>
        <w:rPr>
          <w:rFonts w:hint="eastAsia" w:ascii="宋体" w:hAnsi="宋体" w:eastAsia="仿宋_GB2312"/>
          <w:sz w:val="32"/>
          <w:highlight w:val="none"/>
        </w:rPr>
      </w:pP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29、当场行政处罚决定书</w:t>
      </w:r>
    </w:p>
    <w:p>
      <w:pPr>
        <w:spacing w:line="440" w:lineRule="exact"/>
        <w:rPr>
          <w:rFonts w:hint="eastAsia" w:ascii="宋体" w:hAnsi="宋体" w:eastAsia="仿宋_GB2312"/>
          <w:sz w:val="32"/>
          <w:highlight w:val="none"/>
        </w:rPr>
      </w:pPr>
      <w:r>
        <w:rPr>
          <w:rFonts w:hint="eastAsia" w:ascii="宋体" w:hAnsi="宋体" w:eastAsia="仿宋_GB2312"/>
          <w:sz w:val="32"/>
          <w:highlight w:val="none"/>
        </w:rPr>
        <w:t xml:space="preserve">                                      </w:t>
      </w:r>
    </w:p>
    <w:p>
      <w:pPr>
        <w:spacing w:line="440" w:lineRule="exact"/>
        <w:ind w:firstLine="4080" w:firstLineChars="1700"/>
        <w:rPr>
          <w:rFonts w:hint="eastAsia" w:ascii="宋体" w:hAnsi="宋体" w:eastAsia="仿宋_GB2312"/>
          <w:sz w:val="24"/>
          <w:szCs w:val="24"/>
          <w:highlight w:val="none"/>
        </w:rPr>
      </w:pPr>
      <w:r>
        <w:rPr>
          <w:rFonts w:hint="eastAsia" w:ascii="宋体" w:hAnsi="宋体" w:eastAsia="仿宋_GB2312"/>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eastAsia="zh-CN"/>
        </w:rPr>
        <w:t>：</w:t>
      </w:r>
      <w:r>
        <w:rPr>
          <w:rFonts w:hint="eastAsia" w:ascii="宋体" w:hAnsi="宋体" w:eastAsia="仿宋_GB2312"/>
          <w:sz w:val="24"/>
          <w:szCs w:val="24"/>
          <w:highlight w:val="none"/>
        </w:rPr>
        <w:t>（地址：</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564" w:firstLineChars="235"/>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经查，你（单位）</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的行为，违反了</w:t>
      </w:r>
      <w:r>
        <w:rPr>
          <w:rFonts w:hint="eastAsia" w:ascii="宋体" w:hAnsi="宋体" w:eastAsia="仿宋_GB2312"/>
          <w:sz w:val="24"/>
          <w:szCs w:val="24"/>
          <w:highlight w:val="none"/>
          <w:u w:val="single"/>
        </w:rPr>
        <w:t xml:space="preserve">   《××法》第×条第×款第×项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的规定，依据</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《××法》第×条第×款第×项           </w:t>
      </w:r>
      <w:r>
        <w:rPr>
          <w:rFonts w:hint="eastAsia" w:ascii="宋体" w:hAnsi="宋体" w:eastAsia="仿宋_GB2312"/>
          <w:sz w:val="24"/>
          <w:szCs w:val="24"/>
          <w:highlight w:val="none"/>
        </w:rPr>
        <w:t>的规定，本机关决定对你（单位）作出如下行政处罚:</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警告</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罚款</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ascii="宋体" w:hAnsi="宋体" w:eastAsia="仿宋_GB2312"/>
          <w:sz w:val="24"/>
          <w:szCs w:val="24"/>
          <w:highlight w:val="none"/>
          <w:lang w:eastAsia="zh-CN"/>
        </w:rPr>
      </w:pPr>
      <w:r>
        <w:rPr>
          <w:rFonts w:hint="eastAsia" w:ascii="宋体" w:hAnsi="宋体" w:eastAsia="仿宋_GB2312"/>
          <w:sz w:val="24"/>
          <w:szCs w:val="24"/>
          <w:highlight w:val="none"/>
        </w:rPr>
        <w:t>缴费方式：□ 当场</w:t>
      </w:r>
      <w:r>
        <w:rPr>
          <w:rFonts w:hint="eastAsia" w:ascii="宋体" w:hAnsi="宋体" w:eastAsia="仿宋_GB2312"/>
          <w:sz w:val="24"/>
          <w:szCs w:val="24"/>
          <w:highlight w:val="none"/>
          <w:lang w:eastAsia="zh-CN"/>
        </w:rPr>
        <w:t>缴纳</w:t>
      </w:r>
    </w:p>
    <w:p>
      <w:pPr>
        <w:keepNext w:val="0"/>
        <w:keepLines w:val="0"/>
        <w:pageBreakBefore w:val="0"/>
        <w:widowControl w:val="0"/>
        <w:kinsoku/>
        <w:wordWrap/>
        <w:overflowPunct/>
        <w:topLinePunct w:val="0"/>
        <w:autoSpaceDE/>
        <w:autoSpaceDN/>
        <w:bidi w:val="0"/>
        <w:adjustRightInd/>
        <w:snapToGrid/>
        <w:spacing w:line="400" w:lineRule="exact"/>
        <w:ind w:left="2198" w:leftChars="304" w:hanging="1560" w:hangingChars="650"/>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 请于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日前</w:t>
      </w:r>
      <w:r>
        <w:rPr>
          <w:rFonts w:hint="eastAsia" w:ascii="宋体" w:hAnsi="宋体" w:eastAsia="仿宋_GB2312"/>
          <w:sz w:val="24"/>
          <w:szCs w:val="24"/>
          <w:highlight w:val="none"/>
          <w:lang w:eastAsia="zh-CN"/>
        </w:rPr>
        <w:t>到</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none"/>
          <w:lang w:val="en-US" w:eastAsia="zh-CN"/>
        </w:rPr>
        <w:t>（</w:t>
      </w:r>
      <w:r>
        <w:rPr>
          <w:rFonts w:hint="eastAsia" w:ascii="宋体" w:hAnsi="宋体" w:eastAsia="仿宋_GB2312"/>
          <w:sz w:val="24"/>
          <w:szCs w:val="24"/>
          <w:highlight w:val="none"/>
          <w:lang w:eastAsia="zh-CN"/>
        </w:rPr>
        <w:t>财政非税收入收缴代理银行任一网点</w:t>
      </w:r>
      <w:r>
        <w:rPr>
          <w:rFonts w:hint="eastAsia" w:ascii="宋体" w:hAnsi="宋体" w:eastAsia="仿宋_GB2312"/>
          <w:sz w:val="24"/>
          <w:szCs w:val="24"/>
          <w:highlight w:val="none"/>
          <w:u w:val="none"/>
          <w:lang w:val="en-US" w:eastAsia="zh-CN"/>
        </w:rPr>
        <w:t>）</w:t>
      </w:r>
      <w:r>
        <w:rPr>
          <w:rFonts w:hint="eastAsia" w:ascii="宋体" w:hAnsi="宋体" w:eastAsia="仿宋_GB2312"/>
          <w:sz w:val="24"/>
          <w:szCs w:val="24"/>
          <w:highlight w:val="none"/>
        </w:rPr>
        <w:t>缴纳</w:t>
      </w:r>
    </w:p>
    <w:p>
      <w:pPr>
        <w:keepNext w:val="0"/>
        <w:keepLines w:val="0"/>
        <w:pageBreakBefore w:val="0"/>
        <w:widowControl w:val="0"/>
        <w:kinsoku/>
        <w:wordWrap/>
        <w:overflowPunct/>
        <w:topLinePunct w:val="0"/>
        <w:autoSpaceDE/>
        <w:autoSpaceDN/>
        <w:bidi w:val="0"/>
        <w:adjustRightInd/>
        <w:snapToGrid/>
        <w:spacing w:line="400" w:lineRule="exact"/>
        <w:ind w:left="42" w:leftChars="20" w:firstLine="0" w:firstLineChars="0"/>
        <w:textAlignment w:val="auto"/>
        <w:rPr>
          <w:rFonts w:hint="eastAsia" w:ascii="宋体" w:hAnsi="宋体" w:eastAsia="仿宋_GB2312"/>
          <w:color w:val="000000" w:themeColor="text1"/>
          <w:sz w:val="24"/>
          <w:szCs w:val="24"/>
          <w:highlight w:val="none"/>
          <w:lang w:val="en-US" w:eastAsia="zh-CN"/>
          <w14:textFill>
            <w14:solidFill>
              <w14:schemeClr w14:val="tx1"/>
            </w14:solidFill>
          </w14:textFill>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color w:val="000000" w:themeColor="text1"/>
          <w:sz w:val="24"/>
          <w:szCs w:val="24"/>
          <w:highlight w:val="none"/>
          <w14:textFill>
            <w14:solidFill>
              <w14:schemeClr w14:val="tx1"/>
            </w14:solidFill>
          </w14:textFill>
        </w:rPr>
        <w:t>□</w:t>
      </w:r>
      <w:r>
        <w:rPr>
          <w:rFonts w:hint="eastAsia" w:ascii="宋体" w:hAnsi="宋体" w:eastAsia="仿宋_GB2312"/>
          <w:sz w:val="24"/>
          <w:szCs w:val="24"/>
          <w:highlight w:val="none"/>
        </w:rPr>
        <w:t xml:space="preserve"> </w:t>
      </w:r>
      <w:r>
        <w:rPr>
          <w:rFonts w:hint="eastAsia" w:ascii="宋体" w:hAnsi="宋体" w:eastAsia="仿宋_GB2312"/>
          <w:color w:val="000000" w:themeColor="text1"/>
          <w:sz w:val="24"/>
          <w:szCs w:val="24"/>
          <w:highlight w:val="none"/>
          <w:lang w:eastAsia="zh-CN"/>
          <w14:textFill>
            <w14:solidFill>
              <w14:schemeClr w14:val="tx1"/>
            </w14:solidFill>
          </w14:textFill>
        </w:rPr>
        <w:t>电子支付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如对本通知不服，可自收到本通知书之日起六十日内，依法向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申请行政复议或自收到本通知书之日起六个月内直接向</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法院</w:t>
      </w:r>
      <w:r>
        <w:rPr>
          <w:rFonts w:hint="eastAsia" w:ascii="宋体" w:hAnsi="宋体" w:eastAsia="仿宋_GB2312"/>
          <w:sz w:val="24"/>
          <w:szCs w:val="24"/>
          <w:highlight w:val="none"/>
          <w:lang w:eastAsia="zh-CN"/>
        </w:rPr>
        <w:t>之一</w:t>
      </w:r>
      <w:r>
        <w:rPr>
          <w:rFonts w:hint="eastAsia" w:ascii="宋体" w:hAnsi="宋体" w:eastAsia="仿宋_GB2312"/>
          <w:sz w:val="24"/>
          <w:szCs w:val="24"/>
          <w:highlight w:val="none"/>
        </w:rPr>
        <w:t>提起行政诉讼。逾期不申请复议，也不向人民法院起诉，又不履行本处罚决定，本机关将依法强制执行或申请人民法院强制执行。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1200" w:firstLineChars="500"/>
        <w:textAlignment w:val="auto"/>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1680" w:firstLineChars="700"/>
        <w:jc w:val="center"/>
        <w:textAlignment w:val="auto"/>
        <w:rPr>
          <w:rFonts w:hint="eastAsia" w:ascii="宋体" w:hAnsi="宋体" w:eastAsia="仿宋_GB2312"/>
          <w:sz w:val="24"/>
          <w:szCs w:val="24"/>
          <w:highlight w:val="none"/>
          <w:lang w:val="en-US" w:eastAsia="zh-CN"/>
        </w:rPr>
      </w:pPr>
      <w:r>
        <w:rPr>
          <w:rFonts w:hint="eastAsia" w:ascii="宋体" w:hAnsi="宋体" w:eastAsia="仿宋_GB2312"/>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1680" w:firstLineChars="700"/>
        <w:jc w:val="center"/>
        <w:textAlignment w:val="auto"/>
        <w:rPr>
          <w:rFonts w:hint="eastAsia" w:ascii="宋体" w:hAnsi="宋体" w:eastAsia="仿宋_GB231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行政执法机关名称（印章）</w:t>
      </w:r>
    </w:p>
    <w:p>
      <w:pPr>
        <w:keepNext w:val="0"/>
        <w:keepLines w:val="0"/>
        <w:pageBreakBefore w:val="0"/>
        <w:widowControl w:val="0"/>
        <w:kinsoku/>
        <w:wordWrap/>
        <w:overflowPunct/>
        <w:topLinePunct w:val="0"/>
        <w:autoSpaceDE/>
        <w:autoSpaceDN/>
        <w:bidi w:val="0"/>
        <w:adjustRightInd/>
        <w:snapToGrid/>
        <w:spacing w:line="400" w:lineRule="exact"/>
        <w:ind w:firstLine="1680" w:firstLineChars="700"/>
        <w:jc w:val="center"/>
        <w:textAlignment w:val="auto"/>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lang w:val="en-US" w:eastAsia="zh-CN"/>
        </w:rPr>
        <w:t xml:space="preserve">           </w:t>
      </w:r>
      <w:r>
        <w:rPr>
          <w:rFonts w:hint="eastAsia" w:ascii="宋体" w:hAnsi="宋体" w:eastAsia="仿宋_GB2312"/>
          <w:sz w:val="24"/>
          <w:szCs w:val="24"/>
          <w:highlight w:val="none"/>
        </w:rPr>
        <w:t>年   月   日</w:t>
      </w:r>
    </w:p>
    <w:p>
      <w:pPr>
        <w:jc w:val="center"/>
        <w:rPr>
          <w:rFonts w:hint="eastAsia" w:ascii="宋体" w:hAnsi="宋体" w:eastAsia="方正大标宋简体"/>
          <w:bCs/>
          <w:sz w:val="44"/>
          <w:highlight w:val="none"/>
        </w:rPr>
      </w:pPr>
      <w:r>
        <w:rPr>
          <w:rFonts w:hint="eastAsia" w:ascii="宋体" w:hAnsi="宋体" w:eastAsia="仿宋_GB2312"/>
          <w:sz w:val="32"/>
          <w:highlight w:val="none"/>
        </w:rPr>
        <w:br w:type="page"/>
      </w:r>
      <w:r>
        <w:rPr>
          <w:rFonts w:hint="eastAsia" w:ascii="方正小标宋简体" w:hAnsi="方正小标宋简体" w:eastAsia="方正小标宋简体" w:cs="方正小标宋简体"/>
          <w:sz w:val="36"/>
          <w:szCs w:val="36"/>
          <w:highlight w:val="none"/>
          <w:lang w:val="en-US" w:eastAsia="zh-CN"/>
        </w:rPr>
        <w:t>30、不予行政处罚决定书</w:t>
      </w:r>
    </w:p>
    <w:p>
      <w:pPr>
        <w:keepNext w:val="0"/>
        <w:keepLines w:val="0"/>
        <w:pageBreakBefore w:val="0"/>
        <w:widowControl w:val="0"/>
        <w:kinsoku/>
        <w:wordWrap/>
        <w:overflowPunct/>
        <w:topLinePunct w:val="0"/>
        <w:autoSpaceDE/>
        <w:autoSpaceDN/>
        <w:bidi w:val="0"/>
        <w:adjustRightInd/>
        <w:snapToGrid/>
        <w:spacing w:line="440" w:lineRule="exact"/>
        <w:ind w:right="640"/>
        <w:textAlignment w:val="auto"/>
        <w:rPr>
          <w:rFonts w:hint="eastAsia" w:ascii="宋体" w:hAnsi="宋体" w:eastAsia="仿宋_GB2312"/>
          <w:sz w:val="32"/>
          <w:highlight w:val="none"/>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sz w:val="24"/>
          <w:szCs w:val="24"/>
          <w:highlight w:val="none"/>
        </w:rPr>
      </w:pPr>
      <w:r>
        <w:rPr>
          <w:rFonts w:hint="eastAsia" w:ascii="宋体" w:hAnsi="宋体" w:eastAsia="仿宋_GB2312"/>
          <w:sz w:val="32"/>
          <w:highlight w:val="none"/>
        </w:rPr>
        <w:t xml:space="preserve">                          </w:t>
      </w:r>
      <w:r>
        <w:rPr>
          <w:rFonts w:hint="eastAsia" w:ascii="方正仿宋简体" w:hAnsi="方正仿宋简体" w:eastAsia="方正仿宋简体" w:cs="方正仿宋简体"/>
          <w:sz w:val="24"/>
          <w:szCs w:val="24"/>
          <w:highlight w:val="none"/>
        </w:rPr>
        <w:t xml:space="preserve"> 文书编号：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u w:val="single"/>
        </w:rPr>
        <w:t xml:space="preserve">                    </w:t>
      </w:r>
      <w:r>
        <w:rPr>
          <w:rFonts w:hint="eastAsia" w:ascii="方正仿宋简体" w:hAnsi="方正仿宋简体" w:eastAsia="方正仿宋简体" w:cs="方正仿宋简体"/>
          <w:sz w:val="24"/>
          <w:szCs w:val="24"/>
          <w:highlight w:val="none"/>
        </w:rPr>
        <w:t>：（地址：</w:t>
      </w:r>
      <w:r>
        <w:rPr>
          <w:rFonts w:hint="eastAsia" w:ascii="方正仿宋简体" w:hAnsi="方正仿宋简体" w:eastAsia="方正仿宋简体" w:cs="方正仿宋简体"/>
          <w:sz w:val="24"/>
          <w:szCs w:val="24"/>
          <w:highlight w:val="none"/>
          <w:u w:val="single"/>
        </w:rPr>
        <w:t xml:space="preserve">              </w:t>
      </w:r>
      <w:r>
        <w:rPr>
          <w:rFonts w:hint="eastAsia" w:ascii="方正仿宋简体" w:hAnsi="方正仿宋简体" w:eastAsia="方正仿宋简体" w:cs="方正仿宋简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564" w:firstLineChars="235"/>
        <w:textAlignment w:val="auto"/>
        <w:rPr>
          <w:rFonts w:hint="eastAsia" w:ascii="方正仿宋简体" w:hAnsi="方正仿宋简体" w:eastAsia="方正仿宋简体" w:cs="方正仿宋简体"/>
          <w:sz w:val="24"/>
          <w:szCs w:val="24"/>
          <w:highlight w:val="none"/>
          <w:u w:val="single"/>
        </w:rPr>
      </w:pPr>
      <w:r>
        <w:rPr>
          <w:rFonts w:hint="eastAsia" w:ascii="方正仿宋简体" w:hAnsi="方正仿宋简体" w:eastAsia="方正仿宋简体" w:cs="方正仿宋简体"/>
          <w:sz w:val="24"/>
          <w:szCs w:val="24"/>
          <w:highlight w:val="none"/>
        </w:rPr>
        <w:t>经查，你（单位）</w:t>
      </w:r>
      <w:r>
        <w:rPr>
          <w:rFonts w:hint="eastAsia" w:ascii="方正仿宋简体" w:hAnsi="方正仿宋简体" w:eastAsia="方正仿宋简体" w:cs="方正仿宋简体"/>
          <w:sz w:val="24"/>
          <w:szCs w:val="24"/>
          <w:highlight w:val="none"/>
          <w:u w:val="single"/>
        </w:rPr>
        <w:t xml:space="preserve">         （详细的违法事实，写明时间、地点、情节、危害后果等内容）                         </w:t>
      </w:r>
      <w:r>
        <w:rPr>
          <w:rFonts w:hint="eastAsia" w:ascii="方正仿宋简体" w:hAnsi="方正仿宋简体" w:eastAsia="方正仿宋简体" w:cs="方正仿宋简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并且有</w:t>
      </w:r>
      <w:r>
        <w:rPr>
          <w:rFonts w:hint="eastAsia" w:ascii="方正仿宋简体" w:hAnsi="方正仿宋简体" w:eastAsia="方正仿宋简体" w:cs="方正仿宋简体"/>
          <w:sz w:val="24"/>
          <w:szCs w:val="24"/>
          <w:highlight w:val="none"/>
          <w:u w:val="single"/>
        </w:rPr>
        <w:t xml:space="preserve"> 《现场检查（勘验）笔录》、《调查（询问）笔录》……                        </w:t>
      </w:r>
      <w:r>
        <w:rPr>
          <w:rFonts w:hint="eastAsia" w:ascii="方正仿宋简体" w:hAnsi="方正仿宋简体" w:eastAsia="方正仿宋简体" w:cs="方正仿宋简体"/>
          <w:sz w:val="24"/>
          <w:szCs w:val="24"/>
          <w:highlight w:val="none"/>
        </w:rPr>
        <w:t>等证据佐证。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本机关认为，你（单位）违反了</w:t>
      </w:r>
      <w:r>
        <w:rPr>
          <w:rFonts w:hint="eastAsia" w:ascii="方正仿宋简体" w:hAnsi="方正仿宋简体" w:eastAsia="方正仿宋简体" w:cs="方正仿宋简体"/>
          <w:sz w:val="24"/>
          <w:szCs w:val="24"/>
          <w:highlight w:val="none"/>
          <w:u w:val="single"/>
        </w:rPr>
        <w:t xml:space="preserve">       《××法》第×条第×款第×项      </w:t>
      </w:r>
      <w:r>
        <w:rPr>
          <w:rFonts w:hint="eastAsia" w:ascii="方正仿宋简体" w:hAnsi="方正仿宋简体" w:eastAsia="方正仿宋简体" w:cs="方正仿宋简体"/>
          <w:sz w:val="24"/>
          <w:szCs w:val="24"/>
          <w:highlight w:val="none"/>
        </w:rPr>
        <w:t>的规定，已经构成违法。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鉴于</w:t>
      </w:r>
      <w:r>
        <w:rPr>
          <w:rFonts w:hint="eastAsia" w:ascii="方正仿宋简体" w:hAnsi="方正仿宋简体" w:eastAsia="方正仿宋简体" w:cs="方正仿宋简体"/>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sz w:val="24"/>
          <w:szCs w:val="24"/>
          <w:highlight w:val="none"/>
          <w:u w:val="single"/>
        </w:rPr>
      </w:pPr>
      <w:r>
        <w:rPr>
          <w:rFonts w:hint="eastAsia" w:ascii="方正仿宋简体" w:hAnsi="方正仿宋简体" w:eastAsia="方正仿宋简体" w:cs="方正仿宋简体"/>
          <w:sz w:val="24"/>
          <w:szCs w:val="24"/>
          <w:highlight w:val="none"/>
          <w:u w:val="single"/>
        </w:rPr>
        <w:t xml:space="preserve">                                                  </w:t>
      </w:r>
      <w:r>
        <w:rPr>
          <w:rFonts w:hint="eastAsia" w:ascii="方正仿宋简体" w:hAnsi="方正仿宋简体" w:eastAsia="方正仿宋简体" w:cs="方正仿宋简体"/>
          <w:sz w:val="24"/>
          <w:szCs w:val="24"/>
          <w:highlight w:val="none"/>
        </w:rPr>
        <w:t>，现依据《中华人民共和国行政处罚法》</w:t>
      </w:r>
      <w:r>
        <w:rPr>
          <w:rFonts w:hint="eastAsia" w:ascii="方正仿宋简体" w:hAnsi="方正仿宋简体" w:eastAsia="方正仿宋简体" w:cs="方正仿宋简体"/>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u w:val="single"/>
        </w:rPr>
        <w:t xml:space="preserve">                                               </w:t>
      </w:r>
      <w:r>
        <w:rPr>
          <w:rFonts w:hint="eastAsia" w:ascii="方正仿宋简体" w:hAnsi="方正仿宋简体" w:eastAsia="方正仿宋简体" w:cs="方正仿宋简体"/>
          <w:sz w:val="24"/>
          <w:szCs w:val="24"/>
          <w:highlight w:val="none"/>
        </w:rPr>
        <w:t>的规定，本机关决定对你（单位）不予行政处罚。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rPr>
        <w:t>如对本通知不服，可自收到本通知书之日起六十日内，依法向</w:t>
      </w:r>
      <w:r>
        <w:rPr>
          <w:rFonts w:hint="eastAsia" w:ascii="方正仿宋简体" w:hAnsi="方正仿宋简体" w:eastAsia="方正仿宋简体" w:cs="方正仿宋简体"/>
          <w:sz w:val="24"/>
          <w:szCs w:val="24"/>
          <w:highlight w:val="none"/>
          <w:u w:val="single"/>
          <w:lang w:val="en-US" w:eastAsia="zh-CN"/>
        </w:rPr>
        <w:t xml:space="preserve">         </w:t>
      </w:r>
      <w:r>
        <w:rPr>
          <w:rFonts w:hint="eastAsia" w:ascii="方正仿宋简体" w:hAnsi="方正仿宋简体" w:eastAsia="方正仿宋简体" w:cs="方正仿宋简体"/>
          <w:sz w:val="24"/>
          <w:szCs w:val="24"/>
          <w:highlight w:val="none"/>
        </w:rPr>
        <w:t>申请行政复议或自收到本通知书之日起六个月内直接向</w:t>
      </w:r>
      <w:r>
        <w:rPr>
          <w:rFonts w:hint="eastAsia" w:ascii="方正仿宋简体" w:hAnsi="方正仿宋简体" w:eastAsia="方正仿宋简体" w:cs="方正仿宋简体"/>
          <w:sz w:val="24"/>
          <w:szCs w:val="24"/>
          <w:highlight w:val="none"/>
          <w:u w:val="single"/>
          <w:lang w:val="en-US" w:eastAsia="zh-CN"/>
        </w:rPr>
        <w:t xml:space="preserve">                       </w:t>
      </w:r>
      <w:r>
        <w:rPr>
          <w:rFonts w:hint="eastAsia" w:ascii="方正仿宋简体" w:hAnsi="方正仿宋简体" w:eastAsia="方正仿宋简体" w:cs="方正仿宋简体"/>
          <w:sz w:val="24"/>
          <w:szCs w:val="24"/>
          <w:highlight w:val="none"/>
        </w:rPr>
        <w:t>法院</w:t>
      </w:r>
      <w:r>
        <w:rPr>
          <w:rFonts w:hint="eastAsia" w:ascii="方正仿宋简体" w:hAnsi="方正仿宋简体" w:eastAsia="方正仿宋简体" w:cs="方正仿宋简体"/>
          <w:sz w:val="24"/>
          <w:szCs w:val="24"/>
          <w:highlight w:val="none"/>
          <w:lang w:eastAsia="zh-CN"/>
        </w:rPr>
        <w:t>之一</w:t>
      </w:r>
      <w:r>
        <w:rPr>
          <w:rFonts w:hint="eastAsia" w:ascii="方正仿宋简体" w:hAnsi="方正仿宋简体" w:eastAsia="方正仿宋简体" w:cs="方正仿宋简体"/>
          <w:sz w:val="24"/>
          <w:szCs w:val="24"/>
          <w:highlight w:val="none"/>
        </w:rPr>
        <w:t>提起行政诉讼。</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方正仿宋简体" w:hAnsi="方正仿宋简体" w:eastAsia="方正仿宋简体" w:cs="方正仿宋简体"/>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方正仿宋简体" w:hAnsi="方正仿宋简体" w:eastAsia="方正仿宋简体" w:cs="方正仿宋简体"/>
          <w:sz w:val="24"/>
          <w:szCs w:val="24"/>
          <w:highlight w:val="none"/>
        </w:rPr>
      </w:pP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行政执法机关名称（印章）</w:t>
      </w:r>
    </w:p>
    <w:p>
      <w:pPr>
        <w:keepNext w:val="0"/>
        <w:keepLines w:val="0"/>
        <w:pageBreakBefore w:val="0"/>
        <w:widowControl w:val="0"/>
        <w:kinsoku/>
        <w:wordWrap/>
        <w:overflowPunct/>
        <w:topLinePunct w:val="0"/>
        <w:autoSpaceDE/>
        <w:autoSpaceDN/>
        <w:bidi w:val="0"/>
        <w:adjustRightInd/>
        <w:snapToGrid/>
        <w:spacing w:line="440" w:lineRule="exact"/>
        <w:ind w:firstLine="1680" w:firstLineChars="700"/>
        <w:jc w:val="center"/>
        <w:textAlignment w:val="auto"/>
        <w:rPr>
          <w:rFonts w:hint="eastAsia" w:ascii="宋体" w:hAnsi="宋体" w:eastAsia="仿宋_GB2312"/>
          <w:sz w:val="32"/>
          <w:highlight w:val="none"/>
        </w:rPr>
      </w:pPr>
      <w:r>
        <w:rPr>
          <w:rFonts w:hint="eastAsia" w:ascii="方正仿宋简体" w:hAnsi="方正仿宋简体" w:eastAsia="方正仿宋简体" w:cs="方正仿宋简体"/>
          <w:sz w:val="24"/>
          <w:szCs w:val="24"/>
          <w:highlight w:val="none"/>
          <w:lang w:val="en-US" w:eastAsia="zh-CN"/>
        </w:rPr>
        <w:t xml:space="preserve">            </w:t>
      </w:r>
      <w:r>
        <w:rPr>
          <w:rFonts w:hint="eastAsia" w:ascii="方正仿宋简体" w:hAnsi="方正仿宋简体" w:eastAsia="方正仿宋简体" w:cs="方正仿宋简体"/>
          <w:sz w:val="24"/>
          <w:szCs w:val="24"/>
          <w:highlight w:val="none"/>
        </w:rPr>
        <w:t xml:space="preserve"> 年   月   日</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方正大标宋简体"/>
          <w:bCs/>
          <w:sz w:val="44"/>
          <w:highlight w:val="none"/>
        </w:rPr>
      </w:pPr>
      <w:r>
        <w:rPr>
          <w:rFonts w:ascii="宋体" w:hAnsi="宋体" w:eastAsia="仿宋_GB2312"/>
          <w:sz w:val="32"/>
          <w:highlight w:val="none"/>
        </w:rPr>
        <w:br w:type="page"/>
      </w:r>
      <w:r>
        <w:rPr>
          <w:rFonts w:hint="eastAsia" w:ascii="方正小标宋简体" w:hAnsi="方正小标宋简体" w:eastAsia="方正小标宋简体" w:cs="方正小标宋简体"/>
          <w:sz w:val="36"/>
          <w:szCs w:val="36"/>
          <w:highlight w:val="none"/>
          <w:lang w:val="en-US" w:eastAsia="zh-CN"/>
        </w:rPr>
        <w:t>31、行政处罚案件结案表</w:t>
      </w:r>
    </w:p>
    <w:p>
      <w:pPr>
        <w:spacing w:line="480" w:lineRule="exact"/>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 xml:space="preserve">  文书编号：</w:t>
      </w:r>
    </w:p>
    <w:p>
      <w:pPr>
        <w:spacing w:line="0" w:lineRule="atLeast"/>
        <w:jc w:val="center"/>
        <w:rPr>
          <w:rFonts w:hint="eastAsia" w:ascii="宋体" w:hAnsi="宋体"/>
          <w:sz w:val="24"/>
          <w:szCs w:val="24"/>
          <w:highlight w:val="none"/>
        </w:rPr>
      </w:pPr>
    </w:p>
    <w:tbl>
      <w:tblPr>
        <w:tblStyle w:val="7"/>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373"/>
        <w:gridCol w:w="1416"/>
        <w:gridCol w:w="1880"/>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878"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2789" w:type="dxa"/>
            <w:gridSpan w:val="2"/>
            <w:tcBorders>
              <w:top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880"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p>
        </w:tc>
        <w:tc>
          <w:tcPr>
            <w:tcW w:w="1737"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878" w:type="dxa"/>
            <w:vMerge w:val="restart"/>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373"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416" w:type="dxa"/>
            <w:noWrap w:val="0"/>
            <w:vAlign w:val="top"/>
          </w:tcPr>
          <w:p>
            <w:pPr>
              <w:keepNext w:val="0"/>
              <w:keepLines w:val="0"/>
              <w:suppressLineNumbers w:val="0"/>
              <w:spacing w:before="0" w:beforeAutospacing="0" w:after="0" w:afterAutospacing="0" w:line="0" w:lineRule="atLeast"/>
              <w:ind w:left="0" w:right="0"/>
              <w:rPr>
                <w:rFonts w:hint="eastAsia" w:ascii="宋体" w:hAnsi="宋体" w:eastAsia="仿宋_GB2312"/>
                <w:sz w:val="24"/>
                <w:szCs w:val="24"/>
                <w:highlight w:val="none"/>
              </w:rPr>
            </w:pPr>
          </w:p>
        </w:tc>
        <w:tc>
          <w:tcPr>
            <w:tcW w:w="1880"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737"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878" w:type="dxa"/>
            <w:vMerge w:val="continue"/>
            <w:tcBorders>
              <w:lef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373"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416"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p>
        </w:tc>
        <w:tc>
          <w:tcPr>
            <w:tcW w:w="1880"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737"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立案日期</w:t>
            </w:r>
          </w:p>
        </w:tc>
        <w:tc>
          <w:tcPr>
            <w:tcW w:w="2789" w:type="dxa"/>
            <w:gridSpan w:val="2"/>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tc>
        <w:tc>
          <w:tcPr>
            <w:tcW w:w="188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案件承办人</w:t>
            </w:r>
          </w:p>
        </w:tc>
        <w:tc>
          <w:tcPr>
            <w:tcW w:w="1737" w:type="dxa"/>
            <w:tcBorders>
              <w:righ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处罚决定</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处罚决定</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执行情况</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结案意见</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结案意见</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结案意见</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1878"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行政执法机关负责人意见</w:t>
            </w:r>
          </w:p>
        </w:tc>
        <w:tc>
          <w:tcPr>
            <w:tcW w:w="6406"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878"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406" w:type="dxa"/>
            <w:gridSpan w:val="4"/>
            <w:tcBorders>
              <w:bottom w:val="single" w:color="auto" w:sz="12" w:space="0"/>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bl>
    <w:p>
      <w:pPr>
        <w:jc w:val="center"/>
        <w:rPr>
          <w:rFonts w:ascii="宋体" w:hAnsi="宋体"/>
          <w:b/>
          <w:sz w:val="44"/>
          <w:szCs w:val="44"/>
          <w:highlight w:val="none"/>
        </w:rPr>
      </w:pPr>
      <w:r>
        <w:rPr>
          <w:rFonts w:ascii="宋体" w:hAnsi="宋体"/>
          <w:b/>
          <w:sz w:val="44"/>
          <w:szCs w:val="44"/>
          <w:highlight w:val="none"/>
        </w:rPr>
        <w:br w:type="page"/>
      </w: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32、协助调查函</w:t>
      </w:r>
    </w:p>
    <w:p>
      <w:pPr>
        <w:spacing w:line="480" w:lineRule="exact"/>
        <w:rPr>
          <w:rFonts w:hint="eastAsia" w:ascii="仿宋" w:hAnsi="仿宋" w:eastAsia="仿宋" w:cs="仿宋"/>
          <w:sz w:val="24"/>
          <w:szCs w:val="24"/>
          <w:highlight w:val="none"/>
        </w:rPr>
      </w:pPr>
      <w:r>
        <w:rPr>
          <w:rFonts w:hint="eastAsia" w:ascii="宋体" w:hAnsi="宋体" w:eastAsia="仿宋_GB2312"/>
          <w:sz w:val="32"/>
          <w:highlight w:val="none"/>
        </w:rPr>
        <w:t xml:space="preserve">       </w:t>
      </w:r>
      <w:r>
        <w:rPr>
          <w:rFonts w:hint="eastAsia" w:ascii="仿宋" w:hAnsi="仿宋" w:eastAsia="仿宋" w:cs="仿宋"/>
          <w:sz w:val="32"/>
          <w:szCs w:val="32"/>
          <w:highlight w:val="none"/>
        </w:rPr>
        <w:t xml:space="preserve">                           </w:t>
      </w:r>
      <w:r>
        <w:rPr>
          <w:rFonts w:hint="eastAsia" w:ascii="仿宋" w:hAnsi="仿宋" w:eastAsia="仿宋" w:cs="仿宋"/>
          <w:sz w:val="24"/>
          <w:szCs w:val="24"/>
          <w:highlight w:val="none"/>
        </w:rPr>
        <w:t>文书编号：</w:t>
      </w:r>
    </w:p>
    <w:p>
      <w:pPr>
        <w:spacing w:line="480" w:lineRule="exact"/>
        <w:rPr>
          <w:rFonts w:hint="eastAsia" w:ascii="仿宋" w:hAnsi="仿宋" w:eastAsia="仿宋" w:cs="仿宋"/>
          <w:sz w:val="24"/>
          <w:szCs w:val="24"/>
          <w:highlight w:val="none"/>
        </w:rPr>
      </w:pPr>
    </w:p>
    <w:p>
      <w:pPr>
        <w:jc w:val="both"/>
        <w:rPr>
          <w:rFonts w:hint="eastAsia" w:ascii="仿宋" w:hAnsi="仿宋" w:eastAsia="仿宋" w:cs="仿宋"/>
          <w:b w:val="0"/>
          <w:bCs/>
          <w:sz w:val="24"/>
          <w:szCs w:val="24"/>
          <w:highlight w:val="none"/>
          <w:u w:val="none"/>
          <w:lang w:val="en-US" w:eastAsia="zh-CN"/>
        </w:rPr>
      </w:pP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none"/>
          <w:lang w:val="en-US" w:eastAsia="zh-CN"/>
        </w:rPr>
        <w:t>：</w:t>
      </w:r>
    </w:p>
    <w:p>
      <w:pPr>
        <w:jc w:val="both"/>
        <w:rPr>
          <w:rFonts w:hint="eastAsia" w:ascii="仿宋" w:hAnsi="仿宋" w:eastAsia="仿宋" w:cs="仿宋"/>
          <w:b w:val="0"/>
          <w:bCs/>
          <w:sz w:val="24"/>
          <w:szCs w:val="24"/>
          <w:highlight w:val="none"/>
          <w:u w:val="none"/>
          <w:lang w:val="en-US" w:eastAsia="zh-CN"/>
        </w:rPr>
      </w:pPr>
      <w:r>
        <w:rPr>
          <w:rFonts w:hint="eastAsia" w:ascii="仿宋" w:hAnsi="仿宋" w:eastAsia="仿宋" w:cs="仿宋"/>
          <w:b w:val="0"/>
          <w:bCs/>
          <w:sz w:val="24"/>
          <w:szCs w:val="24"/>
          <w:highlight w:val="none"/>
          <w:u w:val="none"/>
          <w:lang w:val="en-US" w:eastAsia="zh-CN"/>
        </w:rPr>
        <w:t xml:space="preserve">   我单位在办理</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none"/>
          <w:lang w:val="en-US" w:eastAsia="zh-CN"/>
        </w:rPr>
        <w:t>一案中，因</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none"/>
          <w:lang w:val="en-US" w:eastAsia="zh-CN"/>
        </w:rPr>
        <w:t>，依据《行政处罚法》第二十六条的规定，请你单位协助调查以下事项：</w:t>
      </w:r>
    </w:p>
    <w:p>
      <w:pPr>
        <w:jc w:val="both"/>
        <w:rPr>
          <w:rFonts w:hint="eastAsia" w:ascii="仿宋" w:hAnsi="仿宋" w:eastAsia="仿宋" w:cs="仿宋"/>
          <w:b w:val="0"/>
          <w:bCs/>
          <w:sz w:val="24"/>
          <w:szCs w:val="24"/>
          <w:highlight w:val="none"/>
          <w:u w:val="single"/>
          <w:lang w:val="en-US" w:eastAsia="zh-CN"/>
        </w:rPr>
      </w:pPr>
      <w:r>
        <w:rPr>
          <w:rFonts w:hint="eastAsia" w:ascii="仿宋" w:hAnsi="仿宋" w:eastAsia="仿宋" w:cs="仿宋"/>
          <w:b w:val="0"/>
          <w:bCs/>
          <w:sz w:val="24"/>
          <w:szCs w:val="24"/>
          <w:highlight w:val="none"/>
          <w:u w:val="single"/>
          <w:lang w:val="en-US" w:eastAsia="zh-CN"/>
        </w:rPr>
        <w:t xml:space="preserve">                                                             </w:t>
      </w:r>
    </w:p>
    <w:p>
      <w:pPr>
        <w:jc w:val="both"/>
        <w:rPr>
          <w:rFonts w:hint="eastAsia" w:ascii="仿宋" w:hAnsi="仿宋" w:eastAsia="仿宋" w:cs="仿宋"/>
          <w:b w:val="0"/>
          <w:bCs/>
          <w:sz w:val="24"/>
          <w:szCs w:val="24"/>
          <w:highlight w:val="none"/>
          <w:u w:val="single"/>
          <w:lang w:val="en-US" w:eastAsia="zh-CN"/>
        </w:rPr>
      </w:pPr>
      <w:r>
        <w:rPr>
          <w:rFonts w:hint="eastAsia" w:ascii="仿宋" w:hAnsi="仿宋" w:eastAsia="仿宋" w:cs="仿宋"/>
          <w:b w:val="0"/>
          <w:bCs/>
          <w:sz w:val="24"/>
          <w:szCs w:val="24"/>
          <w:highlight w:val="none"/>
          <w:u w:val="single"/>
          <w:lang w:val="en-US" w:eastAsia="zh-CN"/>
        </w:rPr>
        <w:t xml:space="preserve">                                                             </w:t>
      </w:r>
    </w:p>
    <w:p>
      <w:pPr>
        <w:jc w:val="both"/>
        <w:rPr>
          <w:rFonts w:hint="eastAsia" w:ascii="仿宋" w:hAnsi="仿宋" w:eastAsia="仿宋" w:cs="仿宋"/>
          <w:b w:val="0"/>
          <w:bCs/>
          <w:sz w:val="24"/>
          <w:szCs w:val="24"/>
          <w:highlight w:val="none"/>
          <w:u w:val="none"/>
          <w:lang w:val="en-US" w:eastAsia="zh-CN"/>
        </w:rPr>
      </w:pPr>
      <w:r>
        <w:rPr>
          <w:rFonts w:hint="eastAsia" w:ascii="仿宋" w:hAnsi="仿宋" w:eastAsia="仿宋" w:cs="仿宋"/>
          <w:b w:val="0"/>
          <w:bCs/>
          <w:sz w:val="24"/>
          <w:szCs w:val="24"/>
          <w:highlight w:val="none"/>
          <w:u w:val="none"/>
          <w:lang w:val="en-US" w:eastAsia="zh-CN"/>
        </w:rPr>
        <w:t xml:space="preserve">   请你单位在收到协助调查函之日起</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none"/>
          <w:lang w:val="en-US" w:eastAsia="zh-CN"/>
        </w:rPr>
        <w:t>个工作日内将调查结果及相关证据材料函告我单位。无法协助或者需要延期完成的，请及时告知。</w:t>
      </w:r>
    </w:p>
    <w:p>
      <w:pPr>
        <w:jc w:val="both"/>
        <w:rPr>
          <w:rFonts w:hint="eastAsia" w:ascii="仿宋" w:hAnsi="仿宋" w:eastAsia="仿宋" w:cs="仿宋"/>
          <w:b w:val="0"/>
          <w:bCs/>
          <w:sz w:val="24"/>
          <w:szCs w:val="24"/>
          <w:highlight w:val="none"/>
          <w:u w:val="none"/>
          <w:lang w:val="en-US" w:eastAsia="zh-CN"/>
        </w:rPr>
      </w:pPr>
      <w:r>
        <w:rPr>
          <w:rFonts w:hint="eastAsia" w:ascii="仿宋" w:hAnsi="仿宋" w:eastAsia="仿宋" w:cs="仿宋"/>
          <w:b w:val="0"/>
          <w:bCs/>
          <w:sz w:val="24"/>
          <w:szCs w:val="24"/>
          <w:highlight w:val="none"/>
          <w:u w:val="none"/>
          <w:lang w:val="en-US" w:eastAsia="zh-CN"/>
        </w:rPr>
        <w:t xml:space="preserve">   </w:t>
      </w:r>
    </w:p>
    <w:p>
      <w:pPr>
        <w:ind w:firstLine="480" w:firstLineChars="200"/>
        <w:jc w:val="both"/>
        <w:rPr>
          <w:rFonts w:hint="eastAsia" w:ascii="仿宋" w:hAnsi="仿宋" w:eastAsia="仿宋" w:cs="仿宋"/>
          <w:b/>
          <w:sz w:val="24"/>
          <w:szCs w:val="24"/>
          <w:highlight w:val="none"/>
          <w:lang w:val="en-US" w:eastAsia="zh-CN"/>
        </w:rPr>
      </w:pPr>
      <w:r>
        <w:rPr>
          <w:rFonts w:hint="eastAsia" w:ascii="仿宋" w:hAnsi="仿宋" w:eastAsia="仿宋" w:cs="仿宋"/>
          <w:b w:val="0"/>
          <w:bCs/>
          <w:sz w:val="24"/>
          <w:szCs w:val="24"/>
          <w:highlight w:val="none"/>
          <w:u w:val="none"/>
          <w:lang w:val="en-US" w:eastAsia="zh-CN"/>
        </w:rPr>
        <w:t>联系人：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none"/>
          <w:lang w:val="en-US" w:eastAsia="zh-CN"/>
        </w:rPr>
        <w:t xml:space="preserve">   联系电话： </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sz w:val="24"/>
          <w:szCs w:val="24"/>
          <w:highlight w:val="none"/>
          <w:lang w:val="en-US" w:eastAsia="zh-CN"/>
        </w:rPr>
        <w:t xml:space="preserve">    </w:t>
      </w:r>
    </w:p>
    <w:p>
      <w:pPr>
        <w:jc w:val="center"/>
        <w:rPr>
          <w:rFonts w:hint="eastAsia" w:ascii="仿宋" w:hAnsi="仿宋" w:eastAsia="仿宋" w:cs="仿宋"/>
          <w:b/>
          <w:sz w:val="24"/>
          <w:szCs w:val="24"/>
          <w:highlight w:val="none"/>
          <w:lang w:eastAsia="zh-CN"/>
        </w:rPr>
      </w:pPr>
    </w:p>
    <w:p>
      <w:pPr>
        <w:ind w:firstLine="1680" w:firstLineChars="700"/>
        <w:jc w:val="both"/>
        <w:rPr>
          <w:rFonts w:hint="eastAsia" w:ascii="仿宋" w:hAnsi="仿宋" w:eastAsia="仿宋" w:cs="仿宋"/>
          <w:b w:val="0"/>
          <w:bCs/>
          <w:sz w:val="24"/>
          <w:szCs w:val="24"/>
          <w:highlight w:val="none"/>
          <w:u w:val="none"/>
          <w:lang w:val="en-US" w:eastAsia="zh-CN"/>
        </w:rPr>
      </w:pPr>
    </w:p>
    <w:p>
      <w:pPr>
        <w:ind w:firstLine="2640" w:firstLineChars="1100"/>
        <w:jc w:val="both"/>
        <w:rPr>
          <w:rFonts w:hint="eastAsia" w:ascii="仿宋" w:hAnsi="仿宋" w:eastAsia="仿宋" w:cs="仿宋"/>
          <w:b w:val="0"/>
          <w:bCs/>
          <w:sz w:val="24"/>
          <w:szCs w:val="24"/>
          <w:highlight w:val="none"/>
          <w:u w:val="none"/>
          <w:lang w:val="en-US" w:eastAsia="zh-CN"/>
        </w:rPr>
      </w:pPr>
      <w:r>
        <w:rPr>
          <w:rFonts w:hint="eastAsia" w:ascii="仿宋" w:hAnsi="仿宋" w:eastAsia="仿宋" w:cs="仿宋"/>
          <w:b w:val="0"/>
          <w:bCs/>
          <w:sz w:val="24"/>
          <w:szCs w:val="24"/>
          <w:highlight w:val="none"/>
          <w:u w:val="none"/>
          <w:lang w:val="en-US" w:eastAsia="zh-CN"/>
        </w:rPr>
        <w:t>行政执法机关名称（印章）</w:t>
      </w:r>
    </w:p>
    <w:p>
      <w:pPr>
        <w:jc w:val="both"/>
        <w:rPr>
          <w:rFonts w:hint="default" w:ascii="方正仿宋简体" w:hAnsi="方正仿宋简体" w:eastAsia="方正仿宋简体" w:cs="方正仿宋简体"/>
          <w:b w:val="0"/>
          <w:bCs/>
          <w:sz w:val="24"/>
          <w:szCs w:val="24"/>
          <w:highlight w:val="none"/>
          <w:u w:val="none"/>
          <w:lang w:val="en-US" w:eastAsia="zh-CN"/>
        </w:rPr>
      </w:pPr>
      <w:r>
        <w:rPr>
          <w:rFonts w:hint="eastAsia" w:ascii="方正仿宋简体" w:hAnsi="方正仿宋简体" w:eastAsia="方正仿宋简体" w:cs="方正仿宋简体"/>
          <w:b w:val="0"/>
          <w:bCs/>
          <w:sz w:val="24"/>
          <w:szCs w:val="24"/>
          <w:highlight w:val="none"/>
          <w:u w:val="none"/>
          <w:lang w:val="en-US" w:eastAsia="zh-CN"/>
        </w:rPr>
        <w:t xml:space="preserve">                                 年    月  日</w:t>
      </w:r>
    </w:p>
    <w:p>
      <w:pPr>
        <w:jc w:val="center"/>
        <w:rPr>
          <w:rFonts w:ascii="宋体" w:hAnsi="宋体"/>
          <w:b/>
          <w:sz w:val="44"/>
          <w:szCs w:val="44"/>
          <w:highlight w:val="none"/>
        </w:rPr>
      </w:pPr>
    </w:p>
    <w:p>
      <w:pPr>
        <w:jc w:val="center"/>
        <w:rPr>
          <w:rFonts w:ascii="宋体" w:hAnsi="宋体"/>
          <w:b/>
          <w:sz w:val="44"/>
          <w:szCs w:val="44"/>
          <w:highlight w:val="none"/>
        </w:rPr>
      </w:pPr>
    </w:p>
    <w:p>
      <w:pPr>
        <w:jc w:val="center"/>
        <w:rPr>
          <w:rFonts w:ascii="宋体" w:hAnsi="宋体"/>
          <w:b/>
          <w:sz w:val="44"/>
          <w:szCs w:val="44"/>
          <w:highlight w:val="none"/>
        </w:rPr>
      </w:pPr>
    </w:p>
    <w:p>
      <w:pPr>
        <w:jc w:val="center"/>
        <w:rPr>
          <w:rFonts w:ascii="宋体" w:hAnsi="宋体"/>
          <w:b/>
          <w:sz w:val="44"/>
          <w:szCs w:val="44"/>
          <w:highlight w:val="none"/>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33、案件移送审批表</w:t>
      </w:r>
    </w:p>
    <w:p>
      <w:pPr>
        <w:spacing w:line="480" w:lineRule="exact"/>
        <w:rPr>
          <w:rFonts w:hint="eastAsia" w:ascii="宋体" w:hAnsi="宋体" w:eastAsia="仿宋_GB2312"/>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24"/>
          <w:szCs w:val="24"/>
          <w:highlight w:val="none"/>
        </w:rPr>
        <w:t>文书编号：</w:t>
      </w:r>
    </w:p>
    <w:p>
      <w:pPr>
        <w:spacing w:line="0" w:lineRule="atLeast"/>
        <w:jc w:val="center"/>
        <w:rPr>
          <w:rFonts w:hint="eastAsia" w:ascii="宋体" w:hAnsi="宋体"/>
          <w:sz w:val="24"/>
          <w:szCs w:val="24"/>
          <w:highlight w:val="none"/>
        </w:rPr>
      </w:pPr>
    </w:p>
    <w:tbl>
      <w:tblPr>
        <w:tblStyle w:val="7"/>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1373"/>
        <w:gridCol w:w="1753"/>
        <w:gridCol w:w="179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936"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   由</w:t>
            </w:r>
          </w:p>
        </w:tc>
        <w:tc>
          <w:tcPr>
            <w:tcW w:w="3126" w:type="dxa"/>
            <w:gridSpan w:val="2"/>
            <w:tcBorders>
              <w:top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796"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案件来源</w:t>
            </w:r>
          </w:p>
        </w:tc>
        <w:tc>
          <w:tcPr>
            <w:tcW w:w="1141"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936" w:type="dxa"/>
            <w:vMerge w:val="restart"/>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373"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753" w:type="dxa"/>
            <w:noWrap w:val="0"/>
            <w:vAlign w:val="top"/>
          </w:tcPr>
          <w:p>
            <w:pPr>
              <w:keepNext w:val="0"/>
              <w:keepLines w:val="0"/>
              <w:suppressLineNumbers w:val="0"/>
              <w:spacing w:before="0" w:beforeAutospacing="0" w:after="0" w:afterAutospacing="0" w:line="0" w:lineRule="atLeast"/>
              <w:ind w:left="0" w:right="0"/>
              <w:rPr>
                <w:rFonts w:hint="eastAsia" w:ascii="宋体" w:hAnsi="宋体" w:eastAsia="仿宋_GB2312"/>
                <w:sz w:val="24"/>
                <w:szCs w:val="24"/>
                <w:highlight w:val="none"/>
              </w:rPr>
            </w:pPr>
          </w:p>
        </w:tc>
        <w:tc>
          <w:tcPr>
            <w:tcW w:w="1796"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141"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36" w:type="dxa"/>
            <w:vMerge w:val="continue"/>
            <w:tcBorders>
              <w:lef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c>
          <w:tcPr>
            <w:tcW w:w="1373"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753"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p>
        </w:tc>
        <w:tc>
          <w:tcPr>
            <w:tcW w:w="1796" w:type="dxa"/>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141" w:type="dxa"/>
            <w:tcBorders>
              <w:right w:val="single" w:color="auto" w:sz="12" w:space="0"/>
            </w:tcBorders>
            <w:noWrap w:val="0"/>
            <w:vAlign w:val="top"/>
          </w:tcPr>
          <w:p>
            <w:pPr>
              <w:keepNext w:val="0"/>
              <w:keepLines w:val="0"/>
              <w:suppressLineNumbers w:val="0"/>
              <w:spacing w:before="0" w:beforeAutospacing="0" w:after="0" w:afterAutospacing="0"/>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受移送机关</w:t>
            </w:r>
          </w:p>
        </w:tc>
        <w:tc>
          <w:tcPr>
            <w:tcW w:w="6063" w:type="dxa"/>
            <w:gridSpan w:val="4"/>
            <w:tcBorders>
              <w:righ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处理情况</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移送理由</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1936"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行政执法机关负责人意见</w:t>
            </w:r>
          </w:p>
        </w:tc>
        <w:tc>
          <w:tcPr>
            <w:tcW w:w="6063" w:type="dxa"/>
            <w:gridSpan w:val="4"/>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936"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063" w:type="dxa"/>
            <w:gridSpan w:val="4"/>
            <w:tcBorders>
              <w:bottom w:val="single" w:color="auto" w:sz="12" w:space="0"/>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tc>
      </w:tr>
    </w:tbl>
    <w:p>
      <w:pPr>
        <w:jc w:val="center"/>
        <w:rPr>
          <w:rFonts w:ascii="宋体" w:hAnsi="宋体" w:eastAsia="方正大标宋简体"/>
          <w:bCs/>
          <w:sz w:val="44"/>
          <w:highlight w:val="none"/>
        </w:rPr>
      </w:pPr>
      <w:r>
        <w:rPr>
          <w:rFonts w:ascii="宋体" w:hAnsi="宋体"/>
          <w:b/>
          <w:sz w:val="44"/>
          <w:szCs w:val="44"/>
          <w:highlight w:val="none"/>
        </w:rPr>
        <w:br w:type="page"/>
      </w:r>
      <w:r>
        <w:rPr>
          <w:rFonts w:hint="eastAsia" w:ascii="方正小标宋简体" w:hAnsi="方正小标宋简体" w:eastAsia="方正小标宋简体" w:cs="方正小标宋简体"/>
          <w:sz w:val="36"/>
          <w:szCs w:val="36"/>
          <w:highlight w:val="none"/>
          <w:lang w:val="en-US" w:eastAsia="zh-CN"/>
        </w:rPr>
        <w:t>34、案件移送函</w:t>
      </w:r>
    </w:p>
    <w:p>
      <w:pPr>
        <w:spacing w:line="360" w:lineRule="exact"/>
        <w:jc w:val="center"/>
        <w:rPr>
          <w:rFonts w:ascii="宋体" w:hAnsi="宋体"/>
          <w:sz w:val="30"/>
          <w:szCs w:val="30"/>
          <w:highlight w:val="none"/>
        </w:rPr>
      </w:pPr>
    </w:p>
    <w:p>
      <w:pPr>
        <w:spacing w:line="360" w:lineRule="exact"/>
        <w:jc w:val="center"/>
        <w:rPr>
          <w:rFonts w:hint="eastAsia" w:ascii="宋体" w:hAnsi="宋体" w:eastAsia="仿宋_GB2312"/>
          <w:sz w:val="24"/>
          <w:szCs w:val="24"/>
          <w:highlight w:val="none"/>
        </w:rPr>
      </w:pPr>
      <w:r>
        <w:rPr>
          <w:rFonts w:ascii="宋体" w:hAnsi="宋体"/>
          <w:sz w:val="30"/>
          <w:szCs w:val="30"/>
          <w:highlight w:val="none"/>
        </w:rPr>
        <w:t xml:space="preserve">            </w:t>
      </w:r>
      <w:r>
        <w:rPr>
          <w:rFonts w:hint="eastAsia" w:ascii="宋体" w:hAnsi="宋体" w:eastAsia="仿宋_GB2312"/>
          <w:sz w:val="32"/>
          <w:szCs w:val="32"/>
          <w:highlight w:val="none"/>
        </w:rPr>
        <w:t xml:space="preserve">           </w:t>
      </w:r>
      <w:r>
        <w:rPr>
          <w:rFonts w:hint="eastAsia" w:ascii="宋体" w:hAnsi="宋体" w:eastAsia="仿宋_GB2312"/>
          <w:sz w:val="24"/>
          <w:szCs w:val="24"/>
          <w:highlight w:val="none"/>
        </w:rPr>
        <w:t xml:space="preserve">  文书编号：</w:t>
      </w:r>
    </w:p>
    <w:p>
      <w:pPr>
        <w:spacing w:line="360" w:lineRule="exact"/>
        <w:jc w:val="center"/>
        <w:rPr>
          <w:rFonts w:hint="eastAsia" w:ascii="宋体" w:hAnsi="宋体" w:eastAsia="仿宋_GB2312"/>
          <w:sz w:val="24"/>
          <w:szCs w:val="24"/>
          <w:highlight w:val="none"/>
        </w:rPr>
      </w:pPr>
    </w:p>
    <w:p>
      <w:pPr>
        <w:spacing w:line="560" w:lineRule="exact"/>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spacing w:line="560" w:lineRule="exact"/>
        <w:ind w:firstLine="480" w:firstLineChars="200"/>
        <w:rPr>
          <w:rFonts w:hint="eastAsia" w:ascii="宋体" w:hAnsi="宋体" w:eastAsia="仿宋_GB2312"/>
          <w:sz w:val="24"/>
          <w:szCs w:val="24"/>
          <w:highlight w:val="none"/>
          <w:u w:val="single"/>
        </w:rPr>
      </w:pPr>
      <w:r>
        <w:rPr>
          <w:rFonts w:hint="eastAsia" w:ascii="宋体" w:hAnsi="宋体" w:eastAsia="仿宋_GB2312"/>
          <w:sz w:val="24"/>
          <w:szCs w:val="24"/>
          <w:highlight w:val="none"/>
        </w:rPr>
        <w:t>本机关于</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日对</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60" w:lineRule="exact"/>
        <w:rPr>
          <w:rFonts w:hint="default" w:ascii="宋体" w:hAnsi="宋体" w:eastAsia="仿宋_GB2312"/>
          <w:sz w:val="24"/>
          <w:szCs w:val="24"/>
          <w:highlight w:val="none"/>
          <w:u w:val="single"/>
          <w:lang w:val="en-US" w:eastAsia="zh-CN"/>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一案立案调查，在调查中发现</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p>
    <w:p>
      <w:pPr>
        <w:spacing w:line="56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u w:val="single"/>
        </w:rPr>
        <w:t xml:space="preserve">   </w:t>
      </w:r>
    </w:p>
    <w:p>
      <w:pPr>
        <w:spacing w:line="560" w:lineRule="exact"/>
        <w:rPr>
          <w:rFonts w:hint="eastAsia" w:ascii="宋体" w:hAnsi="宋体" w:eastAsia="仿宋_GB2312"/>
          <w:sz w:val="24"/>
          <w:szCs w:val="24"/>
          <w:highlight w:val="non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u w:val="single"/>
          <w:lang w:val="en-US" w:eastAsia="zh-CN"/>
        </w:rPr>
        <w:t xml:space="preserve">                                  </w:t>
      </w:r>
      <w:r>
        <w:rPr>
          <w:rFonts w:hint="eastAsia" w:ascii="宋体" w:hAnsi="宋体" w:eastAsia="仿宋_GB2312"/>
          <w:sz w:val="24"/>
          <w:szCs w:val="24"/>
          <w:highlight w:val="none"/>
        </w:rPr>
        <w:t>。</w:t>
      </w:r>
    </w:p>
    <w:p>
      <w:pPr>
        <w:spacing w:line="560" w:lineRule="exact"/>
        <w:ind w:left="2" w:firstLine="628"/>
        <w:rPr>
          <w:rFonts w:hint="eastAsia" w:ascii="宋体" w:hAnsi="宋体" w:eastAsia="仿宋_GB2312"/>
          <w:color w:val="auto"/>
          <w:sz w:val="24"/>
          <w:szCs w:val="24"/>
          <w:highlight w:val="none"/>
        </w:rPr>
      </w:pPr>
      <w:r>
        <w:rPr>
          <w:rFonts w:hint="eastAsia" w:ascii="宋体" w:hAnsi="宋体" w:eastAsia="仿宋_GB2312"/>
          <w:color w:val="auto"/>
          <w:sz w:val="24"/>
          <w:szCs w:val="24"/>
          <w:highlight w:val="none"/>
        </w:rPr>
        <w:t>鉴于本案已超出本行政机关管辖范围，现根据《中华人民共和国刑事诉讼法》等相关规定，将有关案件材料移送你</w:t>
      </w:r>
      <w:r>
        <w:rPr>
          <w:rFonts w:hint="eastAsia" w:ascii="宋体" w:hAnsi="宋体" w:eastAsia="仿宋_GB2312"/>
          <w:color w:val="auto"/>
          <w:sz w:val="24"/>
          <w:szCs w:val="24"/>
          <w:highlight w:val="none"/>
          <w:lang w:eastAsia="zh-CN"/>
        </w:rPr>
        <w:t>单位</w:t>
      </w:r>
      <w:r>
        <w:rPr>
          <w:rFonts w:hint="eastAsia" w:ascii="宋体" w:hAnsi="宋体" w:eastAsia="仿宋_GB2312"/>
          <w:color w:val="auto"/>
          <w:sz w:val="24"/>
          <w:szCs w:val="24"/>
          <w:highlight w:val="none"/>
        </w:rPr>
        <w:t>，请你</w:t>
      </w:r>
      <w:r>
        <w:rPr>
          <w:rFonts w:hint="eastAsia" w:ascii="宋体" w:hAnsi="宋体" w:eastAsia="仿宋_GB2312"/>
          <w:color w:val="auto"/>
          <w:sz w:val="24"/>
          <w:szCs w:val="24"/>
          <w:highlight w:val="none"/>
          <w:lang w:eastAsia="zh-CN"/>
        </w:rPr>
        <w:t>单位</w:t>
      </w:r>
      <w:r>
        <w:rPr>
          <w:rFonts w:hint="eastAsia" w:ascii="宋体" w:hAnsi="宋体" w:eastAsia="仿宋_GB2312"/>
          <w:color w:val="auto"/>
          <w:sz w:val="24"/>
          <w:szCs w:val="24"/>
          <w:highlight w:val="none"/>
        </w:rPr>
        <w:t>自收到本通知书三日内，</w:t>
      </w:r>
      <w:r>
        <w:rPr>
          <w:rFonts w:hint="eastAsia" w:ascii="宋体" w:hAnsi="宋体" w:eastAsia="仿宋_GB2312"/>
          <w:color w:val="auto"/>
          <w:sz w:val="24"/>
          <w:szCs w:val="24"/>
          <w:highlight w:val="none"/>
          <w:lang w:eastAsia="zh-CN"/>
        </w:rPr>
        <w:t>依法</w:t>
      </w:r>
      <w:r>
        <w:rPr>
          <w:rFonts w:hint="eastAsia" w:ascii="宋体" w:hAnsi="宋体" w:eastAsia="仿宋_GB2312"/>
          <w:color w:val="auto"/>
          <w:sz w:val="24"/>
          <w:szCs w:val="24"/>
          <w:highlight w:val="none"/>
        </w:rPr>
        <w:t>将是否立案的决定书</w:t>
      </w:r>
      <w:r>
        <w:rPr>
          <w:rFonts w:hint="eastAsia" w:ascii="宋体" w:hAnsi="宋体" w:eastAsia="仿宋_GB2312"/>
          <w:color w:val="auto"/>
          <w:sz w:val="24"/>
          <w:szCs w:val="24"/>
          <w:highlight w:val="none"/>
          <w:lang w:eastAsia="zh-CN"/>
        </w:rPr>
        <w:t>面</w:t>
      </w:r>
      <w:r>
        <w:rPr>
          <w:rFonts w:hint="eastAsia" w:ascii="宋体" w:hAnsi="宋体" w:eastAsia="仿宋_GB2312"/>
          <w:color w:val="auto"/>
          <w:sz w:val="24"/>
          <w:szCs w:val="24"/>
          <w:highlight w:val="none"/>
        </w:rPr>
        <w:t>告知我单位。</w:t>
      </w:r>
    </w:p>
    <w:p>
      <w:pPr>
        <w:spacing w:line="560" w:lineRule="exact"/>
        <w:ind w:firstLine="480" w:firstLineChars="200"/>
        <w:rPr>
          <w:rFonts w:hint="eastAsia" w:ascii="宋体" w:hAnsi="宋体" w:eastAsia="仿宋_GB2312"/>
          <w:sz w:val="24"/>
          <w:szCs w:val="24"/>
          <w:highlight w:val="none"/>
        </w:rPr>
      </w:pPr>
      <w:r>
        <w:rPr>
          <w:rFonts w:hint="eastAsia" w:ascii="宋体" w:hAnsi="宋体" w:eastAsia="仿宋_GB2312"/>
          <w:sz w:val="24"/>
          <w:szCs w:val="24"/>
          <w:highlight w:val="none"/>
        </w:rPr>
        <w:t>附：（案件有关材料）</w:t>
      </w:r>
    </w:p>
    <w:p>
      <w:pPr>
        <w:spacing w:line="560" w:lineRule="exact"/>
        <w:ind w:firstLine="480" w:firstLineChars="200"/>
        <w:rPr>
          <w:rFonts w:hint="eastAsia" w:ascii="宋体" w:hAnsi="宋体" w:eastAsia="仿宋_GB2312"/>
          <w:sz w:val="24"/>
          <w:szCs w:val="24"/>
          <w:highlight w:val="none"/>
        </w:rPr>
      </w:pPr>
    </w:p>
    <w:p>
      <w:pPr>
        <w:spacing w:line="440" w:lineRule="exact"/>
        <w:ind w:firstLine="480" w:firstLineChars="200"/>
        <w:rPr>
          <w:rFonts w:hint="eastAsia" w:ascii="宋体" w:hAnsi="宋体" w:eastAsia="仿宋_GB2312"/>
          <w:sz w:val="24"/>
          <w:szCs w:val="24"/>
          <w:highlight w:val="none"/>
          <w:u w:val="single"/>
        </w:rPr>
      </w:pPr>
      <w:r>
        <w:rPr>
          <w:rFonts w:hint="eastAsia" w:ascii="宋体" w:hAnsi="宋体" w:eastAsia="仿宋_GB2312"/>
          <w:sz w:val="24"/>
          <w:szCs w:val="24"/>
          <w:highlight w:val="none"/>
        </w:rPr>
        <w:t>联 系 人：</w:t>
      </w:r>
      <w:r>
        <w:rPr>
          <w:rFonts w:hint="eastAsia" w:ascii="宋体" w:hAnsi="宋体" w:eastAsia="仿宋_GB2312"/>
          <w:sz w:val="24"/>
          <w:szCs w:val="24"/>
          <w:highlight w:val="none"/>
          <w:u w:val="single"/>
        </w:rPr>
        <w:t xml:space="preserve">                                       </w:t>
      </w:r>
    </w:p>
    <w:p>
      <w:pPr>
        <w:tabs>
          <w:tab w:val="left" w:pos="900"/>
        </w:tabs>
        <w:spacing w:line="440" w:lineRule="exact"/>
        <w:ind w:firstLine="480" w:firstLineChars="200"/>
        <w:rPr>
          <w:rFonts w:hint="eastAsia" w:ascii="宋体" w:hAnsi="宋体" w:eastAsia="仿宋_GB2312"/>
          <w:sz w:val="24"/>
          <w:szCs w:val="24"/>
          <w:highlight w:val="none"/>
          <w:u w:val="single"/>
        </w:rPr>
      </w:pPr>
      <w:r>
        <w:rPr>
          <w:rFonts w:hint="eastAsia" w:ascii="宋体" w:hAnsi="宋体" w:eastAsia="仿宋_GB2312"/>
          <w:sz w:val="24"/>
          <w:szCs w:val="24"/>
          <w:highlight w:val="none"/>
        </w:rPr>
        <w:t>联系电话：</w:t>
      </w:r>
      <w:r>
        <w:rPr>
          <w:rFonts w:hint="eastAsia" w:ascii="宋体" w:hAnsi="宋体" w:eastAsia="仿宋_GB2312"/>
          <w:sz w:val="24"/>
          <w:szCs w:val="24"/>
          <w:highlight w:val="none"/>
          <w:u w:val="single"/>
        </w:rPr>
        <w:t xml:space="preserve">                                       </w:t>
      </w:r>
    </w:p>
    <w:p>
      <w:pPr>
        <w:tabs>
          <w:tab w:val="left" w:pos="900"/>
        </w:tabs>
        <w:spacing w:line="440" w:lineRule="exact"/>
        <w:ind w:firstLine="480" w:firstLineChars="200"/>
        <w:rPr>
          <w:rFonts w:hint="eastAsia" w:ascii="宋体" w:hAnsi="宋体" w:eastAsia="仿宋_GB2312"/>
          <w:sz w:val="24"/>
          <w:szCs w:val="24"/>
          <w:highlight w:val="none"/>
        </w:rPr>
      </w:pPr>
      <w:r>
        <w:rPr>
          <w:rFonts w:hint="eastAsia" w:ascii="宋体" w:hAnsi="宋体" w:eastAsia="仿宋_GB2312"/>
          <w:sz w:val="24"/>
          <w:szCs w:val="24"/>
          <w:highlight w:val="none"/>
        </w:rPr>
        <w:t>联系地址：</w:t>
      </w:r>
      <w:r>
        <w:rPr>
          <w:rFonts w:hint="eastAsia" w:ascii="宋体" w:hAnsi="宋体" w:eastAsia="仿宋_GB2312"/>
          <w:sz w:val="24"/>
          <w:szCs w:val="24"/>
          <w:highlight w:val="none"/>
          <w:u w:val="single"/>
        </w:rPr>
        <w:t xml:space="preserve">                                       </w:t>
      </w:r>
    </w:p>
    <w:p>
      <w:pPr>
        <w:spacing w:line="44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p>
    <w:p>
      <w:pPr>
        <w:spacing w:line="440" w:lineRule="exact"/>
        <w:ind w:firstLine="1680" w:firstLineChars="700"/>
        <w:jc w:val="center"/>
        <w:rPr>
          <w:rFonts w:hint="eastAsia" w:ascii="宋体" w:hAnsi="宋体" w:eastAsia="仿宋_GB2312"/>
          <w:sz w:val="24"/>
          <w:szCs w:val="24"/>
          <w:highlight w:val="none"/>
        </w:rPr>
      </w:pPr>
    </w:p>
    <w:p>
      <w:pPr>
        <w:spacing w:line="44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spacing w:line="44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35、延期（分期）缴纳罚款审批表</w:t>
      </w:r>
    </w:p>
    <w:p>
      <w:pPr>
        <w:ind w:right="1280" w:firstLine="240" w:firstLineChars="100"/>
        <w:jc w:val="right"/>
        <w:rPr>
          <w:rFonts w:hint="eastAsia" w:ascii="宋体" w:hAnsi="宋体" w:eastAsia="仿宋_GB2312"/>
          <w:sz w:val="24"/>
          <w:szCs w:val="24"/>
          <w:highlight w:val="none"/>
        </w:rPr>
      </w:pPr>
      <w:r>
        <w:rPr>
          <w:rFonts w:hint="eastAsia" w:ascii="宋体" w:hAnsi="宋体" w:eastAsia="仿宋_GB2312"/>
          <w:sz w:val="24"/>
          <w:szCs w:val="24"/>
          <w:highlight w:val="none"/>
        </w:rPr>
        <w:t>文书编号：</w:t>
      </w:r>
    </w:p>
    <w:tbl>
      <w:tblPr>
        <w:tblStyle w:val="7"/>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1187"/>
        <w:gridCol w:w="1816"/>
        <w:gridCol w:w="1331"/>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41" w:type="dxa"/>
            <w:vMerge w:val="restart"/>
            <w:tcBorders>
              <w:top w:val="single" w:color="auto" w:sz="12" w:space="0"/>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187" w:type="dxa"/>
            <w:tcBorders>
              <w:top w:val="single" w:color="auto" w:sz="12" w:space="0"/>
            </w:tcBorders>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816" w:type="dxa"/>
            <w:tcBorders>
              <w:top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331" w:type="dxa"/>
            <w:tcBorders>
              <w:top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line="480" w:lineRule="exact"/>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1775"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041" w:type="dxa"/>
            <w:vMerge w:val="continue"/>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p>
        </w:tc>
        <w:tc>
          <w:tcPr>
            <w:tcW w:w="118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816" w:type="dxa"/>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331"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1775" w:type="dxa"/>
            <w:tcBorders>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违法事实及处罚决定</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lang w:eastAsia="zh-CN"/>
              </w:rPr>
              <w:t xml:space="preserve"> </w:t>
            </w:r>
            <w:r>
              <w:rPr>
                <w:rFonts w:hint="eastAsia" w:ascii="宋体" w:hAnsi="宋体" w:eastAsia="仿宋_GB2312"/>
                <w:sz w:val="24"/>
                <w:szCs w:val="24"/>
                <w:highlight w:val="none"/>
              </w:rPr>
              <w:t>当事人申请延期（分期）缴纳罚款的理由</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lef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负责人</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0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2041"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109" w:type="dxa"/>
            <w:gridSpan w:val="4"/>
            <w:tcBorders>
              <w:bottom w:val="single" w:color="auto" w:sz="12" w:space="0"/>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bl>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36、延期（分期）缴纳罚款决定书</w:t>
      </w:r>
    </w:p>
    <w:p>
      <w:pPr>
        <w:spacing w:line="440" w:lineRule="exact"/>
        <w:jc w:val="center"/>
        <w:rPr>
          <w:rFonts w:hint="eastAsia" w:ascii="宋体" w:hAnsi="宋体" w:eastAsia="仿宋_GB2312"/>
          <w:color w:val="000000"/>
          <w:sz w:val="28"/>
          <w:szCs w:val="28"/>
          <w:highlight w:val="none"/>
        </w:rPr>
      </w:pPr>
      <w:r>
        <w:rPr>
          <w:rFonts w:hint="eastAsia" w:ascii="宋体" w:hAnsi="宋体" w:eastAsia="黑体"/>
          <w:color w:val="000000"/>
          <w:sz w:val="32"/>
          <w:szCs w:val="32"/>
          <w:highlight w:val="none"/>
        </w:rPr>
        <w:t xml:space="preserve">                   </w:t>
      </w:r>
    </w:p>
    <w:p>
      <w:pPr>
        <w:spacing w:line="360" w:lineRule="exact"/>
        <w:jc w:val="center"/>
        <w:rPr>
          <w:rFonts w:hint="eastAsia" w:ascii="宋体" w:hAnsi="宋体" w:eastAsia="仿宋_GB2312"/>
          <w:sz w:val="24"/>
          <w:szCs w:val="24"/>
          <w:highlight w:val="none"/>
        </w:rPr>
      </w:pPr>
      <w:r>
        <w:rPr>
          <w:rFonts w:hint="eastAsia" w:ascii="宋体" w:hAnsi="宋体" w:eastAsia="仿宋_GB2312"/>
          <w:sz w:val="32"/>
          <w:szCs w:val="32"/>
          <w:highlight w:val="none"/>
        </w:rPr>
        <w:t xml:space="preserve">                           </w:t>
      </w:r>
      <w:r>
        <w:rPr>
          <w:rFonts w:hint="eastAsia" w:ascii="宋体" w:hAnsi="宋体" w:eastAsia="仿宋_GB2312"/>
          <w:sz w:val="24"/>
          <w:szCs w:val="24"/>
          <w:highlight w:val="none"/>
        </w:rPr>
        <w:t xml:space="preserve">  文书编号：</w:t>
      </w:r>
    </w:p>
    <w:p>
      <w:pPr>
        <w:spacing w:line="520" w:lineRule="exact"/>
        <w:rPr>
          <w:rFonts w:hint="eastAsia" w:ascii="宋体" w:hAnsi="宋体" w:eastAsia="仿宋_GB2312"/>
          <w:color w:val="000000"/>
          <w:sz w:val="24"/>
          <w:szCs w:val="24"/>
          <w:highlight w:val="none"/>
        </w:rPr>
      </w:pPr>
      <w:r>
        <w:rPr>
          <w:rFonts w:hint="eastAsia" w:ascii="宋体" w:hAnsi="宋体" w:eastAsia="仿宋_GB2312" w:cs="宋体"/>
          <w:color w:val="000000"/>
          <w:spacing w:val="15"/>
          <w:kern w:val="0"/>
          <w:sz w:val="24"/>
          <w:szCs w:val="24"/>
          <w:highlight w:val="none"/>
          <w:u w:val="single"/>
        </w:rPr>
        <w:t xml:space="preserve">                 </w:t>
      </w:r>
      <w:r>
        <w:rPr>
          <w:rFonts w:hint="eastAsia" w:ascii="宋体" w:hAnsi="宋体" w:eastAsia="仿宋_GB2312"/>
          <w:color w:val="000000"/>
          <w:sz w:val="24"/>
          <w:szCs w:val="24"/>
          <w:highlight w:val="none"/>
        </w:rPr>
        <w:t>：</w:t>
      </w:r>
    </w:p>
    <w:p>
      <w:pPr>
        <w:spacing w:line="520" w:lineRule="exact"/>
        <w:rPr>
          <w:rFonts w:hint="eastAsia" w:ascii="宋体" w:hAnsi="宋体" w:eastAsia="仿宋_GB2312"/>
          <w:sz w:val="24"/>
          <w:szCs w:val="24"/>
          <w:highlight w:val="none"/>
        </w:rPr>
      </w:pPr>
      <w:r>
        <w:rPr>
          <w:rFonts w:hint="eastAsia" w:ascii="宋体" w:hAnsi="宋体" w:eastAsia="仿宋_GB2312"/>
          <w:color w:val="000000"/>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日，本机关对你（单位）下达了行政处罚决定书</w:t>
      </w:r>
      <w:r>
        <w:rPr>
          <w:rFonts w:hint="eastAsia" w:ascii="宋体" w:hAnsi="宋体" w:eastAsia="仿宋_GB2312"/>
          <w:sz w:val="24"/>
          <w:szCs w:val="24"/>
          <w:highlight w:val="none"/>
          <w:u w:val="single"/>
        </w:rPr>
        <w:t xml:space="preserve"> （文书编号） </w:t>
      </w:r>
      <w:r>
        <w:rPr>
          <w:rFonts w:hint="eastAsia" w:ascii="宋体" w:hAnsi="宋体" w:eastAsia="仿宋_GB2312"/>
          <w:sz w:val="24"/>
          <w:szCs w:val="24"/>
          <w:highlight w:val="none"/>
        </w:rPr>
        <w:t>，作出了罚款</w:t>
      </w:r>
      <w:r>
        <w:rPr>
          <w:rFonts w:hint="eastAsia" w:ascii="宋体" w:hAnsi="宋体" w:eastAsia="仿宋_GB2312" w:cs="宋体"/>
          <w:color w:val="000000"/>
          <w:spacing w:val="15"/>
          <w:kern w:val="0"/>
          <w:sz w:val="24"/>
          <w:szCs w:val="24"/>
          <w:highlight w:val="none"/>
          <w:u w:val="single"/>
        </w:rPr>
        <w:t xml:space="preserve">           　　　   </w:t>
      </w:r>
    </w:p>
    <w:p>
      <w:pPr>
        <w:spacing w:line="520" w:lineRule="exact"/>
        <w:rPr>
          <w:rFonts w:hint="eastAsia" w:ascii="宋体" w:hAnsi="宋体" w:eastAsia="仿宋_GB2312"/>
          <w:sz w:val="24"/>
          <w:szCs w:val="24"/>
          <w:highlight w:val="none"/>
        </w:rPr>
      </w:pPr>
      <w:r>
        <w:rPr>
          <w:rFonts w:hint="eastAsia" w:ascii="宋体" w:hAnsi="宋体" w:eastAsia="仿宋_GB2312"/>
          <w:sz w:val="24"/>
          <w:szCs w:val="24"/>
          <w:highlight w:val="none"/>
        </w:rPr>
        <w:t>的决定，现根据你（单位）的申请，本机关依据《中华人民共和国行政处罚法》第</w:t>
      </w:r>
      <w:r>
        <w:rPr>
          <w:rFonts w:hint="eastAsia" w:ascii="宋体" w:hAnsi="宋体" w:eastAsia="仿宋_GB2312"/>
          <w:color w:val="000000" w:themeColor="text1"/>
          <w:sz w:val="24"/>
          <w:szCs w:val="24"/>
          <w:highlight w:val="none"/>
          <w14:textFill>
            <w14:solidFill>
              <w14:schemeClr w14:val="tx1"/>
            </w14:solidFill>
          </w14:textFill>
        </w:rPr>
        <w:t>六十六条第二款</w:t>
      </w:r>
      <w:r>
        <w:rPr>
          <w:rFonts w:hint="eastAsia" w:ascii="宋体" w:hAnsi="宋体" w:eastAsia="仿宋_GB2312"/>
          <w:sz w:val="24"/>
          <w:szCs w:val="24"/>
          <w:highlight w:val="none"/>
        </w:rPr>
        <w:t>的规定，同意你（单位）：</w:t>
      </w:r>
    </w:p>
    <w:p>
      <w:pPr>
        <w:spacing w:line="520" w:lineRule="exact"/>
        <w:rPr>
          <w:rFonts w:hint="eastAsia" w:ascii="宋体" w:hAnsi="宋体" w:eastAsia="仿宋_GB2312"/>
          <w:sz w:val="24"/>
          <w:szCs w:val="24"/>
          <w:highlight w:val="none"/>
        </w:rPr>
      </w:pPr>
      <w:r>
        <w:rPr>
          <w:rFonts w:hint="eastAsia" w:ascii="宋体" w:hAnsi="宋体" w:eastAsia="仿宋_GB2312"/>
          <w:sz w:val="24"/>
          <w:szCs w:val="24"/>
          <w:highlight w:val="none"/>
        </w:rPr>
        <w:t>　　□延期缴纳罚款。延长至</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日止。</w:t>
      </w:r>
    </w:p>
    <w:p>
      <w:pPr>
        <w:spacing w:line="520" w:lineRule="exact"/>
        <w:rPr>
          <w:rFonts w:hint="eastAsia" w:ascii="宋体" w:hAnsi="宋体" w:eastAsia="仿宋_GB2312"/>
          <w:sz w:val="24"/>
          <w:szCs w:val="24"/>
          <w:highlight w:val="none"/>
        </w:rPr>
      </w:pPr>
      <w:r>
        <w:rPr>
          <w:rFonts w:hint="eastAsia" w:ascii="宋体" w:hAnsi="宋体" w:eastAsia="仿宋_GB2312"/>
          <w:sz w:val="24"/>
          <w:szCs w:val="24"/>
          <w:highlight w:val="none"/>
        </w:rPr>
        <w:t>　　□分期缴纳罚款。</w:t>
      </w:r>
      <w:r>
        <w:rPr>
          <w:rFonts w:ascii="宋体" w:hAnsi="宋体" w:eastAsia="仿宋_GB2312"/>
          <w:sz w:val="24"/>
          <w:szCs w:val="24"/>
          <w:highlight w:val="none"/>
        </w:rPr>
        <w:t>于</w:t>
      </w:r>
      <w:r>
        <w:rPr>
          <w:rFonts w:ascii="宋体" w:hAnsi="宋体" w:eastAsia="仿宋_GB2312"/>
          <w:sz w:val="24"/>
          <w:szCs w:val="24"/>
          <w:highlight w:val="none"/>
          <w:u w:val="single"/>
        </w:rPr>
        <w:t xml:space="preserve">      </w:t>
      </w:r>
      <w:r>
        <w:rPr>
          <w:rFonts w:ascii="宋体" w:hAnsi="宋体" w:eastAsia="仿宋_GB2312"/>
          <w:sz w:val="24"/>
          <w:szCs w:val="24"/>
          <w:highlight w:val="none"/>
        </w:rPr>
        <w:t>年</w:t>
      </w:r>
      <w:r>
        <w:rPr>
          <w:rFonts w:ascii="宋体" w:hAnsi="宋体" w:eastAsia="仿宋_GB2312"/>
          <w:sz w:val="24"/>
          <w:szCs w:val="24"/>
          <w:highlight w:val="none"/>
          <w:u w:val="single"/>
        </w:rPr>
        <w:t xml:space="preserve">    </w:t>
      </w:r>
      <w:r>
        <w:rPr>
          <w:rFonts w:ascii="宋体" w:hAnsi="宋体" w:eastAsia="仿宋_GB2312"/>
          <w:sz w:val="24"/>
          <w:szCs w:val="24"/>
          <w:highlight w:val="none"/>
        </w:rPr>
        <w:t>月</w:t>
      </w:r>
      <w:r>
        <w:rPr>
          <w:rFonts w:ascii="宋体" w:hAnsi="宋体" w:eastAsia="仿宋_GB2312"/>
          <w:sz w:val="24"/>
          <w:szCs w:val="24"/>
          <w:highlight w:val="none"/>
          <w:u w:val="single"/>
        </w:rPr>
        <w:t xml:space="preserve"> </w:t>
      </w:r>
      <w:r>
        <w:rPr>
          <w:rFonts w:hint="eastAsia" w:ascii="宋体" w:hAnsi="宋体" w:eastAsia="仿宋_GB2312"/>
          <w:sz w:val="24"/>
          <w:szCs w:val="24"/>
          <w:highlight w:val="none"/>
          <w:u w:val="single"/>
        </w:rPr>
        <w:t xml:space="preserve"> </w:t>
      </w:r>
      <w:r>
        <w:rPr>
          <w:rFonts w:ascii="宋体" w:hAnsi="宋体" w:eastAsia="仿宋_GB2312"/>
          <w:sz w:val="24"/>
          <w:szCs w:val="24"/>
          <w:highlight w:val="none"/>
          <w:u w:val="single"/>
        </w:rPr>
        <w:t xml:space="preserve">  </w:t>
      </w:r>
      <w:r>
        <w:rPr>
          <w:rFonts w:ascii="宋体" w:hAnsi="宋体" w:eastAsia="仿宋_GB2312"/>
          <w:sz w:val="24"/>
          <w:szCs w:val="24"/>
          <w:highlight w:val="none"/>
        </w:rPr>
        <w:t>日前，共分</w:t>
      </w:r>
      <w:r>
        <w:rPr>
          <w:rFonts w:ascii="宋体" w:hAnsi="宋体" w:eastAsia="仿宋_GB2312"/>
          <w:sz w:val="24"/>
          <w:szCs w:val="24"/>
          <w:highlight w:val="none"/>
          <w:u w:val="single"/>
        </w:rPr>
        <w:t xml:space="preserve">    </w:t>
      </w:r>
      <w:r>
        <w:rPr>
          <w:rFonts w:ascii="宋体" w:hAnsi="宋体" w:eastAsia="仿宋_GB2312"/>
          <w:sz w:val="24"/>
          <w:szCs w:val="24"/>
          <w:highlight w:val="none"/>
        </w:rPr>
        <w:t>期缴纳完毕，每期缴纳</w:t>
      </w:r>
      <w:r>
        <w:rPr>
          <w:rFonts w:ascii="宋体" w:hAnsi="宋体" w:eastAsia="仿宋_GB2312"/>
          <w:sz w:val="24"/>
          <w:szCs w:val="24"/>
          <w:highlight w:val="none"/>
          <w:u w:val="single"/>
        </w:rPr>
        <w:t xml:space="preserve">              </w:t>
      </w:r>
      <w:r>
        <w:rPr>
          <w:rFonts w:hint="eastAsia" w:ascii="宋体" w:hAnsi="宋体" w:eastAsia="仿宋_GB2312"/>
          <w:sz w:val="24"/>
          <w:szCs w:val="24"/>
          <w:highlight w:val="none"/>
        </w:rPr>
        <w:t>。</w:t>
      </w:r>
    </w:p>
    <w:p>
      <w:pPr>
        <w:spacing w:line="520" w:lineRule="exact"/>
        <w:rPr>
          <w:rFonts w:hint="eastAsia" w:ascii="宋体" w:hAnsi="宋体" w:eastAsia="仿宋_GB2312"/>
          <w:sz w:val="24"/>
          <w:szCs w:val="24"/>
          <w:highlight w:val="none"/>
        </w:rPr>
      </w:pPr>
      <w:r>
        <w:rPr>
          <w:rFonts w:hint="eastAsia" w:ascii="宋体" w:hAnsi="宋体" w:eastAsia="仿宋_GB2312"/>
          <w:sz w:val="24"/>
          <w:szCs w:val="24"/>
          <w:highlight w:val="none"/>
        </w:rPr>
        <w:t>　　代收机构以本决定书为据，办理收款手续。</w:t>
      </w:r>
    </w:p>
    <w:p>
      <w:pPr>
        <w:spacing w:line="520" w:lineRule="exact"/>
        <w:rPr>
          <w:rFonts w:hint="eastAsia" w:ascii="宋体" w:hAnsi="宋体" w:eastAsia="仿宋_GB2312"/>
          <w:color w:val="000000"/>
          <w:spacing w:val="20"/>
          <w:sz w:val="24"/>
          <w:szCs w:val="24"/>
          <w:highlight w:val="none"/>
        </w:rPr>
      </w:pPr>
      <w:r>
        <w:rPr>
          <w:rFonts w:hint="eastAsia" w:ascii="宋体" w:hAnsi="宋体" w:eastAsia="仿宋_GB2312"/>
          <w:color w:val="000000"/>
          <w:spacing w:val="6"/>
          <w:sz w:val="24"/>
          <w:szCs w:val="24"/>
          <w:highlight w:val="none"/>
        </w:rPr>
        <w:t>　　逾期缴纳罚款的，依据</w:t>
      </w:r>
      <w:r>
        <w:rPr>
          <w:rFonts w:hint="eastAsia" w:ascii="宋体" w:hAnsi="宋体" w:eastAsia="仿宋_GB2312"/>
          <w:sz w:val="24"/>
          <w:szCs w:val="24"/>
          <w:highlight w:val="none"/>
        </w:rPr>
        <w:t>《中华人民共和国行政处罚法》第</w:t>
      </w:r>
      <w:r>
        <w:rPr>
          <w:rFonts w:hint="eastAsia" w:ascii="宋体" w:hAnsi="宋体" w:eastAsia="仿宋_GB2312"/>
          <w:color w:val="000000" w:themeColor="text1"/>
          <w:sz w:val="24"/>
          <w:szCs w:val="24"/>
          <w:highlight w:val="none"/>
          <w14:textFill>
            <w14:solidFill>
              <w14:schemeClr w14:val="tx1"/>
            </w14:solidFill>
          </w14:textFill>
        </w:rPr>
        <w:t>七十二条第（一）</w:t>
      </w:r>
      <w:r>
        <w:rPr>
          <w:rFonts w:hint="eastAsia" w:ascii="宋体" w:hAnsi="宋体" w:eastAsia="仿宋_GB2312"/>
          <w:sz w:val="24"/>
          <w:szCs w:val="24"/>
          <w:highlight w:val="none"/>
        </w:rPr>
        <w:t>项的</w:t>
      </w:r>
      <w:r>
        <w:rPr>
          <w:rFonts w:hint="eastAsia" w:ascii="宋体" w:hAnsi="宋体" w:eastAsia="仿宋_GB2312"/>
          <w:color w:val="000000"/>
          <w:spacing w:val="6"/>
          <w:sz w:val="24"/>
          <w:szCs w:val="24"/>
          <w:highlight w:val="none"/>
        </w:rPr>
        <w:t>规定，每日按逾期缴纳罚款数额的3%加处罚款。</w:t>
      </w:r>
    </w:p>
    <w:p>
      <w:pPr>
        <w:spacing w:line="520" w:lineRule="exact"/>
        <w:ind w:firstLine="1680" w:firstLineChars="700"/>
        <w:jc w:val="center"/>
        <w:rPr>
          <w:rFonts w:hint="eastAsia" w:ascii="宋体" w:hAnsi="宋体" w:eastAsia="仿宋_GB2312"/>
          <w:sz w:val="24"/>
          <w:szCs w:val="24"/>
          <w:highlight w:val="none"/>
        </w:rPr>
      </w:pPr>
    </w:p>
    <w:p>
      <w:pPr>
        <w:spacing w:line="520" w:lineRule="exact"/>
        <w:ind w:firstLine="1680" w:firstLineChars="700"/>
        <w:jc w:val="center"/>
        <w:rPr>
          <w:rFonts w:hint="eastAsia" w:ascii="宋体" w:hAnsi="宋体" w:eastAsia="仿宋_GB2312"/>
          <w:sz w:val="24"/>
          <w:szCs w:val="24"/>
          <w:highlight w:val="none"/>
        </w:rPr>
      </w:pPr>
    </w:p>
    <w:p>
      <w:pPr>
        <w:spacing w:line="52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行政执法机关名称（印章）</w:t>
      </w:r>
    </w:p>
    <w:p>
      <w:pPr>
        <w:spacing w:line="580" w:lineRule="exact"/>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年   月   日</w:t>
      </w:r>
    </w:p>
    <w:p>
      <w:pPr>
        <w:rPr>
          <w:rFonts w:hint="eastAsia" w:ascii="宋体" w:hAnsi="宋体" w:eastAsia="仿宋_GB2312"/>
          <w:sz w:val="24"/>
          <w:szCs w:val="24"/>
          <w:highlight w:val="none"/>
        </w:rPr>
      </w:pPr>
    </w:p>
    <w:p>
      <w:pPr>
        <w:rPr>
          <w:rFonts w:hint="eastAsia" w:ascii="宋体" w:hAnsi="宋体" w:eastAsia="仿宋_GB2312"/>
          <w:sz w:val="24"/>
          <w:szCs w:val="24"/>
          <w:highlight w:val="none"/>
        </w:rPr>
      </w:pPr>
    </w:p>
    <w:p>
      <w:pPr>
        <w:rPr>
          <w:rFonts w:hint="eastAsia" w:ascii="宋体" w:hAnsi="宋体" w:eastAsia="仿宋_GB2312"/>
          <w:sz w:val="24"/>
          <w:szCs w:val="24"/>
          <w:highlight w:val="none"/>
        </w:rPr>
      </w:pPr>
    </w:p>
    <w:p>
      <w:pPr>
        <w:rPr>
          <w:rFonts w:hint="eastAsia" w:ascii="宋体" w:hAnsi="宋体" w:eastAsia="仿宋_GB2312"/>
          <w:sz w:val="24"/>
          <w:szCs w:val="24"/>
          <w:highlight w:val="none"/>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 xml:space="preserve"> 37、没收物品处理审批表</w:t>
      </w:r>
    </w:p>
    <w:p>
      <w:pPr>
        <w:spacing w:line="360" w:lineRule="exact"/>
        <w:jc w:val="center"/>
        <w:rPr>
          <w:rFonts w:hint="eastAsia" w:ascii="宋体" w:hAnsi="宋体" w:eastAsia="方正大标宋简体"/>
          <w:bCs/>
          <w:sz w:val="24"/>
          <w:szCs w:val="24"/>
          <w:highlight w:val="none"/>
        </w:rPr>
      </w:pPr>
      <w:r>
        <w:rPr>
          <w:rFonts w:hint="eastAsia" w:ascii="宋体" w:hAnsi="宋体" w:eastAsia="仿宋_GB2312"/>
          <w:sz w:val="32"/>
          <w:highlight w:val="none"/>
        </w:rPr>
        <w:t xml:space="preserve">  </w:t>
      </w:r>
      <w:r>
        <w:rPr>
          <w:rFonts w:hint="eastAsia" w:ascii="宋体" w:hAnsi="宋体" w:eastAsia="仿宋_GB2312"/>
          <w:sz w:val="32"/>
          <w:highlight w:val="none"/>
          <w:lang w:val="en-US" w:eastAsia="zh-CN"/>
        </w:rPr>
        <w:t xml:space="preserve">                      </w:t>
      </w:r>
      <w:r>
        <w:rPr>
          <w:rFonts w:hint="eastAsia" w:ascii="宋体" w:hAnsi="宋体" w:eastAsia="仿宋_GB2312"/>
          <w:sz w:val="32"/>
          <w:highlight w:val="none"/>
        </w:rPr>
        <w:t xml:space="preserve">  </w:t>
      </w:r>
      <w:r>
        <w:rPr>
          <w:rFonts w:hint="eastAsia" w:ascii="宋体" w:hAnsi="宋体" w:eastAsia="仿宋_GB2312"/>
          <w:sz w:val="24"/>
          <w:szCs w:val="24"/>
          <w:highlight w:val="none"/>
        </w:rPr>
        <w:t>文书编号：</w:t>
      </w:r>
    </w:p>
    <w:tbl>
      <w:tblPr>
        <w:tblStyle w:val="7"/>
        <w:tblpPr w:leftFromText="180" w:rightFromText="180" w:vertAnchor="page" w:horzAnchor="page" w:tblpX="1192" w:tblpY="310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1187"/>
        <w:gridCol w:w="1396"/>
        <w:gridCol w:w="1500"/>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41" w:type="dxa"/>
            <w:vMerge w:val="restart"/>
            <w:tcBorders>
              <w:top w:val="single" w:color="auto" w:sz="12" w:space="0"/>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当 事 人</w:t>
            </w:r>
          </w:p>
        </w:tc>
        <w:tc>
          <w:tcPr>
            <w:tcW w:w="1187" w:type="dxa"/>
            <w:tcBorders>
              <w:top w:val="single" w:color="auto" w:sz="12" w:space="0"/>
            </w:tcBorders>
            <w:noWrap w:val="0"/>
            <w:vAlign w:val="top"/>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姓名或</w:t>
            </w:r>
          </w:p>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r>
              <w:rPr>
                <w:rFonts w:hint="eastAsia" w:ascii="宋体" w:hAnsi="宋体" w:eastAsia="仿宋_GB2312"/>
                <w:sz w:val="24"/>
                <w:szCs w:val="24"/>
                <w:highlight w:val="none"/>
              </w:rPr>
              <w:t>名  称</w:t>
            </w:r>
          </w:p>
        </w:tc>
        <w:tc>
          <w:tcPr>
            <w:tcW w:w="1396" w:type="dxa"/>
            <w:tcBorders>
              <w:top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500" w:type="dxa"/>
            <w:tcBorders>
              <w:top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  定</w:t>
            </w:r>
          </w:p>
          <w:p>
            <w:pPr>
              <w:keepNext w:val="0"/>
              <w:keepLines w:val="0"/>
              <w:suppressLineNumbers w:val="0"/>
              <w:spacing w:before="0" w:beforeAutospacing="0" w:after="0" w:afterAutospacing="0" w:line="480" w:lineRule="exact"/>
              <w:ind w:left="-105" w:leftChars="-50" w:right="-105" w:rightChars="-5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代表人</w:t>
            </w:r>
          </w:p>
        </w:tc>
        <w:tc>
          <w:tcPr>
            <w:tcW w:w="2096" w:type="dxa"/>
            <w:tcBorders>
              <w:top w:val="single" w:color="auto" w:sz="12" w:space="0"/>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2041" w:type="dxa"/>
            <w:vMerge w:val="continue"/>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p>
        </w:tc>
        <w:tc>
          <w:tcPr>
            <w:tcW w:w="1187"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住址或</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地  址</w:t>
            </w:r>
          </w:p>
        </w:tc>
        <w:tc>
          <w:tcPr>
            <w:tcW w:w="1396" w:type="dxa"/>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c>
          <w:tcPr>
            <w:tcW w:w="1500" w:type="dxa"/>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联  系</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电  话</w:t>
            </w:r>
          </w:p>
        </w:tc>
        <w:tc>
          <w:tcPr>
            <w:tcW w:w="2096" w:type="dxa"/>
            <w:tcBorders>
              <w:right w:val="single" w:color="auto" w:sz="12" w:space="0"/>
            </w:tcBorders>
            <w:noWrap w:val="0"/>
            <w:vAlign w:val="top"/>
          </w:tcPr>
          <w:p>
            <w:pPr>
              <w:keepNext w:val="0"/>
              <w:keepLines w:val="0"/>
              <w:suppressLineNumbers w:val="0"/>
              <w:spacing w:before="0" w:beforeAutospacing="0" w:after="0" w:afterAutospacing="0" w:line="480" w:lineRule="exact"/>
              <w:ind w:left="0" w:right="0"/>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违法事实及处罚决定</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没收物品及数量</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处理方式</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承办人意见</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承办机构</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法制机构</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审核意见</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041" w:type="dxa"/>
            <w:tcBorders>
              <w:left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行政执法机关</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负责人</w:t>
            </w:r>
          </w:p>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意   见</w:t>
            </w:r>
          </w:p>
        </w:tc>
        <w:tc>
          <w:tcPr>
            <w:tcW w:w="6179" w:type="dxa"/>
            <w:gridSpan w:val="4"/>
            <w:tcBorders>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2041"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line="480" w:lineRule="exac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179" w:type="dxa"/>
            <w:gridSpan w:val="4"/>
            <w:tcBorders>
              <w:bottom w:val="single" w:color="auto" w:sz="12" w:space="0"/>
              <w:right w:val="single" w:color="auto" w:sz="12" w:space="0"/>
            </w:tcBorders>
            <w:noWrap w:val="0"/>
            <w:vAlign w:val="bottom"/>
          </w:tcPr>
          <w:p>
            <w:pPr>
              <w:keepNext w:val="0"/>
              <w:keepLines w:val="0"/>
              <w:suppressLineNumbers w:val="0"/>
              <w:spacing w:before="0" w:beforeAutospacing="0" w:after="0" w:afterAutospacing="0" w:line="480" w:lineRule="exact"/>
              <w:ind w:left="0" w:right="0"/>
              <w:jc w:val="right"/>
              <w:rPr>
                <w:rFonts w:hint="eastAsia" w:ascii="宋体" w:hAnsi="宋体" w:eastAsia="仿宋_GB2312"/>
                <w:sz w:val="24"/>
                <w:szCs w:val="24"/>
                <w:highlight w:val="none"/>
              </w:rPr>
            </w:pPr>
          </w:p>
        </w:tc>
      </w:tr>
    </w:tbl>
    <w:p>
      <w:pPr>
        <w:spacing w:line="580" w:lineRule="exact"/>
        <w:rPr>
          <w:rFonts w:hint="eastAsia" w:ascii="宋体" w:hAnsi="宋体" w:eastAsia="仿宋_GB2312"/>
          <w:sz w:val="32"/>
          <w:szCs w:val="32"/>
          <w:highlight w:val="none"/>
        </w:rPr>
      </w:pPr>
      <w:r>
        <w:rPr>
          <w:rFonts w:hint="eastAsia" w:ascii="宋体" w:hAnsi="宋体" w:eastAsia="仿宋_GB2312"/>
          <w:b/>
          <w:sz w:val="32"/>
          <w:szCs w:val="32"/>
          <w:highlight w:val="none"/>
          <w:lang w:val="en-US" w:eastAsia="zh-CN"/>
        </w:rPr>
        <w:t xml:space="preserve">       </w:t>
      </w:r>
      <w:r>
        <w:rPr>
          <w:rFonts w:hint="eastAsia" w:ascii="方正小标宋简体" w:hAnsi="方正小标宋简体" w:eastAsia="方正小标宋简体" w:cs="方正小标宋简体"/>
          <w:sz w:val="36"/>
          <w:szCs w:val="36"/>
          <w:highlight w:val="none"/>
          <w:lang w:val="en-US" w:eastAsia="zh-CN"/>
        </w:rPr>
        <w:t xml:space="preserve">  38、涉案物品清单　　</w:t>
      </w:r>
    </w:p>
    <w:tbl>
      <w:tblPr>
        <w:tblStyle w:val="7"/>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980"/>
        <w:gridCol w:w="1980"/>
        <w:gridCol w:w="1645"/>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序  号</w:t>
            </w: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名　　称</w:t>
            </w: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规　　格</w:t>
            </w: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数　　量</w:t>
            </w: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黑体"/>
                <w:sz w:val="24"/>
                <w:szCs w:val="24"/>
                <w:highlight w:val="none"/>
              </w:rPr>
            </w:pPr>
            <w:r>
              <w:rPr>
                <w:rFonts w:hint="eastAsia" w:ascii="宋体" w:hAnsi="宋体" w:eastAsia="黑体"/>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1443"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仿宋_GB2312"/>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980"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645"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c>
          <w:tcPr>
            <w:tcW w:w="1488" w:type="dxa"/>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sz w:val="24"/>
                <w:szCs w:val="24"/>
                <w:highlight w:val="none"/>
              </w:rPr>
            </w:pPr>
          </w:p>
        </w:tc>
      </w:tr>
    </w:tbl>
    <w:p>
      <w:pPr>
        <w:spacing w:line="500" w:lineRule="exact"/>
        <w:rPr>
          <w:rFonts w:hint="eastAsia" w:ascii="宋体" w:hAnsi="宋体" w:eastAsia="仿宋_GB2312"/>
          <w:sz w:val="24"/>
          <w:szCs w:val="24"/>
          <w:highlight w:val="none"/>
        </w:rPr>
      </w:pPr>
    </w:p>
    <w:p>
      <w:pPr>
        <w:spacing w:line="500" w:lineRule="exact"/>
        <w:rPr>
          <w:rFonts w:hint="eastAsia" w:ascii="宋体" w:hAnsi="宋体" w:eastAsia="仿宋_GB2312"/>
          <w:sz w:val="24"/>
          <w:szCs w:val="24"/>
          <w:highlight w:val="none"/>
        </w:rPr>
      </w:pPr>
      <w:r>
        <w:rPr>
          <w:rFonts w:hint="eastAsia" w:ascii="宋体" w:hAnsi="宋体" w:eastAsia="仿宋_GB2312"/>
          <w:sz w:val="24"/>
          <w:szCs w:val="24"/>
          <w:highlight w:val="none"/>
        </w:rPr>
        <w:t>当 事 人：</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年</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月</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日</w:t>
      </w:r>
    </w:p>
    <w:p>
      <w:pPr>
        <w:spacing w:line="500" w:lineRule="exact"/>
        <w:rPr>
          <w:rFonts w:hint="eastAsia" w:ascii="宋体" w:hAnsi="宋体" w:eastAsia="仿宋_GB2312"/>
          <w:sz w:val="24"/>
          <w:szCs w:val="24"/>
          <w:highlight w:val="none"/>
          <w:u w:val="single"/>
        </w:rPr>
      </w:pPr>
      <w:r>
        <w:rPr>
          <w:rFonts w:hint="eastAsia" w:ascii="宋体" w:hAnsi="宋体" w:eastAsia="仿宋_GB2312"/>
          <w:sz w:val="24"/>
          <w:szCs w:val="24"/>
          <w:highlight w:val="none"/>
        </w:rPr>
        <w:t>执法人员：</w:t>
      </w: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执法证号:</w:t>
      </w:r>
      <w:r>
        <w:rPr>
          <w:rFonts w:hint="eastAsia" w:ascii="宋体" w:hAnsi="宋体" w:eastAsia="仿宋_GB2312"/>
          <w:sz w:val="24"/>
          <w:szCs w:val="24"/>
          <w:highlight w:val="none"/>
          <w:u w:val="single"/>
        </w:rPr>
        <w:t xml:space="preserve">                </w:t>
      </w:r>
    </w:p>
    <w:p>
      <w:pPr>
        <w:spacing w:line="500" w:lineRule="exact"/>
        <w:ind w:firstLine="1200" w:firstLineChars="500"/>
        <w:rPr>
          <w:rFonts w:hint="eastAsia" w:ascii="宋体" w:hAnsi="宋体" w:eastAsia="仿宋_GB2312"/>
          <w:sz w:val="24"/>
          <w:szCs w:val="24"/>
          <w:highlight w:val="none"/>
          <w:u w:val="single"/>
        </w:rPr>
      </w:pPr>
      <w:r>
        <w:rPr>
          <w:rFonts w:hint="eastAsia" w:ascii="宋体" w:hAnsi="宋体" w:eastAsia="仿宋_GB2312"/>
          <w:sz w:val="24"/>
          <w:szCs w:val="24"/>
          <w:highlight w:val="none"/>
          <w:u w:val="single"/>
        </w:rPr>
        <w:t xml:space="preserve">                </w:t>
      </w:r>
      <w:r>
        <w:rPr>
          <w:rFonts w:hint="eastAsia" w:ascii="宋体" w:hAnsi="宋体" w:eastAsia="仿宋_GB2312"/>
          <w:sz w:val="24"/>
          <w:szCs w:val="24"/>
          <w:highlight w:val="none"/>
        </w:rPr>
        <w:t xml:space="preserve">             </w:t>
      </w:r>
      <w:r>
        <w:rPr>
          <w:rFonts w:hint="eastAsia" w:ascii="宋体" w:hAnsi="宋体" w:eastAsia="仿宋_GB2312"/>
          <w:sz w:val="24"/>
          <w:szCs w:val="24"/>
          <w:highlight w:val="none"/>
          <w:u w:val="single"/>
        </w:rPr>
        <w:t xml:space="preserve">                </w:t>
      </w:r>
    </w:p>
    <w:p>
      <w:pPr>
        <w:tabs>
          <w:tab w:val="right" w:pos="8844"/>
        </w:tabs>
        <w:spacing w:line="400" w:lineRule="exact"/>
        <w:rPr>
          <w:rFonts w:hint="eastAsia" w:ascii="宋体" w:hAnsi="宋体" w:eastAsia="仿宋_GB2312"/>
          <w:sz w:val="24"/>
          <w:szCs w:val="24"/>
          <w:highlight w:val="none"/>
        </w:rPr>
      </w:pPr>
      <w:r>
        <w:rPr>
          <w:rFonts w:hint="eastAsia" w:ascii="宋体" w:hAnsi="宋体" w:eastAsia="仿宋_GB2312"/>
          <w:sz w:val="24"/>
          <w:szCs w:val="24"/>
          <w:highlight w:val="none"/>
        </w:rPr>
        <w:t xml:space="preserve">   　</w:t>
      </w:r>
      <w:r>
        <w:rPr>
          <w:rFonts w:ascii="宋体" w:hAnsi="宋体" w:eastAsia="仿宋_GB2312"/>
          <w:sz w:val="24"/>
          <w:szCs w:val="24"/>
          <w:highlight w:val="none"/>
        </w:rPr>
        <w:tab/>
      </w:r>
    </w:p>
    <w:p>
      <w:pPr>
        <w:spacing w:line="400" w:lineRule="exact"/>
        <w:ind w:firstLine="1680" w:firstLineChars="700"/>
        <w:jc w:val="center"/>
        <w:rPr>
          <w:rFonts w:hint="eastAsia" w:ascii="宋体" w:hAnsi="宋体" w:eastAsia="仿宋_GB2312"/>
          <w:sz w:val="24"/>
          <w:szCs w:val="24"/>
          <w:highlight w:val="none"/>
        </w:rPr>
      </w:pPr>
      <w:r>
        <w:rPr>
          <w:rFonts w:hint="eastAsia" w:ascii="宋体" w:hAnsi="宋体" w:eastAsia="仿宋_GB2312"/>
          <w:sz w:val="24"/>
          <w:szCs w:val="24"/>
          <w:highlight w:val="none"/>
        </w:rPr>
        <w:t xml:space="preserve">    　 行政执法机关名称（印章）</w:t>
      </w:r>
    </w:p>
    <w:p>
      <w:pPr>
        <w:spacing w:line="400" w:lineRule="exact"/>
        <w:ind w:firstLine="1680" w:firstLineChars="700"/>
        <w:jc w:val="center"/>
        <w:rPr>
          <w:rFonts w:hint="eastAsia" w:ascii="宋体" w:hAnsi="宋体" w:eastAsia="仿宋_GB2312"/>
          <w:sz w:val="32"/>
          <w:highlight w:val="none"/>
        </w:rPr>
      </w:pPr>
      <w:r>
        <w:rPr>
          <w:rFonts w:hint="eastAsia" w:ascii="宋体" w:hAnsi="宋体" w:eastAsia="仿宋_GB2312"/>
          <w:sz w:val="24"/>
          <w:szCs w:val="24"/>
          <w:highlight w:val="none"/>
        </w:rPr>
        <w:t xml:space="preserve"> 　　年   月   日</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宋体" w:hAnsi="宋体" w:eastAsia="方正大标宋简体"/>
          <w:bCs/>
          <w:color w:val="FF0000"/>
          <w:sz w:val="44"/>
          <w:highlight w:val="none"/>
          <w:lang w:eastAsia="zh-CN"/>
        </w:rPr>
      </w:pPr>
      <w:r>
        <w:rPr>
          <w:rFonts w:hint="eastAsia" w:ascii="方正小标宋简体" w:hAnsi="方正小标宋简体" w:eastAsia="方正小标宋简体" w:cs="方正小标宋简体"/>
          <w:sz w:val="36"/>
          <w:szCs w:val="36"/>
          <w:highlight w:val="none"/>
          <w:lang w:val="en-US" w:eastAsia="zh-CN"/>
        </w:rPr>
        <w:t>39、行政执法机关名称</w:t>
      </w:r>
      <w:r>
        <w:rPr>
          <w:rFonts w:hint="eastAsia" w:ascii="宋体" w:hAnsi="宋体" w:eastAsia="方正大标宋简体"/>
          <w:bCs/>
          <w:color w:val="auto"/>
          <w:sz w:val="32"/>
          <w:szCs w:val="20"/>
          <w:highlight w:val="none"/>
          <w:lang w:eastAsia="zh-CN"/>
        </w:rPr>
        <w:t>（印章）</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宋体" w:hAnsi="宋体" w:eastAsia="方正大标宋简体"/>
          <w:bCs/>
          <w:sz w:val="44"/>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 xml:space="preserve">送达回证 </w:t>
      </w:r>
      <w:r>
        <w:rPr>
          <w:rFonts w:hint="eastAsia" w:ascii="宋体" w:hAnsi="宋体" w:eastAsia="方正大标宋简体"/>
          <w:bCs/>
          <w:sz w:val="44"/>
          <w:highlight w:val="none"/>
          <w:lang w:val="en-US" w:eastAsia="zh-CN"/>
        </w:rPr>
        <w:t xml:space="preserve">       </w:t>
      </w:r>
    </w:p>
    <w:p>
      <w:pPr>
        <w:spacing w:line="0" w:lineRule="atLeast"/>
        <w:rPr>
          <w:rFonts w:hint="eastAsia" w:ascii="宋体" w:hAnsi="宋体"/>
          <w:highlight w:val="none"/>
        </w:rPr>
      </w:pPr>
    </w:p>
    <w:tbl>
      <w:tblPr>
        <w:tblStyle w:val="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6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2249" w:type="dxa"/>
            <w:tcBorders>
              <w:top w:val="single" w:color="auto" w:sz="12" w:space="0"/>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送达文书</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名称及编号</w:t>
            </w:r>
          </w:p>
        </w:tc>
        <w:tc>
          <w:tcPr>
            <w:tcW w:w="6811" w:type="dxa"/>
            <w:tcBorders>
              <w:top w:val="single" w:color="auto" w:sz="12" w:space="0"/>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受送达人</w:t>
            </w:r>
          </w:p>
        </w:tc>
        <w:tc>
          <w:tcPr>
            <w:tcW w:w="6811" w:type="dxa"/>
            <w:tcBorders>
              <w:right w:val="single" w:color="auto" w:sz="12" w:space="0"/>
            </w:tcBorders>
            <w:noWrap w:val="0"/>
            <w:vAlign w:val="bottom"/>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送达地址</w:t>
            </w:r>
          </w:p>
        </w:tc>
        <w:tc>
          <w:tcPr>
            <w:tcW w:w="6811" w:type="dxa"/>
            <w:tcBorders>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送达方式</w:t>
            </w:r>
          </w:p>
        </w:tc>
        <w:tc>
          <w:tcPr>
            <w:tcW w:w="6811" w:type="dxa"/>
            <w:tcBorders>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1"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受送达人</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签名或盖章</w:t>
            </w:r>
          </w:p>
        </w:tc>
        <w:tc>
          <w:tcPr>
            <w:tcW w:w="6811" w:type="dxa"/>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p>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送达人签字</w:t>
            </w:r>
          </w:p>
        </w:tc>
        <w:tc>
          <w:tcPr>
            <w:tcW w:w="6811" w:type="dxa"/>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代收人及</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代收理由</w:t>
            </w:r>
          </w:p>
        </w:tc>
        <w:tc>
          <w:tcPr>
            <w:tcW w:w="6811" w:type="dxa"/>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2249" w:type="dxa"/>
            <w:tcBorders>
              <w:left w:val="single" w:color="auto" w:sz="12" w:space="0"/>
            </w:tcBorders>
            <w:noWrap w:val="0"/>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见证人</w:t>
            </w:r>
          </w:p>
          <w:p>
            <w:pPr>
              <w:keepNext w:val="0"/>
              <w:keepLines w:val="0"/>
              <w:suppressLineNumbers w:val="0"/>
              <w:spacing w:before="0" w:beforeAutospacing="0" w:after="0" w:afterAutospacing="0" w:line="0" w:lineRule="atLeast"/>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签名或盖章</w:t>
            </w:r>
          </w:p>
        </w:tc>
        <w:tc>
          <w:tcPr>
            <w:tcW w:w="6811" w:type="dxa"/>
            <w:tcBorders>
              <w:right w:val="single" w:color="auto" w:sz="12" w:space="0"/>
            </w:tcBorders>
            <w:noWrap w:val="0"/>
            <w:vAlign w:val="bottom"/>
          </w:tcPr>
          <w:p>
            <w:pPr>
              <w:keepNext w:val="0"/>
              <w:keepLines w:val="0"/>
              <w:suppressLineNumbers w:val="0"/>
              <w:spacing w:before="0" w:beforeAutospacing="0" w:after="0" w:afterAutospacing="0"/>
              <w:ind w:left="0" w:right="0"/>
              <w:jc w:val="right"/>
              <w:rPr>
                <w:rFonts w:hint="eastAsia" w:ascii="宋体" w:hAnsi="宋体" w:eastAsia="仿宋_GB2312"/>
                <w:sz w:val="24"/>
                <w:szCs w:val="24"/>
                <w:highlight w:val="none"/>
              </w:rPr>
            </w:pPr>
            <w:r>
              <w:rPr>
                <w:rFonts w:hint="eastAsia" w:ascii="宋体" w:hAnsi="宋体" w:eastAsia="仿宋_GB2312"/>
                <w:sz w:val="24"/>
                <w:szCs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2" w:hRule="atLeast"/>
          <w:jc w:val="center"/>
        </w:trPr>
        <w:tc>
          <w:tcPr>
            <w:tcW w:w="2249" w:type="dxa"/>
            <w:tcBorders>
              <w:left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r>
              <w:rPr>
                <w:rFonts w:hint="eastAsia" w:ascii="宋体" w:hAnsi="宋体" w:eastAsia="仿宋_GB2312"/>
                <w:sz w:val="24"/>
                <w:szCs w:val="24"/>
                <w:highlight w:val="none"/>
              </w:rPr>
              <w:t>备  注</w:t>
            </w:r>
          </w:p>
        </w:tc>
        <w:tc>
          <w:tcPr>
            <w:tcW w:w="6811" w:type="dxa"/>
            <w:tcBorders>
              <w:bottom w:val="single" w:color="auto" w:sz="12" w:space="0"/>
              <w:right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仿宋_GB2312"/>
                <w:sz w:val="24"/>
                <w:szCs w:val="24"/>
                <w:highlight w:val="none"/>
              </w:rPr>
            </w:pPr>
          </w:p>
        </w:tc>
      </w:tr>
    </w:tbl>
    <w:p>
      <w:pPr>
        <w:spacing w:line="84" w:lineRule="exact"/>
        <w:rPr>
          <w:rFonts w:ascii="Times New Roman" w:hAnsi="Times New Roman" w:eastAsia="Times New Roman"/>
          <w:color w:val="000000" w:themeColor="text1"/>
          <w:highlight w:val="none"/>
          <w14:textFill>
            <w14:solidFill>
              <w14:schemeClr w14:val="tx1"/>
            </w14:solidFill>
          </w14:textFill>
        </w:rPr>
      </w:pPr>
    </w:p>
    <w:p>
      <w:pPr>
        <w:spacing w:line="130" w:lineRule="exact"/>
        <w:rPr>
          <w:rFonts w:ascii="Times New Roman" w:hAnsi="Times New Roman" w:eastAsia="Times New Roman"/>
          <w:highlight w:val="none"/>
        </w:rPr>
      </w:pP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40、卷内备考表</w:t>
      </w:r>
    </w:p>
    <w:tbl>
      <w:tblPr>
        <w:tblStyle w:val="8"/>
        <w:tblpPr w:leftFromText="180" w:rightFromText="180" w:vertAnchor="text" w:horzAnchor="page" w:tblpXSpec="center" w:tblpY="313"/>
        <w:tblOverlap w:val="never"/>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5" w:hRule="atLeast"/>
          <w:jc w:val="center"/>
        </w:trPr>
        <w:tc>
          <w:tcPr>
            <w:tcW w:w="8020" w:type="dxa"/>
          </w:tcPr>
          <w:p>
            <w:pPr>
              <w:keepNext w:val="0"/>
              <w:keepLines w:val="0"/>
              <w:suppressLineNumbers w:val="0"/>
              <w:spacing w:before="0" w:beforeAutospacing="0" w:after="0" w:afterAutospacing="0" w:line="320" w:lineRule="exact"/>
              <w:ind w:left="820" w:right="0"/>
              <w:rPr>
                <w:rFonts w:hint="default" w:ascii="宋体" w:hAnsi="宋体" w:eastAsia="宋体"/>
                <w:color w:val="FF0000"/>
                <w:sz w:val="24"/>
                <w:szCs w:val="24"/>
                <w:highlight w:val="none"/>
              </w:rPr>
            </w:pPr>
            <w:bookmarkStart w:id="0" w:name="page25"/>
            <w:bookmarkEnd w:id="0"/>
          </w:p>
          <w:p>
            <w:pPr>
              <w:keepNext w:val="0"/>
              <w:keepLines w:val="0"/>
              <w:suppressLineNumbers w:val="0"/>
              <w:spacing w:before="0" w:beforeAutospacing="0" w:after="0" w:afterAutospacing="0" w:line="320" w:lineRule="exact"/>
              <w:ind w:left="820" w:right="0"/>
              <w:rPr>
                <w:rFonts w:hint="eastAsia" w:ascii="方正仿宋简体" w:hAnsi="方正仿宋简体" w:eastAsia="方正仿宋简体" w:cs="方正仿宋简体"/>
                <w:color w:val="FF0000"/>
                <w:sz w:val="24"/>
                <w:szCs w:val="24"/>
                <w:highlight w:val="none"/>
              </w:rPr>
            </w:pPr>
          </w:p>
          <w:p>
            <w:pPr>
              <w:keepNext w:val="0"/>
              <w:keepLines w:val="0"/>
              <w:suppressLineNumbers w:val="0"/>
              <w:spacing w:before="0" w:beforeAutospacing="0" w:after="0" w:afterAutospacing="0" w:line="320" w:lineRule="exact"/>
              <w:ind w:left="820" w:right="0"/>
              <w:rPr>
                <w:rFonts w:hint="eastAsia" w:ascii="方正仿宋简体" w:hAnsi="方正仿宋简体" w:eastAsia="方正仿宋简体" w:cs="方正仿宋简体"/>
                <w:color w:val="auto"/>
                <w:sz w:val="24"/>
                <w:szCs w:val="24"/>
                <w:highlight w:val="none"/>
              </w:rPr>
            </w:pPr>
            <w:r>
              <w:rPr>
                <w:rFonts w:hint="eastAsia" w:ascii="方正仿宋简体" w:hAnsi="方正仿宋简体" w:eastAsia="方正仿宋简体" w:cs="方正仿宋简体"/>
                <w:color w:val="auto"/>
                <w:sz w:val="24"/>
                <w:szCs w:val="24"/>
                <w:highlight w:val="none"/>
              </w:rPr>
              <w:t>本卷情况说明：</w:t>
            </w:r>
          </w:p>
          <w:p>
            <w:pPr>
              <w:keepNext w:val="0"/>
              <w:keepLines w:val="0"/>
              <w:suppressLineNumbers w:val="0"/>
              <w:spacing w:before="0" w:beforeAutospacing="0" w:after="0" w:afterAutospacing="0" w:line="233" w:lineRule="exact"/>
              <w:ind w:left="0" w:right="0"/>
              <w:rPr>
                <w:rFonts w:hint="eastAsia" w:ascii="方正仿宋简体" w:hAnsi="方正仿宋简体" w:eastAsia="方正仿宋简体" w:cs="方正仿宋简体"/>
                <w:color w:val="auto"/>
                <w:sz w:val="24"/>
                <w:szCs w:val="24"/>
                <w:highlight w:val="none"/>
              </w:rPr>
            </w:pPr>
          </w:p>
          <w:p>
            <w:pPr>
              <w:keepNext w:val="0"/>
              <w:keepLines w:val="0"/>
              <w:suppressLineNumbers w:val="0"/>
              <w:spacing w:before="0" w:beforeAutospacing="0" w:after="0" w:afterAutospacing="0" w:line="320" w:lineRule="exact"/>
              <w:ind w:left="820" w:right="0"/>
              <w:rPr>
                <w:rFonts w:hint="eastAsia" w:ascii="方正仿宋简体" w:hAnsi="方正仿宋简体" w:eastAsia="方正仿宋简体" w:cs="方正仿宋简体"/>
                <w:color w:val="auto"/>
                <w:sz w:val="24"/>
                <w:szCs w:val="24"/>
                <w:highlight w:val="none"/>
              </w:rPr>
            </w:pPr>
            <w:r>
              <w:rPr>
                <w:rFonts w:hint="eastAsia" w:ascii="方正仿宋简体" w:hAnsi="方正仿宋简体" w:eastAsia="方正仿宋简体" w:cs="方正仿宋简体"/>
                <w:color w:val="auto"/>
                <w:sz w:val="24"/>
                <w:szCs w:val="24"/>
                <w:highlight w:val="none"/>
              </w:rPr>
              <w:t>缺损、修改、补充、部分灭失等情况。</w:t>
            </w: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r>
              <w:rPr>
                <w:rFonts w:hint="eastAsia" w:ascii="方正仿宋简体" w:hAnsi="方正仿宋简体" w:eastAsia="方正仿宋简体" w:cs="方正仿宋简体"/>
                <w:bCs/>
                <w:color w:val="FF0000"/>
                <w:sz w:val="24"/>
                <w:szCs w:val="24"/>
                <w:highlight w:val="none"/>
                <w:vertAlign w:val="baseline"/>
                <w:lang w:val="en-US" w:eastAsia="zh-CN"/>
              </w:rPr>
              <w:t xml:space="preserve">             </w:t>
            </w: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bCs/>
                <w:color w:val="FF0000"/>
                <w:sz w:val="24"/>
                <w:szCs w:val="24"/>
                <w:highlight w:val="none"/>
                <w:vertAlign w:val="baseline"/>
                <w:lang w:val="en-US" w:eastAsia="zh-CN"/>
              </w:rPr>
            </w:pPr>
          </w:p>
          <w:p>
            <w:pPr>
              <w:keepNext w:val="0"/>
              <w:keepLines w:val="0"/>
              <w:suppressLineNumbers w:val="0"/>
              <w:bidi w:val="0"/>
              <w:spacing w:before="0" w:beforeAutospacing="0" w:after="0" w:afterAutospacing="0"/>
              <w:ind w:left="0" w:right="0" w:firstLine="4080" w:firstLineChars="1700"/>
              <w:rPr>
                <w:rFonts w:hint="eastAsia" w:ascii="方正仿宋简体" w:hAnsi="方正仿宋简体" w:eastAsia="方正仿宋简体" w:cs="方正仿宋简体"/>
                <w:color w:val="auto"/>
                <w:sz w:val="24"/>
                <w:szCs w:val="24"/>
                <w:highlight w:val="none"/>
                <w:lang w:val="en-US" w:eastAsia="zh-CN"/>
              </w:rPr>
            </w:pPr>
            <w:r>
              <w:rPr>
                <w:rFonts w:hint="eastAsia" w:ascii="方正仿宋简体" w:hAnsi="方正仿宋简体" w:eastAsia="方正仿宋简体" w:cs="方正仿宋简体"/>
                <w:color w:val="auto"/>
                <w:sz w:val="24"/>
                <w:szCs w:val="24"/>
                <w:highlight w:val="none"/>
                <w:lang w:val="en-US" w:eastAsia="zh-CN"/>
              </w:rPr>
              <w:t>立卷人：</w:t>
            </w:r>
          </w:p>
          <w:p>
            <w:pPr>
              <w:keepNext w:val="0"/>
              <w:keepLines w:val="0"/>
              <w:suppressLineNumbers w:val="0"/>
              <w:bidi w:val="0"/>
              <w:spacing w:before="0" w:beforeAutospacing="0" w:after="0" w:afterAutospacing="0"/>
              <w:ind w:left="0" w:right="0"/>
              <w:rPr>
                <w:rFonts w:hint="eastAsia" w:ascii="方正仿宋简体" w:hAnsi="方正仿宋简体" w:eastAsia="方正仿宋简体" w:cs="方正仿宋简体"/>
                <w:color w:val="auto"/>
                <w:sz w:val="24"/>
                <w:szCs w:val="24"/>
                <w:highlight w:val="none"/>
                <w:lang w:val="en-US" w:eastAsia="zh-CN"/>
              </w:rPr>
            </w:pPr>
            <w:r>
              <w:rPr>
                <w:rFonts w:hint="eastAsia" w:ascii="方正仿宋简体" w:hAnsi="方正仿宋简体" w:eastAsia="方正仿宋简体" w:cs="方正仿宋简体"/>
                <w:color w:val="auto"/>
                <w:sz w:val="24"/>
                <w:szCs w:val="24"/>
                <w:highlight w:val="none"/>
                <w:lang w:val="en-US" w:eastAsia="zh-CN"/>
              </w:rPr>
              <w:t xml:space="preserve">                                  检查人：</w:t>
            </w:r>
          </w:p>
          <w:p>
            <w:pPr>
              <w:keepNext w:val="0"/>
              <w:keepLines w:val="0"/>
              <w:suppressLineNumbers w:val="0"/>
              <w:bidi w:val="0"/>
              <w:spacing w:before="0" w:beforeAutospacing="0" w:after="0" w:afterAutospacing="0"/>
              <w:ind w:left="0" w:right="0"/>
              <w:rPr>
                <w:rFonts w:hint="default" w:ascii="宋体" w:hAnsi="宋体"/>
                <w:color w:val="FF0000"/>
                <w:sz w:val="24"/>
                <w:szCs w:val="24"/>
                <w:highlight w:val="none"/>
                <w:lang w:val="en-US" w:eastAsia="zh-CN"/>
              </w:rPr>
            </w:pPr>
            <w:r>
              <w:rPr>
                <w:rFonts w:hint="eastAsia" w:ascii="方正仿宋简体" w:hAnsi="方正仿宋简体" w:eastAsia="方正仿宋简体" w:cs="方正仿宋简体"/>
                <w:color w:val="auto"/>
                <w:sz w:val="24"/>
                <w:szCs w:val="24"/>
                <w:highlight w:val="none"/>
                <w:lang w:val="en-US" w:eastAsia="zh-CN"/>
              </w:rPr>
              <w:t xml:space="preserve">                                 立卷时间：</w:t>
            </w:r>
          </w:p>
        </w:tc>
      </w:tr>
    </w:tbl>
    <w:p>
      <w:pPr>
        <w:rPr>
          <w:rFonts w:hint="eastAsia" w:ascii="方正仿宋简体" w:hAnsi="方正仿宋简体" w:eastAsia="方正仿宋简体" w:cs="方正仿宋简体"/>
          <w:kern w:val="0"/>
          <w:sz w:val="32"/>
          <w:szCs w:val="20"/>
          <w:highlight w:val="none"/>
          <w:lang w:val="en-US" w:eastAsia="zh-CN"/>
        </w:rPr>
      </w:pPr>
      <w:r>
        <w:rPr>
          <w:rFonts w:hint="eastAsia" w:ascii="方正仿宋简体" w:hAnsi="方正仿宋简体" w:eastAsia="方正仿宋简体" w:cs="方正仿宋简体"/>
          <w:kern w:val="0"/>
          <w:sz w:val="32"/>
          <w:szCs w:val="20"/>
          <w:highlight w:val="none"/>
          <w:lang w:val="en-US" w:eastAsia="zh-CN"/>
        </w:rPr>
        <w:br w:type="page"/>
      </w:r>
    </w:p>
    <w:p>
      <w:pPr>
        <w:jc w:val="center"/>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权利救济途径说明</w:t>
      </w:r>
    </w:p>
    <w:tbl>
      <w:tblPr>
        <w:tblStyle w:val="8"/>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2025"/>
        <w:gridCol w:w="3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单位名称</w:t>
            </w:r>
          </w:p>
        </w:tc>
        <w:tc>
          <w:tcPr>
            <w:tcW w:w="2025" w:type="dxa"/>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复议机关</w:t>
            </w:r>
          </w:p>
        </w:tc>
        <w:tc>
          <w:tcPr>
            <w:tcW w:w="3350" w:type="dxa"/>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诉讼机关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市直部门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济宁市人民政府</w:t>
            </w:r>
          </w:p>
        </w:tc>
        <w:tc>
          <w:tcPr>
            <w:tcW w:w="335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任城区人民政府</w:t>
            </w:r>
          </w:p>
        </w:tc>
        <w:tc>
          <w:tcPr>
            <w:tcW w:w="335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兖州区执法部门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兖州区人民政府</w:t>
            </w:r>
          </w:p>
        </w:tc>
        <w:tc>
          <w:tcPr>
            <w:tcW w:w="335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曲阜市执法部门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曲阜市人民政府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邹城市人民法院、曲阜市人民法院、泗水县人民法院、微山县人民法院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泗水县执法部门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泗水县人民政府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邹城市人民法院、曲阜市人民法院、泗水县人民法院、微山县人民法院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邹城市人民法院、曲阜市人民法院、泗水县人民法院、微山县人民法院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微山县执法部门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微山县人民政府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邹城市人民法院、曲阜市人民法院、泗水县人民法院、微山县人民法院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鱼台县执法部门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鱼台县人民政府</w:t>
            </w:r>
          </w:p>
        </w:tc>
        <w:tc>
          <w:tcPr>
            <w:tcW w:w="335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4"/>
                <w:szCs w:val="24"/>
                <w:vertAlign w:val="baseline"/>
                <w:lang w:val="en-US" w:eastAsia="zh-CN"/>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金乡县执法部门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金乡县人民政府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嘉祥县人民法院、金乡县人民法院、汶上县人民法院、梁山县人民法院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嘉祥县人民法院、金乡县人民法院、汶上县人民法院、梁山县人民法院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汶上县执法部门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汶上县人民政府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嘉祥县人民法院、金乡县人民法院、汶上县人民法院、梁山县人民法院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梁山县执法部门</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梁山县人民政府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嘉祥县人民法院、金乡县人民法院、汶上县人民法院、梁山县人民法院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高新区</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济宁市人民政府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太白湖新区</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济宁市人民政府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任城区人民法院、兖州区人民法院、高新技术产业开发区人民法院、鱼台县人民法院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38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经开区</w:t>
            </w:r>
          </w:p>
        </w:tc>
        <w:tc>
          <w:tcPr>
            <w:tcW w:w="202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济宁市人民政府</w:t>
            </w:r>
          </w:p>
        </w:tc>
        <w:tc>
          <w:tcPr>
            <w:tcW w:w="3350" w:type="dxa"/>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kern w:val="2"/>
                <w:sz w:val="24"/>
                <w:szCs w:val="24"/>
                <w:vertAlign w:val="baseline"/>
                <w:lang w:val="en-US" w:eastAsia="zh-CN" w:bidi="ar-SA"/>
              </w:rPr>
            </w:pPr>
            <w:r>
              <w:rPr>
                <w:rFonts w:hint="eastAsia" w:ascii="方正仿宋简体" w:hAnsi="方正仿宋简体" w:eastAsia="方正仿宋简体" w:cs="方正仿宋简体"/>
                <w:sz w:val="24"/>
                <w:szCs w:val="24"/>
                <w:vertAlign w:val="baseline"/>
                <w:lang w:val="en-US" w:eastAsia="zh-CN"/>
              </w:rPr>
              <w:t>嘉祥县人民法院、汶上县人民法院、金乡县人民法院、梁山县人民法院、任城区人民法院</w:t>
            </w:r>
          </w:p>
        </w:tc>
      </w:tr>
    </w:tbl>
    <w:p>
      <w:pPr>
        <w:widowControl/>
        <w:tabs>
          <w:tab w:val="left" w:pos="500"/>
          <w:tab w:val="left" w:pos="540"/>
        </w:tabs>
        <w:spacing w:line="366" w:lineRule="exact"/>
        <w:ind w:right="-313" w:firstLine="240" w:firstLineChars="100"/>
        <w:jc w:val="both"/>
        <w:rPr>
          <w:rFonts w:hint="eastAsia" w:ascii="方正仿宋简体" w:hAnsi="方正仿宋简体" w:eastAsia="方正仿宋简体" w:cs="方正仿宋简体"/>
          <w:kern w:val="0"/>
          <w:sz w:val="24"/>
          <w:szCs w:val="24"/>
          <w:highlight w:val="none"/>
          <w:lang w:val="en-US" w:eastAsia="zh-CN"/>
        </w:rPr>
      </w:pPr>
    </w:p>
    <w:p>
      <w:pPr>
        <w:widowControl/>
        <w:tabs>
          <w:tab w:val="left" w:pos="500"/>
          <w:tab w:val="left" w:pos="540"/>
        </w:tabs>
        <w:spacing w:line="366" w:lineRule="exact"/>
        <w:ind w:right="-313" w:firstLine="240" w:firstLineChars="100"/>
        <w:jc w:val="both"/>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kern w:val="0"/>
          <w:sz w:val="24"/>
          <w:szCs w:val="24"/>
          <w:highlight w:val="none"/>
          <w:lang w:val="en-US" w:eastAsia="zh-CN"/>
        </w:rPr>
        <w:t>说明：2016年9月1日起，我市推行选择管辖行政案件试点工作，当事人在所属片区内可自由选择法院管辖。法院的管辖请根据市中级人民法院的调整适时调整。</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sectPr>
          <w:footerReference r:id="rId7" w:type="default"/>
          <w:pgSz w:w="10431" w:h="14740"/>
          <w:pgMar w:top="1531" w:right="1474" w:bottom="1531"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440" w:charSpace="0"/>
        </w:sect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jc w:val="center"/>
        <w:rPr>
          <w:rFonts w:hint="eastAsia" w:eastAsia="方正小标宋简体" w:asciiTheme="minorAscii" w:hAnsiTheme="minorAscii" w:cstheme="minorBidi"/>
          <w:kern w:val="44"/>
          <w:sz w:val="4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相关法律法规文件</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sz w:val="44"/>
        </w:rPr>
        <mc:AlternateContent>
          <mc:Choice Requires="wps">
            <w:drawing>
              <wp:anchor distT="0" distB="0" distL="114300" distR="114300" simplePos="0" relativeHeight="251672576" behindDoc="0" locked="0" layoutInCell="1" allowOverlap="1">
                <wp:simplePos x="0" y="0"/>
                <wp:positionH relativeFrom="column">
                  <wp:posOffset>-295275</wp:posOffset>
                </wp:positionH>
                <wp:positionV relativeFrom="paragraph">
                  <wp:posOffset>866775</wp:posOffset>
                </wp:positionV>
                <wp:extent cx="5247005" cy="709930"/>
                <wp:effectExtent l="0" t="0" r="10795" b="13970"/>
                <wp:wrapNone/>
                <wp:docPr id="48" name="文本框 48"/>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68.25pt;height:55.9pt;width:413.15pt;z-index:251672576;mso-width-relative:page;mso-height-relative:page;" fillcolor="#FFFFFF [3201]" filled="t" stroked="f" coordsize="21600,21600" o:gfxdata="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VFyz9cAAAALAQAA&#10;DwAAAAAAAAABACAAAAAiAAAAZHJzL2Rvd25yZXYueG1sUEsBAhQAFAAAAAgAh07iQDbfcd1TAgAA&#10;kQQAAA4AAAAAAAAAAQAgAAAAJgEAAGRycy9lMm9Eb2MueG1sUEsFBgAAAAAGAAYAWQEAAOsFAAAA&#10;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sz w:val="44"/>
        </w:rPr>
        <mc:AlternateContent>
          <mc:Choice Requires="wps">
            <w:drawing>
              <wp:anchor distT="0" distB="0" distL="114300" distR="114300" simplePos="0" relativeHeight="251673600" behindDoc="0" locked="0" layoutInCell="1" allowOverlap="1">
                <wp:simplePos x="0" y="0"/>
                <wp:positionH relativeFrom="column">
                  <wp:posOffset>-295275</wp:posOffset>
                </wp:positionH>
                <wp:positionV relativeFrom="paragraph">
                  <wp:posOffset>1006475</wp:posOffset>
                </wp:positionV>
                <wp:extent cx="5247005" cy="709930"/>
                <wp:effectExtent l="0" t="0" r="10795" b="13970"/>
                <wp:wrapNone/>
                <wp:docPr id="49" name="文本框 49"/>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79.25pt;height:55.9pt;width:413.15pt;z-index:251673600;mso-width-relative:page;mso-height-relative:page;" fillcolor="#FFFFFF [3201]" filled="t" stroked="f" coordsize="21600,21600" o:gfxdata="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8BBedcAAAALAQAA&#10;DwAAAAAAAAABACAAAAAiAAAAZHJzL2Rvd25yZXYueG1sUEsBAhQAFAAAAAgAh07iQGOduuZTAgAA&#10;kQQAAA4AAAAAAAAAAQAgAAAAJgEAAGRycy9lMm9Eb2MueG1sUEsFBgAAAAAGAAYAWQEAAOsFAAAA&#10;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p>
    <w:p>
      <w:pPr>
        <w:pStyle w:val="2"/>
        <w:bidi w:val="0"/>
        <w:rPr>
          <w:rFonts w:hint="eastAsia"/>
          <w:lang w:val="en-US" w:eastAsia="zh-CN"/>
        </w:rPr>
      </w:pPr>
      <w:r>
        <w:rPr>
          <w:rFonts w:hint="eastAsia"/>
          <w:lang w:val="en-US" w:eastAsia="zh-CN"/>
        </w:rPr>
        <w:t>我国的立法体系</w:t>
      </w:r>
    </w:p>
    <w:tbl>
      <w:tblPr>
        <w:tblStyle w:val="8"/>
        <w:tblW w:w="5663" w:type="pct"/>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410"/>
        <w:gridCol w:w="5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全国人民代表大会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修改宪法，制定、修改刑事、民事、国家机构的和其他的基本法律。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全国人民代表大会常务委员会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制定和修改除应当由全国人民代表大会制定的法律以外的其他法律；在全国人民代表大会闭会期间，对全国人民代表大会制定的法律进行部分补充和修改；解释法律。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国务院</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根据宪法和法律，制定行政法规。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省、自治区、直辖市人民代表大会及其常务委员会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根据本行政区域的具体情况和实际需要，在不同宪法、法律、行政法规相抵触的前提下，制定地方性法规。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设区的市、自治州的人民代表大会及其常务委员会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在不同上位法相抵触的前提下，可对城乡建设与管理、环境保护、历史文化保护等事项制定地方性法规。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经济特区所在地的省、市人民代表大会及其常务委员会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根据全国人民代表大会的授权决定，制定法规，在经济特区范围内实施。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民族自治地方的人民代表大会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依照当地民族的政治、经济和文化的特点，制定自治条例和单行条例，报批准后生效。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对法律和行政法规的规定作出变通的规定，但不得违背法律或者行政法规的基本原则，不得对宪法和民族区域自治法的规定以及其他有关法律、行政法规专门就民族自治地方所作的规定作出变通规定。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国务院各部、委员会、中国人民银行、审计署和具有行政管理职能的直属机构</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根据法律和国务院的行政法规、决定、命令，在本部门的权限范围内，制定部门规章。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省、自治区、直辖市和设区的市、自治州的人民政府</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根据法律、行政法规和本省、自治区、直辖市的地方性法规，制定地方政府规章。设区的市、自治州人民政府制定的地方政府规章限于城乡建设与管理、环境保护、历史文化保护等方面的事项。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中央军事委员会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根据宪法和法律制定军事法规，在武装力量内部实施。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pacing w:val="-11"/>
                <w:sz w:val="21"/>
                <w:szCs w:val="21"/>
                <w:lang w:val="en-US" w:eastAsia="zh-CN"/>
              </w:rPr>
              <w:t>中央军事委员会各总部、军兵种、军区、中国人民武装警察部队</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pacing w:val="-11"/>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根据法律和中央军事委员会的军事法规、决定、命令，在其权限范围内制定军事规章。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国家监察委员会</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根据宪法和法律，制定监察法规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w w:val="95"/>
                <w:sz w:val="21"/>
                <w:szCs w:val="21"/>
                <w:lang w:val="en-US" w:eastAsia="zh-CN"/>
              </w:rPr>
              <w:t>最高人民法院、最高人民检察院</w:t>
            </w:r>
          </w:p>
        </w:tc>
        <w:tc>
          <w:tcPr>
            <w:tcW w:w="235" w:type="pct"/>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简体" w:hAnsi="方正仿宋简体" w:eastAsia="方正仿宋简体" w:cs="方正仿宋简体"/>
                <w:sz w:val="21"/>
                <w:szCs w:val="21"/>
                <w:lang w:val="en-US" w:eastAsia="zh-CN"/>
              </w:rPr>
            </w:pPr>
          </w:p>
        </w:tc>
        <w:tc>
          <w:tcPr>
            <w:tcW w:w="3044" w:type="pct"/>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简体" w:hAnsi="方正仿宋简体" w:eastAsia="方正仿宋简体" w:cs="方正仿宋简体"/>
                <w:sz w:val="21"/>
                <w:szCs w:val="21"/>
                <w:highlight w:val="none"/>
                <w:vertAlign w:val="baseline"/>
              </w:rPr>
            </w:pPr>
            <w:r>
              <w:rPr>
                <w:rFonts w:hint="eastAsia" w:ascii="方正仿宋简体" w:hAnsi="方正仿宋简体" w:eastAsia="方正仿宋简体" w:cs="方正仿宋简体"/>
                <w:sz w:val="21"/>
                <w:szCs w:val="21"/>
                <w:lang w:val="en-US" w:eastAsia="zh-CN"/>
              </w:rPr>
              <w:t>司法解释</w:t>
            </w:r>
          </w:p>
        </w:tc>
      </w:tr>
    </w:tbl>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sectPr>
          <w:pgSz w:w="10431" w:h="14740"/>
          <w:pgMar w:top="1531" w:right="1474" w:bottom="1531" w:left="1474" w:header="851" w:footer="992" w:gutter="0"/>
          <w:pgBorders>
            <w:top w:val="none" w:sz="0" w:space="0"/>
            <w:left w:val="none" w:sz="0" w:space="0"/>
            <w:bottom w:val="none" w:sz="0" w:space="0"/>
            <w:right w:val="none" w:sz="0" w:space="0"/>
          </w:pgBorders>
          <w:pgNumType w:fmt="numberInDash"/>
          <w:cols w:space="0" w:num="1"/>
          <w:rtlGutter w:val="0"/>
          <w:docGrid w:type="lines" w:linePitch="440" w:charSpace="0"/>
        </w:sect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r>
        <w:rPr>
          <w:rFonts w:hint="eastAsia"/>
          <w:lang w:val="en-US" w:eastAsia="zh-CN"/>
        </w:rPr>
        <w:t>中华人民共和国行政许可法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（2003年８月27日第十届全国人民代表大会常务委员会第四次会议通过 根据2019年4月23日第十三届全国人民代表大会常务委员会第十次会议《关于修改</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中华人民共和国建筑法</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等八部法律的决定》修正）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xml:space="preserve">  为了规范行政许可的设定和实施，保护公民、法人和其他组织的合法权益，维护公共利益和社会秩序，保障和监督行政机关有效实施行政管理，根据宪法，制定本法。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xml:space="preserve">  本法所称行政许可，是指行政机关根据公民、法人或者其他组织的申请，经依法审查，准予其从事特定活动的行为。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xml:space="preserve">  行政许可的设定和实施，适用本法。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有关行政机关对其他机关或者对其直接管理的事业单位的人事、财务、外事等事项的审批，不适用本法。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第四条 </w:t>
      </w:r>
      <w:r>
        <w:rPr>
          <w:rFonts w:hint="eastAsia" w:ascii="方正仿宋简体" w:hAnsi="方正仿宋简体" w:eastAsia="方正仿宋简体" w:cs="方正仿宋简体"/>
          <w:b w:val="0"/>
          <w:bCs w:val="0"/>
          <w:color w:val="auto"/>
          <w:sz w:val="24"/>
          <w:szCs w:val="24"/>
          <w:lang w:val="en-US" w:eastAsia="zh-CN"/>
        </w:rPr>
        <w:t xml:space="preserve"> 设定和实施行政许可，应当依照法定的权限、范围、条件和程序。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xml:space="preserve">  设定和实施行政许可，应当遵循公开、公平、公正的原则。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有关行政许可的规定应当公布；未经公布的，不得作为实施行政许可的依据。行政许可的实施和结果，除涉及国家秘密、商业秘密或者个人隐私的外，应当公开。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符合法定条件、标准的，申请人有依法取得行政许可的平等权利，行政机关不得歧视。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第六条 </w:t>
      </w:r>
      <w:r>
        <w:rPr>
          <w:rFonts w:hint="eastAsia" w:ascii="方正仿宋简体" w:hAnsi="方正仿宋简体" w:eastAsia="方正仿宋简体" w:cs="方正仿宋简体"/>
          <w:b w:val="0"/>
          <w:bCs w:val="0"/>
          <w:color w:val="auto"/>
          <w:sz w:val="24"/>
          <w:szCs w:val="24"/>
          <w:lang w:val="en-US" w:eastAsia="zh-CN"/>
        </w:rPr>
        <w:t xml:space="preserve"> 实施行政许可，应当遵循便民的原则，提高办事效率，提供优质服务。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公民、法人或者其他组织对行政机关实施行政许可，享有陈述权、申辩权；有权依法申请行政复议或者提起行政诉讼；其合法权益因行政机关违法实施行政许可受到损害的，有权依法要求赔偿。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第八条 </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公民、法人或者其他组织依法取得的行政许可受法律保护，行政机关不得擅自改变已经生效的行政许可。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xml:space="preserve">  依法取得的行政许可，除法律、法规规定依照法定条件和程序可以转让的外，不得转让。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第十条 </w:t>
      </w:r>
      <w:r>
        <w:rPr>
          <w:rFonts w:hint="eastAsia" w:ascii="方正仿宋简体" w:hAnsi="方正仿宋简体" w:eastAsia="方正仿宋简体" w:cs="方正仿宋简体"/>
          <w:b w:val="0"/>
          <w:bCs w:val="0"/>
          <w:color w:val="auto"/>
          <w:sz w:val="24"/>
          <w:szCs w:val="24"/>
          <w:lang w:val="en-US" w:eastAsia="zh-CN"/>
        </w:rPr>
        <w:t xml:space="preserve"> 县级以上人民政府应当建立健全对行政机关实施行政许可的监督制度，加强对行政机关实施行政许可的监督检查。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行政机关应当对公民、法人或者其他组织从事行政许可事项的活动实施有效监督。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center"/>
        <w:textAlignment w:val="auto"/>
        <w:rPr>
          <w:rFonts w:hint="eastAsia" w:ascii="方正仿宋简体" w:hAnsi="方正仿宋简体" w:eastAsia="方正仿宋简体" w:cs="方正仿宋简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第二章  行政许可的设定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xml:space="preserve">  设定行政许可，应当遵循经济和社会发展规律，有利于发挥公民、法人或者其他组织的积极性、主动性，维护公共利益和社会秩序，促进经济、社会和生态环境协调发展。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xml:space="preserve">  下列事项可以设定行政许可：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（一）直接涉及国家安全、公共安全、经济宏观调控、生态环境保护以及直接关系人身健康、生命财产安全等特定活动，需要按照法定条件予以批准的事项；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（二）有限自然资源开发利用、公共资源配置以及直接关系公共利益的特定行业的市场准入等，需要赋予特定权利的事项；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（三）提供公众服务并且直接关系公共利益的职业、行业，需要确定具备特殊信誉、特殊条件或者特殊技能等资格、资质的事项；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（四）直接关系公共安全、人身健康、生命财产安全的重要设备、设施、产品、物品，需要按照技术标准、技术规范，通过检验、检测、检疫等方式进行审定的事项；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（五）企业或者其他组织的设立等，需要确定主体资格的事项；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（六）法律、行政法规规定可以设定行政许可的其他事项。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xml:space="preserve">  本法第十二条所列事项，通过下列方式能够予以规范的，可以不设行政许可：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（一）公民、法人或者其他组织能够自主决定的；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（二）市场竞争机制能够有效调节的；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（三）行业组织或者中介机构能够自律管理的；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（四）行政机关采用事后监督等其他行政管理方式能够解决的。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第十四条 </w:t>
      </w:r>
      <w:r>
        <w:rPr>
          <w:rFonts w:hint="eastAsia" w:ascii="方正仿宋简体" w:hAnsi="方正仿宋简体" w:eastAsia="方正仿宋简体" w:cs="方正仿宋简体"/>
          <w:b w:val="0"/>
          <w:bCs w:val="0"/>
          <w:color w:val="auto"/>
          <w:sz w:val="24"/>
          <w:szCs w:val="24"/>
          <w:lang w:val="en-US" w:eastAsia="zh-CN"/>
        </w:rPr>
        <w:t xml:space="preserve"> 本法第十二条所列事项，法律可以设定行政许可。尚未制定法律的，行政法规可以设定行政许可。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必要时，国务院可以采用发布决定的方式设定行政许可。实施后，除临时性行政许可事项外，国务院应当及时提请全国人民代表大会及其常务委员会制定法律，或者自行制定行政法规。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第十五条 </w:t>
      </w:r>
      <w:r>
        <w:rPr>
          <w:rFonts w:hint="eastAsia" w:ascii="方正仿宋简体" w:hAnsi="方正仿宋简体" w:eastAsia="方正仿宋简体" w:cs="方正仿宋简体"/>
          <w:b w:val="0"/>
          <w:bCs w:val="0"/>
          <w:color w:val="auto"/>
          <w:sz w:val="24"/>
          <w:szCs w:val="24"/>
          <w:lang w:val="en-US" w:eastAsia="zh-CN"/>
        </w:rPr>
        <w:t xml:space="preserve"> 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第十六条 </w:t>
      </w:r>
      <w:r>
        <w:rPr>
          <w:rFonts w:hint="eastAsia" w:ascii="方正仿宋简体" w:hAnsi="方正仿宋简体" w:eastAsia="方正仿宋简体" w:cs="方正仿宋简体"/>
          <w:b w:val="0"/>
          <w:bCs w:val="0"/>
          <w:color w:val="auto"/>
          <w:sz w:val="24"/>
          <w:szCs w:val="24"/>
          <w:lang w:val="en-US" w:eastAsia="zh-CN"/>
        </w:rPr>
        <w:t xml:space="preserve"> 行政法规可以在法律设定的行政许可事项范围内，对实施该行政许可作出具体规定。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地方性法规可以在法律、行政法规设定的行政许可事项范围内，对实施该行政许可作出具体规定。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规章可以在上位法设定的行政许可事项范围内，对实施该行政许可作出具体规定。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法规、规章对实施上位法设定的行政许可作出的具体规定，不得增设行政许可；对行政许可条件作出的具体规定，不得增设违反上位法的其他条件。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xml:space="preserve">  除本法第十四条、第十五条规定的外，其他规范性文件一律不得设定行政许可。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第十八条 </w:t>
      </w:r>
      <w:r>
        <w:rPr>
          <w:rFonts w:hint="eastAsia" w:ascii="方正仿宋简体" w:hAnsi="方正仿宋简体" w:eastAsia="方正仿宋简体" w:cs="方正仿宋简体"/>
          <w:b w:val="0"/>
          <w:bCs w:val="0"/>
          <w:color w:val="auto"/>
          <w:sz w:val="24"/>
          <w:szCs w:val="24"/>
          <w:lang w:val="en-US" w:eastAsia="zh-CN"/>
        </w:rPr>
        <w:t xml:space="preserve"> 设定行政许可，应当规定行政许可的实施机关、条件、程序、期限。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第十九条 </w:t>
      </w:r>
      <w:r>
        <w:rPr>
          <w:rFonts w:hint="eastAsia" w:ascii="方正仿宋简体" w:hAnsi="方正仿宋简体" w:eastAsia="方正仿宋简体" w:cs="方正仿宋简体"/>
          <w:b w:val="0"/>
          <w:bCs w:val="0"/>
          <w:color w:val="auto"/>
          <w:sz w:val="24"/>
          <w:szCs w:val="24"/>
          <w:lang w:val="en-US" w:eastAsia="zh-CN"/>
        </w:rPr>
        <w:t xml:space="preserve"> 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第二十条  </w:t>
      </w:r>
      <w:r>
        <w:rPr>
          <w:rFonts w:hint="eastAsia" w:ascii="方正仿宋简体" w:hAnsi="方正仿宋简体" w:eastAsia="方正仿宋简体" w:cs="方正仿宋简体"/>
          <w:b w:val="0"/>
          <w:bCs w:val="0"/>
          <w:color w:val="auto"/>
          <w:sz w:val="24"/>
          <w:szCs w:val="24"/>
          <w:lang w:val="en-US" w:eastAsia="zh-CN"/>
        </w:rPr>
        <w:t>行政许可的设定机关应当定期对其设定的行政许可进行评价；对已设定的行政许可，认为通过本法第十三条所列方式能够解决的，应当对设定该行政许可的规定及时予以修改或者废止。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行政许可的实施机关可以对已设定的行政许可的实施情况及存在的必要性适时进行评价，并将意见报告该行政许可的设定机关。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公民、法人或者其他组织可以向行政许可的设定机关和实施机关就行政许可的设定和实施提出意见和建议。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xml:space="preserve">  省、自治区、直辖市人民政府对行政法规设定的有关经济事务的行政许可，根据本行政区域经济和社会发展情况，认为通过本法第十三条所列方式能够解决的，报国务院批准后，可以在本行政区域内停止实施该行政许可。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center"/>
        <w:textAlignment w:val="auto"/>
        <w:rPr>
          <w:rFonts w:hint="eastAsia" w:ascii="方正仿宋简体" w:hAnsi="方正仿宋简体" w:eastAsia="方正仿宋简体" w:cs="方正仿宋简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第三章 行政许可的实施机关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xml:space="preserve">  行政许可由具有行政许可权的行政机关在其法定职权范围内实施。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xml:space="preserve">  法律、法规授权的具有管理公共事务职能的组织，在法定授权范围内，以自己的名义实施行政许可。被授权的组织适用本法有关行政机关的规定。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第二十四条 </w:t>
      </w:r>
      <w:r>
        <w:rPr>
          <w:rFonts w:hint="eastAsia" w:ascii="方正仿宋简体" w:hAnsi="方正仿宋简体" w:eastAsia="方正仿宋简体" w:cs="方正仿宋简体"/>
          <w:b w:val="0"/>
          <w:bCs w:val="0"/>
          <w:color w:val="auto"/>
          <w:sz w:val="24"/>
          <w:szCs w:val="24"/>
          <w:lang w:val="en-US" w:eastAsia="zh-CN"/>
        </w:rPr>
        <w:t xml:space="preserve"> 行政机关在其法定职权范围内，依照法律、法规、规章的规定，可以委托其他行政机关实施行政许可。委托机关应当将受委托行政机关和受委托实施行政许可的内容予以公告。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委托行政机关对受委托行政机关实施行政许可的行为应当负责监督，并对该行为的后果承担法律责任。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受委托行政机关在委托范围内，以委托行政机关名义实施行政许可；不得再委托其他组织或者个人实施行政许可。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第二十五条</w:t>
      </w:r>
      <w:r>
        <w:rPr>
          <w:rFonts w:hint="eastAsia" w:ascii="方正仿宋简体" w:hAnsi="方正仿宋简体" w:eastAsia="方正仿宋简体" w:cs="方正仿宋简体"/>
          <w:b w:val="0"/>
          <w:bCs w:val="0"/>
          <w:color w:val="auto"/>
          <w:sz w:val="24"/>
          <w:szCs w:val="24"/>
          <w:lang w:val="en-US" w:eastAsia="zh-CN"/>
        </w:rPr>
        <w:t xml:space="preserve">  经国务院批准，省、自治区、直辖市人民政府根据精简、统一、效能的原则，可以决定一个行政机关行使有关行政机关的行政许可权。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xml:space="preserve">  行政许可需要行政机关内设的多个机构办理的，该行政机关应当确定一个机构统一受理行政许可申请，统一送达行政许可决定。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行政许可依法由地方人民政府两个以上部门分别实施的，本级人民政府可以确定一个部门受理行政许可申请并转告有关部门分别提出意见后统一办理，或者组织有关部门联合办理、集中办理。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xml:space="preserve">  行政机关实施行政许可，不得向申请人提出购买指定商品、接受有偿服务等不正当要求。</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行政机关工作人员办理行政许可，不得索取或者收受申请人的财物，不得谋取其他利益。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第二十八条</w:t>
      </w:r>
      <w:r>
        <w:rPr>
          <w:rFonts w:hint="eastAsia" w:ascii="方正仿宋简体" w:hAnsi="方正仿宋简体" w:eastAsia="方正仿宋简体" w:cs="方正仿宋简体"/>
          <w:b w:val="0"/>
          <w:bCs w:val="0"/>
          <w:color w:val="auto"/>
          <w:sz w:val="24"/>
          <w:szCs w:val="24"/>
          <w:lang w:val="en-US" w:eastAsia="zh-CN"/>
        </w:rPr>
        <w:t xml:space="preserve">  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center"/>
        <w:textAlignment w:val="auto"/>
        <w:rPr>
          <w:rFonts w:hint="eastAsia" w:ascii="黑体" w:hAnsi="黑体" w:eastAsia="黑体" w:cs="黑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第四章 行政许可的实施程序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申请与受理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申请人可以委托代理人提出行政许可申请。但是，依法应当由申请人到行政机关办公场所提出行政许可申请的除外。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行政许可申请可以通过信函、电报、电传、传真、电子数据交换和电子邮件等方式提出。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第三十条</w:t>
      </w:r>
      <w:r>
        <w:rPr>
          <w:rFonts w:hint="eastAsia" w:ascii="方正仿宋简体" w:hAnsi="方正仿宋简体" w:eastAsia="方正仿宋简体" w:cs="方正仿宋简体"/>
          <w:b w:val="0"/>
          <w:bCs w:val="0"/>
          <w:color w:val="auto"/>
          <w:sz w:val="24"/>
          <w:szCs w:val="24"/>
          <w:lang w:val="en-US" w:eastAsia="zh-CN"/>
        </w:rPr>
        <w:t xml:space="preserve">  行政机关应当将法律、法规、规章规定的有关行政许可的事项、依据、条件、数量、程序、期限以及需要提交的全部材料的目录和申请书示范文本等在办公场所公示。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申请人要求行政机关对公示内容予以说明、解释的，行政机关应当说明、解释，提供准确、可靠的信息。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xml:space="preserve">  申请人申请行政许可，应当如实向行政机关提交有关材料和反映真实情况，并对其申请材料实质内容的真实性负责。行政机关不得要求申请人提交与其申请的行政许可事项无关的技术资料和其他材料。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xml:space="preserve">  行政机关对申请人提出的行政许可申请，应当根据下列情况分别</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（一）申请事项依法不需要取得行政许可的，应当即时告知申请人不受理；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（二）申请事项依法不属于本行政机关职权范围的，应当即时作出不予受理的决定，并告知申请人向有关行政机关申请；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（三）申请材料存在可以当场更正的错误的，应当允许申请人当场更正；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（四）申请材料不齐全或者不符合法定形式的，应当当场或者在五日内一次告知申请人需要补正的全部内容，逾期不告知的，自收到申请材料之日起即为受理；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（五）申请事项属于本行政机关职权范围，申请材料齐全、符合法定形式，或者申请人按照本行政机关的要求提交全部补正申请材料的，应当受理行政许可申请。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行政机关受理或者不予受理行政许可申请，应当出具加盖本行政机关专用印章和注明日期的书面凭证。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第三十三条 </w:t>
      </w:r>
      <w:r>
        <w:rPr>
          <w:rFonts w:hint="eastAsia" w:ascii="方正仿宋简体" w:hAnsi="方正仿宋简体" w:eastAsia="方正仿宋简体" w:cs="方正仿宋简体"/>
          <w:b w:val="0"/>
          <w:bCs w:val="0"/>
          <w:color w:val="auto"/>
          <w:sz w:val="24"/>
          <w:szCs w:val="24"/>
          <w:lang w:val="en-US" w:eastAsia="zh-CN"/>
        </w:rPr>
        <w:t xml:space="preserve"> 行政机关应当建立和完善有关制度，推行电子政务，在行政机关的网站上公布行政许可事项，方便申请人采取数据电文等方式提出行政许可申请；应当与其他行政机关共享有关行政许可信息，提高办事效率。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审查与决定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第三十四条</w:t>
      </w:r>
      <w:r>
        <w:rPr>
          <w:rFonts w:hint="eastAsia" w:ascii="方正仿宋简体" w:hAnsi="方正仿宋简体" w:eastAsia="方正仿宋简体" w:cs="方正仿宋简体"/>
          <w:b w:val="0"/>
          <w:bCs w:val="0"/>
          <w:color w:val="auto"/>
          <w:sz w:val="24"/>
          <w:szCs w:val="24"/>
          <w:lang w:val="en-US" w:eastAsia="zh-CN"/>
        </w:rPr>
        <w:t xml:space="preserve">  行政机关应当对申请人提交的申请材料进行审查。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申请人提交的申请材料齐全、符合法定形式，行政机关能够当场作出决定的，应当当场作出书面的行政许可决定。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根据法定条件和程序，需要对申请材料的实质内容进行核实的，行政机关应当指派两名以上工作人员进行核查。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第三十五条 </w:t>
      </w:r>
      <w:r>
        <w:rPr>
          <w:rFonts w:hint="eastAsia" w:ascii="方正仿宋简体" w:hAnsi="方正仿宋简体" w:eastAsia="方正仿宋简体" w:cs="方正仿宋简体"/>
          <w:b w:val="0"/>
          <w:bCs w:val="0"/>
          <w:color w:val="auto"/>
          <w:sz w:val="24"/>
          <w:szCs w:val="24"/>
          <w:lang w:val="en-US" w:eastAsia="zh-CN"/>
        </w:rPr>
        <w:t xml:space="preserve">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第三十六条</w:t>
      </w:r>
      <w:r>
        <w:rPr>
          <w:rFonts w:hint="eastAsia" w:ascii="方正仿宋简体" w:hAnsi="方正仿宋简体" w:eastAsia="方正仿宋简体" w:cs="方正仿宋简体"/>
          <w:b w:val="0"/>
          <w:bCs w:val="0"/>
          <w:color w:val="auto"/>
          <w:sz w:val="24"/>
          <w:szCs w:val="24"/>
          <w:lang w:val="en-US" w:eastAsia="zh-CN"/>
        </w:rPr>
        <w:t xml:space="preserve">  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第三十七条  </w:t>
      </w:r>
      <w:r>
        <w:rPr>
          <w:rFonts w:hint="eastAsia" w:ascii="方正仿宋简体" w:hAnsi="方正仿宋简体" w:eastAsia="方正仿宋简体" w:cs="方正仿宋简体"/>
          <w:b w:val="0"/>
          <w:bCs w:val="0"/>
          <w:color w:val="auto"/>
          <w:sz w:val="24"/>
          <w:szCs w:val="24"/>
          <w:lang w:val="en-US" w:eastAsia="zh-CN"/>
        </w:rPr>
        <w:t>行政机关对行政许可申请进行审查后，除当场作出行政许可决定的外，应当在法定期限内按照规定程序作出行政许可决定。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第三十八条</w:t>
      </w:r>
      <w:r>
        <w:rPr>
          <w:rFonts w:hint="eastAsia" w:ascii="方正仿宋简体" w:hAnsi="方正仿宋简体" w:eastAsia="方正仿宋简体" w:cs="方正仿宋简体"/>
          <w:b w:val="0"/>
          <w:bCs w:val="0"/>
          <w:color w:val="auto"/>
          <w:sz w:val="24"/>
          <w:szCs w:val="24"/>
          <w:lang w:val="en-US" w:eastAsia="zh-CN"/>
        </w:rPr>
        <w:t xml:space="preserve">  申请人的申请符合法定条件、标准的，行政机关应当依法作出准予行政许可的书面决定。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行政机关依法作出不予行政许可的书面决定的，应当说明理由，并告知申请人享有依法申请行政复议或者提起行政诉讼的权利。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第三十九条</w:t>
      </w:r>
      <w:r>
        <w:rPr>
          <w:rFonts w:hint="eastAsia" w:ascii="方正仿宋简体" w:hAnsi="方正仿宋简体" w:eastAsia="方正仿宋简体" w:cs="方正仿宋简体"/>
          <w:b w:val="0"/>
          <w:bCs w:val="0"/>
          <w:color w:val="auto"/>
          <w:sz w:val="24"/>
          <w:szCs w:val="24"/>
          <w:lang w:val="en-US" w:eastAsia="zh-CN"/>
        </w:rPr>
        <w:t xml:space="preserve">  行政机关作出准予行政许可的决定，需要颁发行政许可证件的，应当向申请人颁发加盖本行政机关印章的下列行政许可证件：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（一）许可证、执照或者其他许可证书；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（二）资格证、资质证或者其他合格证书；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（三）行政机关的批准文件或者证明文件；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（四）法律、法规规定的其他行政许可证件。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行政机关实施检验、检测、检疫的，可以在检验、检测、检疫合格的设备、设施、产品、物品上加贴标签或者加盖检验、检测、检疫印章。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第四十条</w:t>
      </w:r>
      <w:r>
        <w:rPr>
          <w:rFonts w:hint="eastAsia" w:ascii="方正仿宋简体" w:hAnsi="方正仿宋简体" w:eastAsia="方正仿宋简体" w:cs="方正仿宋简体"/>
          <w:b w:val="0"/>
          <w:bCs w:val="0"/>
          <w:color w:val="auto"/>
          <w:sz w:val="24"/>
          <w:szCs w:val="24"/>
          <w:lang w:val="en-US" w:eastAsia="zh-CN"/>
        </w:rPr>
        <w:t xml:space="preserve">  行政机关作出的准予行政许可决定，应当予以公开，公众有权查阅。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第四十一条</w:t>
      </w:r>
      <w:r>
        <w:rPr>
          <w:rFonts w:hint="eastAsia" w:ascii="方正仿宋简体" w:hAnsi="方正仿宋简体" w:eastAsia="方正仿宋简体" w:cs="方正仿宋简体"/>
          <w:b w:val="0"/>
          <w:bCs w:val="0"/>
          <w:color w:val="auto"/>
          <w:sz w:val="24"/>
          <w:szCs w:val="24"/>
          <w:lang w:val="en-US" w:eastAsia="zh-CN"/>
        </w:rPr>
        <w:t xml:space="preserve">  法律、行政法规设定的行政许可，其适用范围没有地域限制的，申请人取得的行政许可在全国范围内有效。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第四十二条</w:t>
      </w:r>
      <w:r>
        <w:rPr>
          <w:rFonts w:hint="eastAsia" w:ascii="方正仿宋简体" w:hAnsi="方正仿宋简体" w:eastAsia="方正仿宋简体" w:cs="方正仿宋简体"/>
          <w:b w:val="0"/>
          <w:bCs w:val="0"/>
          <w:color w:val="auto"/>
          <w:sz w:val="24"/>
          <w:szCs w:val="24"/>
          <w:lang w:val="en-US" w:eastAsia="zh-CN"/>
        </w:rPr>
        <w:t xml:space="preserve">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第四十三条</w:t>
      </w:r>
      <w:r>
        <w:rPr>
          <w:rFonts w:hint="eastAsia" w:ascii="方正仿宋简体" w:hAnsi="方正仿宋简体" w:eastAsia="方正仿宋简体" w:cs="方正仿宋简体"/>
          <w:b w:val="0"/>
          <w:bCs w:val="0"/>
          <w:color w:val="auto"/>
          <w:sz w:val="24"/>
          <w:szCs w:val="24"/>
          <w:lang w:val="en-US" w:eastAsia="zh-CN"/>
        </w:rPr>
        <w:t xml:space="preserve">  依法应当先经下级行政机关审查后报上级行政机关决定的行政许可，下级行政机关应当自其受理行政许可申请之日起二十日内审查完毕。但是，法律、法规另有规定的，依照其规定。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第四十四条</w:t>
      </w:r>
      <w:r>
        <w:rPr>
          <w:rFonts w:hint="eastAsia" w:ascii="方正仿宋简体" w:hAnsi="方正仿宋简体" w:eastAsia="方正仿宋简体" w:cs="方正仿宋简体"/>
          <w:b w:val="0"/>
          <w:bCs w:val="0"/>
          <w:color w:val="auto"/>
          <w:sz w:val="24"/>
          <w:szCs w:val="24"/>
          <w:lang w:val="en-US" w:eastAsia="zh-CN"/>
        </w:rPr>
        <w:t xml:space="preserve">  行政机关作出准予行政许可的决定，应当自作出决定之日起十日内向申请人颁发、送达行政许可证件，或者加贴标签、加盖检验、检测、检疫印章。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第四十五条</w:t>
      </w:r>
      <w:r>
        <w:rPr>
          <w:rFonts w:hint="eastAsia" w:ascii="方正仿宋简体" w:hAnsi="方正仿宋简体" w:eastAsia="方正仿宋简体" w:cs="方正仿宋简体"/>
          <w:b w:val="0"/>
          <w:bCs w:val="0"/>
          <w:color w:val="auto"/>
          <w:sz w:val="24"/>
          <w:szCs w:val="24"/>
          <w:lang w:val="en-US" w:eastAsia="zh-CN"/>
        </w:rPr>
        <w:t xml:space="preserve">  行政机关作出行政许可决定，依法需要听证、招标、拍卖、检验、检测、检疫、鉴定和专家评审的，所需时间不计算在本节规定的期限内。行政机关应当将所需时间书面告知申请人。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第四节 听证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第四十六条 </w:t>
      </w:r>
      <w:r>
        <w:rPr>
          <w:rFonts w:hint="eastAsia" w:ascii="方正仿宋简体" w:hAnsi="方正仿宋简体" w:eastAsia="方正仿宋简体" w:cs="方正仿宋简体"/>
          <w:b w:val="0"/>
          <w:bCs w:val="0"/>
          <w:color w:val="auto"/>
          <w:sz w:val="24"/>
          <w:szCs w:val="24"/>
          <w:lang w:val="en-US" w:eastAsia="zh-CN"/>
        </w:rPr>
        <w:t xml:space="preserve"> 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第四十七条</w:t>
      </w:r>
      <w:r>
        <w:rPr>
          <w:rFonts w:hint="eastAsia" w:ascii="方正仿宋简体" w:hAnsi="方正仿宋简体" w:eastAsia="方正仿宋简体" w:cs="方正仿宋简体"/>
          <w:b w:val="0"/>
          <w:bCs w:val="0"/>
          <w:color w:val="auto"/>
          <w:sz w:val="24"/>
          <w:szCs w:val="24"/>
          <w:lang w:val="en-US" w:eastAsia="zh-CN"/>
        </w:rPr>
        <w:t xml:space="preserve">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申请人、利害关系人不承担行政机关组织听证的费用。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第四十八条 </w:t>
      </w:r>
      <w:r>
        <w:rPr>
          <w:rFonts w:hint="eastAsia" w:ascii="方正仿宋简体" w:hAnsi="方正仿宋简体" w:eastAsia="方正仿宋简体" w:cs="方正仿宋简体"/>
          <w:b w:val="0"/>
          <w:bCs w:val="0"/>
          <w:color w:val="auto"/>
          <w:sz w:val="24"/>
          <w:szCs w:val="24"/>
          <w:lang w:val="en-US" w:eastAsia="zh-CN"/>
        </w:rPr>
        <w:t xml:space="preserve"> 听证按照下列程序进行：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（一）行政机关应当于举行听证的七日前将举行听证的时间、地点通知申请人、利害关系人，必要时予以公告；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（二）听证应当公开举行；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（三）行政机关应当指定审查该行政许可申请的工作人员以外的人员为听证主持人，申请人、利害关系人认为主持人与该行政许可事项有直接利害关系的，有权申请回避；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（四）举行听证时，审查该行政许可申请的工作人员应当提供审查意见的证据、理由，申请人、利害关系人可以提出证据，并进行申辩和质证；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（五）听证应当制作笔录，听证笔录应当交听证参加人确认无误后签字或者盖章。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行政机关应当根据听证笔录，作出行政许可决定。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第五节 变更与延续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第四十九条</w:t>
      </w:r>
      <w:r>
        <w:rPr>
          <w:rFonts w:hint="eastAsia" w:ascii="方正仿宋简体" w:hAnsi="方正仿宋简体" w:eastAsia="方正仿宋简体" w:cs="方正仿宋简体"/>
          <w:b w:val="0"/>
          <w:bCs w:val="0"/>
          <w:color w:val="auto"/>
          <w:sz w:val="24"/>
          <w:szCs w:val="24"/>
          <w:lang w:val="en-US" w:eastAsia="zh-CN"/>
        </w:rPr>
        <w:t xml:space="preserve">  被许可人要求变更行政许可事项的，应当向作出行政许可决定的行政机关提出申请；符合法定条件、标准的，行政机关应当依法办理变更手续。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第五十条</w:t>
      </w:r>
      <w:r>
        <w:rPr>
          <w:rFonts w:hint="eastAsia" w:ascii="方正仿宋简体" w:hAnsi="方正仿宋简体" w:eastAsia="方正仿宋简体" w:cs="方正仿宋简体"/>
          <w:b w:val="0"/>
          <w:bCs w:val="0"/>
          <w:color w:val="auto"/>
          <w:sz w:val="24"/>
          <w:szCs w:val="24"/>
          <w:lang w:val="en-US" w:eastAsia="zh-CN"/>
        </w:rPr>
        <w:t xml:space="preserve">  被许可人需要延续依法取得的行政许可的有效期的，应当在该行政许可有效期届满三十日前向作出行政许可决定的行政机关提出申请。但是，法律、法规、规章另有规定的，依照其规定。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行政机关应当根据被许可人的申请，在该行政许可有效期届满前作出是否准予延续的决定；逾期</w:t>
      </w:r>
      <w:r>
        <w:rPr>
          <w:rFonts w:hint="eastAsia" w:ascii="方正仿宋简体" w:hAnsi="方正仿宋简体" w:eastAsia="方正仿宋简体" w:cs="方正仿宋简体"/>
          <w:b w:val="0"/>
          <w:bCs w:val="0"/>
          <w:color w:val="auto"/>
          <w:sz w:val="24"/>
          <w:szCs w:val="24"/>
          <w:highlight w:val="none"/>
          <w:lang w:val="en-US" w:eastAsia="zh-CN"/>
        </w:rPr>
        <w:t>未作</w:t>
      </w:r>
      <w:r>
        <w:rPr>
          <w:rFonts w:hint="eastAsia" w:ascii="方正仿宋简体" w:hAnsi="方正仿宋简体" w:eastAsia="方正仿宋简体" w:cs="方正仿宋简体"/>
          <w:b w:val="0"/>
          <w:bCs w:val="0"/>
          <w:color w:val="auto"/>
          <w:sz w:val="24"/>
          <w:szCs w:val="24"/>
          <w:lang w:val="en-US" w:eastAsia="zh-CN"/>
        </w:rPr>
        <w:t>决定的，视为准予延续。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第六节 特别规定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第五十一条</w:t>
      </w:r>
      <w:r>
        <w:rPr>
          <w:rFonts w:hint="eastAsia" w:ascii="方正仿宋简体" w:hAnsi="方正仿宋简体" w:eastAsia="方正仿宋简体" w:cs="方正仿宋简体"/>
          <w:b w:val="0"/>
          <w:bCs w:val="0"/>
          <w:color w:val="auto"/>
          <w:sz w:val="24"/>
          <w:szCs w:val="24"/>
          <w:lang w:val="en-US" w:eastAsia="zh-CN"/>
        </w:rPr>
        <w:t xml:space="preserve">  实施行政许可的程序，本节有规定的，适用本节规定；本节没有规定的，适用本章其他有关规定。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第五十二条</w:t>
      </w:r>
      <w:r>
        <w:rPr>
          <w:rFonts w:hint="eastAsia" w:ascii="方正仿宋简体" w:hAnsi="方正仿宋简体" w:eastAsia="方正仿宋简体" w:cs="方正仿宋简体"/>
          <w:b w:val="0"/>
          <w:bCs w:val="0"/>
          <w:color w:val="auto"/>
          <w:sz w:val="24"/>
          <w:szCs w:val="24"/>
          <w:lang w:val="en-US" w:eastAsia="zh-CN"/>
        </w:rPr>
        <w:t xml:space="preserve">  国务院实施行政许可的程序，适用有关法律、行政法规的规定。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第五十三条</w:t>
      </w:r>
      <w:r>
        <w:rPr>
          <w:rFonts w:hint="eastAsia" w:ascii="方正仿宋简体" w:hAnsi="方正仿宋简体" w:eastAsia="方正仿宋简体" w:cs="方正仿宋简体"/>
          <w:b w:val="0"/>
          <w:bCs w:val="0"/>
          <w:color w:val="auto"/>
          <w:sz w:val="24"/>
          <w:szCs w:val="24"/>
          <w:lang w:val="en-US" w:eastAsia="zh-CN"/>
        </w:rPr>
        <w:t xml:space="preserve">  实施本法第十二条第二项所列事项的行政许可的，行政机关应当通过招标、拍卖等公平竞争的方式作出决定。但是，法律、行政法规另有规定的，依照其规定。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行政机关通过招标、拍卖等方式作出行政许可决定的具体程序，依照有关法律、行政法规的规定。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行政机关按照招标、拍卖程序确定中标人、买受人后，应当作出准予行政许可的决定，并依法向中标人、买受人颁发行政许可证件。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行政机关违反本条规定，不采用招标、拍卖方式，或者违反招标、拍卖程序，损害申请人合法权益的，申请人可以依法申请行政复议或者提起行政诉讼。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第五十四条</w:t>
      </w:r>
      <w:r>
        <w:rPr>
          <w:rFonts w:hint="eastAsia" w:ascii="方正仿宋简体" w:hAnsi="方正仿宋简体" w:eastAsia="方正仿宋简体" w:cs="方正仿宋简体"/>
          <w:b w:val="0"/>
          <w:bCs w:val="0"/>
          <w:color w:val="auto"/>
          <w:sz w:val="24"/>
          <w:szCs w:val="24"/>
          <w:lang w:val="en-US" w:eastAsia="zh-CN"/>
        </w:rPr>
        <w:t xml:space="preserve">  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w:t>
      </w:r>
      <w:r>
        <w:rPr>
          <w:rFonts w:hint="eastAsia" w:ascii="方正仿宋简体" w:hAnsi="方正仿宋简体" w:eastAsia="方正仿宋简体" w:cs="方正仿宋简体"/>
          <w:b w:val="0"/>
          <w:bCs w:val="0"/>
          <w:color w:val="auto"/>
          <w:sz w:val="24"/>
          <w:szCs w:val="24"/>
          <w:highlight w:val="none"/>
          <w:lang w:val="en-US" w:eastAsia="zh-CN"/>
        </w:rPr>
        <w:t>助考</w:t>
      </w:r>
      <w:r>
        <w:rPr>
          <w:rFonts w:hint="eastAsia" w:ascii="方正仿宋简体" w:hAnsi="方正仿宋简体" w:eastAsia="方正仿宋简体" w:cs="方正仿宋简体"/>
          <w:b w:val="0"/>
          <w:bCs w:val="0"/>
          <w:color w:val="auto"/>
          <w:sz w:val="24"/>
          <w:szCs w:val="24"/>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第五十五条</w:t>
      </w:r>
      <w:r>
        <w:rPr>
          <w:rFonts w:hint="eastAsia" w:ascii="方正仿宋简体" w:hAnsi="方正仿宋简体" w:eastAsia="方正仿宋简体" w:cs="方正仿宋简体"/>
          <w:b w:val="0"/>
          <w:bCs w:val="0"/>
          <w:color w:val="auto"/>
          <w:sz w:val="24"/>
          <w:szCs w:val="24"/>
          <w:lang w:val="en-US" w:eastAsia="zh-CN"/>
        </w:rPr>
        <w:t xml:space="preserve">  实施本法第十二条第四项所列事项的行政许可的，应当按照技术标准、技术规范依法进行检验、检测、检疫，行政机关根据检验、检测、检疫的结果作出行政许可决定。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行政机关实施检验、检测、检疫，应当自受理申请之日起五日内指派两名以上工作人员按照技术标准、技术规范进行检验、检测、检疫。不需要对检验、检测、检疫结果</w:t>
      </w:r>
      <w:r>
        <w:rPr>
          <w:rFonts w:hint="eastAsia" w:ascii="方正仿宋简体" w:hAnsi="方正仿宋简体" w:eastAsia="方正仿宋简体" w:cs="方正仿宋简体"/>
          <w:b w:val="0"/>
          <w:bCs w:val="0"/>
          <w:color w:val="auto"/>
          <w:sz w:val="24"/>
          <w:szCs w:val="24"/>
          <w:highlight w:val="none"/>
          <w:lang w:val="en-US" w:eastAsia="zh-CN"/>
        </w:rPr>
        <w:t>作进一步</w:t>
      </w:r>
      <w:r>
        <w:rPr>
          <w:rFonts w:hint="eastAsia" w:ascii="方正仿宋简体" w:hAnsi="方正仿宋简体" w:eastAsia="方正仿宋简体" w:cs="方正仿宋简体"/>
          <w:b w:val="0"/>
          <w:bCs w:val="0"/>
          <w:color w:val="auto"/>
          <w:sz w:val="24"/>
          <w:szCs w:val="24"/>
          <w:lang w:val="en-US" w:eastAsia="zh-CN"/>
        </w:rPr>
        <w:t>技术分析即可认定设备、设施、产品、物品是否符合技术标准、技术规范的，行政机关应当当场作出行政许可决定。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行政机关根据检验、检测、检疫结果，作出不予行政许可决定的，应当书面说明不予行政许可所依据的技术标准、技术规范。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第五十六条</w:t>
      </w:r>
      <w:r>
        <w:rPr>
          <w:rFonts w:hint="eastAsia" w:ascii="方正仿宋简体" w:hAnsi="方正仿宋简体" w:eastAsia="方正仿宋简体" w:cs="方正仿宋简体"/>
          <w:b w:val="0"/>
          <w:bCs w:val="0"/>
          <w:color w:val="auto"/>
          <w:sz w:val="24"/>
          <w:szCs w:val="24"/>
          <w:lang w:val="en-US" w:eastAsia="zh-CN"/>
        </w:rPr>
        <w:t xml:space="preserve">  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第五十七条</w:t>
      </w:r>
      <w:r>
        <w:rPr>
          <w:rFonts w:hint="eastAsia" w:ascii="方正仿宋简体" w:hAnsi="方正仿宋简体" w:eastAsia="方正仿宋简体" w:cs="方正仿宋简体"/>
          <w:b w:val="0"/>
          <w:bCs w:val="0"/>
          <w:color w:val="auto"/>
          <w:sz w:val="24"/>
          <w:szCs w:val="24"/>
          <w:lang w:val="en-US" w:eastAsia="zh-CN"/>
        </w:rPr>
        <w:t xml:space="preserve">  有数量限制的行政许可，两个或者两个以上申请人的申请均符合法定条件、标准的，行政机关应当根据受理行政许可申请的先后顺序作出准予行政许可的决定。但是，法律、行政法规另有规定的，依照其规定。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center"/>
        <w:textAlignment w:val="auto"/>
        <w:rPr>
          <w:rFonts w:hint="eastAsia" w:ascii="方正仿宋简体" w:hAnsi="方正仿宋简体" w:eastAsia="方正仿宋简体" w:cs="方正仿宋简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第五章 行政许可的费用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第五十八条</w:t>
      </w:r>
      <w:r>
        <w:rPr>
          <w:rFonts w:hint="eastAsia" w:ascii="方正仿宋简体" w:hAnsi="方正仿宋简体" w:eastAsia="方正仿宋简体" w:cs="方正仿宋简体"/>
          <w:b w:val="0"/>
          <w:bCs w:val="0"/>
          <w:color w:val="auto"/>
          <w:sz w:val="24"/>
          <w:szCs w:val="24"/>
          <w:lang w:val="en-US" w:eastAsia="zh-CN"/>
        </w:rPr>
        <w:t xml:space="preserve"> 行政机关实施行政许可和对行政许可事项进行监督检查，不得收取任何费用。但是，法律、行政法规另有规定的，依照其规定。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行政机关提供行政许可申请书格式文本，不得收费。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行政机关实施行政许可所需经费应当列入本行政机关的预算，由本级财政予以保障，按照批准的预算予以核拨。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第五十九条</w:t>
      </w:r>
      <w:r>
        <w:rPr>
          <w:rFonts w:hint="eastAsia" w:ascii="方正仿宋简体" w:hAnsi="方正仿宋简体" w:eastAsia="方正仿宋简体" w:cs="方正仿宋简体"/>
          <w:b w:val="0"/>
          <w:bCs w:val="0"/>
          <w:color w:val="auto"/>
          <w:sz w:val="24"/>
          <w:szCs w:val="24"/>
          <w:lang w:val="en-US" w:eastAsia="zh-CN"/>
        </w:rPr>
        <w:t xml:space="preserve">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第六章  监督检查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第六十条</w:t>
      </w:r>
      <w:r>
        <w:rPr>
          <w:rFonts w:hint="eastAsia" w:ascii="方正仿宋简体" w:hAnsi="方正仿宋简体" w:eastAsia="方正仿宋简体" w:cs="方正仿宋简体"/>
          <w:b w:val="0"/>
          <w:bCs w:val="0"/>
          <w:color w:val="auto"/>
          <w:sz w:val="24"/>
          <w:szCs w:val="24"/>
          <w:lang w:val="en-US" w:eastAsia="zh-CN"/>
        </w:rPr>
        <w:t xml:space="preserve">  上级行政机关应当加强对下级行政机关实施行政许可的监督检查，及时纠正行政许可实施中的违法行为。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第六十一条</w:t>
      </w:r>
      <w:r>
        <w:rPr>
          <w:rFonts w:hint="eastAsia" w:ascii="方正仿宋简体" w:hAnsi="方正仿宋简体" w:eastAsia="方正仿宋简体" w:cs="方正仿宋简体"/>
          <w:b w:val="0"/>
          <w:bCs w:val="0"/>
          <w:color w:val="auto"/>
          <w:sz w:val="24"/>
          <w:szCs w:val="24"/>
          <w:lang w:val="en-US" w:eastAsia="zh-CN"/>
        </w:rPr>
        <w:t xml:space="preserve">  行政机关应当建立健全监督制度，通过核查反映被许可人从事行政许可事项活动情况的有关材料，履行监督责任。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行政机关依法对被许可人从事行政许可事项的活动进行监督检查时，应当将监督检查的情况和处理结果予以记录，由监督检查人员签字后归档。公众有权查阅行政机关监督检查记录。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行政机关应当创造条件，实现与被许可人、其他有关行政机关的计算机档案系统互联，核查被许可人从事行政许可事项活动情况。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第六十二条</w:t>
      </w:r>
      <w:r>
        <w:rPr>
          <w:rFonts w:hint="eastAsia" w:ascii="方正仿宋简体" w:hAnsi="方正仿宋简体" w:eastAsia="方正仿宋简体" w:cs="方正仿宋简体"/>
          <w:b w:val="0"/>
          <w:bCs w:val="0"/>
          <w:color w:val="auto"/>
          <w:sz w:val="24"/>
          <w:szCs w:val="24"/>
          <w:lang w:val="en-US" w:eastAsia="zh-CN"/>
        </w:rPr>
        <w:t xml:space="preserve">  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行政机关根据法律、行政法规的规定，对直接关系公共安全、人身健康、生命财产安全的重要设备、设施进行定期检验。对检验合格的，行政机关应当发给相应的证明文件。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第六十三条</w:t>
      </w:r>
      <w:r>
        <w:rPr>
          <w:rFonts w:hint="eastAsia" w:ascii="方正仿宋简体" w:hAnsi="方正仿宋简体" w:eastAsia="方正仿宋简体" w:cs="方正仿宋简体"/>
          <w:b w:val="0"/>
          <w:bCs w:val="0"/>
          <w:color w:val="auto"/>
          <w:sz w:val="24"/>
          <w:szCs w:val="24"/>
          <w:lang w:val="en-US" w:eastAsia="zh-CN"/>
        </w:rPr>
        <w:t xml:space="preserve">  行政机关实施监督检查，不得妨碍被许可人正常的生产经营活动，不得索取或者收受被许可人的财物，不得谋取其他利益。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第六十四条 </w:t>
      </w:r>
      <w:r>
        <w:rPr>
          <w:rFonts w:hint="eastAsia" w:ascii="方正仿宋简体" w:hAnsi="方正仿宋简体" w:eastAsia="方正仿宋简体" w:cs="方正仿宋简体"/>
          <w:b w:val="0"/>
          <w:bCs w:val="0"/>
          <w:color w:val="auto"/>
          <w:sz w:val="24"/>
          <w:szCs w:val="24"/>
          <w:lang w:val="en-US" w:eastAsia="zh-CN"/>
        </w:rPr>
        <w:t xml:space="preserve"> 被许可人在作出行政许可决定的行政机关管辖区域外违法从事行政许可事项活动的，违法行为发生地的行政机关应当依法将被许可人的违法事实、处理结果抄告作出行政许可决定的行政机关。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第六十五条</w:t>
      </w:r>
      <w:r>
        <w:rPr>
          <w:rFonts w:hint="eastAsia" w:ascii="方正仿宋简体" w:hAnsi="方正仿宋简体" w:eastAsia="方正仿宋简体" w:cs="方正仿宋简体"/>
          <w:b w:val="0"/>
          <w:bCs w:val="0"/>
          <w:color w:val="auto"/>
          <w:sz w:val="24"/>
          <w:szCs w:val="24"/>
          <w:lang w:val="en-US" w:eastAsia="zh-CN"/>
        </w:rPr>
        <w:t xml:space="preserve">  个人和组织发现违法从事行政许可事项的活动，有权向行政机关举报，行政机关应当及时核实、处理。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第六十六条 </w:t>
      </w:r>
      <w:r>
        <w:rPr>
          <w:rFonts w:hint="eastAsia" w:ascii="方正仿宋简体" w:hAnsi="方正仿宋简体" w:eastAsia="方正仿宋简体" w:cs="方正仿宋简体"/>
          <w:b w:val="0"/>
          <w:bCs w:val="0"/>
          <w:color w:val="auto"/>
          <w:sz w:val="24"/>
          <w:szCs w:val="24"/>
          <w:lang w:val="en-US" w:eastAsia="zh-CN"/>
        </w:rPr>
        <w:t xml:space="preserve"> 被许可人未依法履行开发利用自然资源义务或者未依法履行利用公共资源义务的，行政机关应当责令限期改正；被许可人在规定期限内不改正的，行政机关应当依照有关法律、行政法规的规定予以处理。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第六十七条 </w:t>
      </w:r>
      <w:r>
        <w:rPr>
          <w:rFonts w:hint="eastAsia" w:ascii="方正仿宋简体" w:hAnsi="方正仿宋简体" w:eastAsia="方正仿宋简体" w:cs="方正仿宋简体"/>
          <w:b w:val="0"/>
          <w:bCs w:val="0"/>
          <w:color w:val="auto"/>
          <w:sz w:val="24"/>
          <w:szCs w:val="24"/>
          <w:lang w:val="en-US" w:eastAsia="zh-CN"/>
        </w:rPr>
        <w:t xml:space="preserve"> 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被许可人不履行前款规定的义务的，行政机关应当责令限期改正，或者依法采取有效措施督促其履行义务。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第六十八条</w:t>
      </w:r>
      <w:r>
        <w:rPr>
          <w:rFonts w:hint="eastAsia" w:ascii="方正仿宋简体" w:hAnsi="方正仿宋简体" w:eastAsia="方正仿宋简体" w:cs="方正仿宋简体"/>
          <w:b w:val="0"/>
          <w:bCs w:val="0"/>
          <w:color w:val="auto"/>
          <w:sz w:val="24"/>
          <w:szCs w:val="24"/>
          <w:lang w:val="en-US" w:eastAsia="zh-CN"/>
        </w:rPr>
        <w:t xml:space="preserve">  对直接关系公共安全、人身健康、生命财产安全的重要设备、设施，行政机关应当督促设计、建造、安装和使用单位建立相应的自检制度。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行政机关在监督检查时，发现直接关系公共安全、人身健康、生命财产安全的重要设备、设施存在安全隐患的，应当责令停止建造、安装和使用，并责令设计、建造、安装和使用单位立即改正。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第六十九条</w:t>
      </w:r>
      <w:r>
        <w:rPr>
          <w:rFonts w:hint="eastAsia" w:ascii="方正仿宋简体" w:hAnsi="方正仿宋简体" w:eastAsia="方正仿宋简体" w:cs="方正仿宋简体"/>
          <w:b w:val="0"/>
          <w:bCs w:val="0"/>
          <w:color w:val="auto"/>
          <w:sz w:val="24"/>
          <w:szCs w:val="24"/>
          <w:lang w:val="en-US" w:eastAsia="zh-CN"/>
        </w:rPr>
        <w:t xml:space="preserve">  有下列情形之一的，作出行政许可决定的行政机关或者其上级行政机关，根据利害关系人的请求或者依据职权，可以撤销行政许可：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（一）行政机关工作人员滥用职权、玩忽职守作出准予行政许可决定的；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（二）超越法定职权作出准予行政许可决定的；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（三）违反法定程序作出准予行政许可决定的；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（四）对不具备申请资格或者不符合法定条件的申请人准予行政许可的；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（五）依法可以撤销行政许可的其他情形。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被许可人以欺骗、贿赂等不正当手段取得行政许可的，应当予以撤销。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依照前两款的规定撤销行政许可，可能对公共利益造成重大损害的，不予撤销。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依照本条第一款的规定撤销行政许可，被许可人的合法权益受到损害的，行政机关应当依法给予赔偿。依照本条第二款的规定撤销行政许可的，被许可人基于行政许可取得的利益不受保护。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第七十条</w:t>
      </w:r>
      <w:r>
        <w:rPr>
          <w:rFonts w:hint="eastAsia" w:ascii="方正仿宋简体" w:hAnsi="方正仿宋简体" w:eastAsia="方正仿宋简体" w:cs="方正仿宋简体"/>
          <w:b w:val="0"/>
          <w:bCs w:val="0"/>
          <w:color w:val="auto"/>
          <w:sz w:val="24"/>
          <w:szCs w:val="24"/>
          <w:lang w:val="en-US" w:eastAsia="zh-CN"/>
        </w:rPr>
        <w:t xml:space="preserve">  有下列情形之一的，行政机关应当依法办理有关行政许可的注销手续：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（一）行政许可有效期届满未延续的；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（二）赋予公民特定资格的行政许可，该公民死亡或者丧失行为能力的；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（三）法人或者其他组织依法终止的；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（四）行政许可依法被撤销、撤回，或者行政许可证件依法被吊销的；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（五）因不可抗力导致行政许可事项无法实施的；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（六）法律、法规规定的应当注销行政许可的其他情形。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第七章 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第七十一条  </w:t>
      </w:r>
      <w:r>
        <w:rPr>
          <w:rFonts w:hint="eastAsia" w:ascii="方正仿宋简体" w:hAnsi="方正仿宋简体" w:eastAsia="方正仿宋简体" w:cs="方正仿宋简体"/>
          <w:b w:val="0"/>
          <w:bCs w:val="0"/>
          <w:color w:val="auto"/>
          <w:sz w:val="24"/>
          <w:szCs w:val="24"/>
          <w:lang w:val="en-US" w:eastAsia="zh-CN"/>
        </w:rPr>
        <w:t>违反本法第十七条规定设定的行政许可，有关机关应当责令设定该行政许可的机关改正，或者依法予以撤销。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第七十二条  </w:t>
      </w:r>
      <w:r>
        <w:rPr>
          <w:rFonts w:hint="eastAsia" w:ascii="方正仿宋简体" w:hAnsi="方正仿宋简体" w:eastAsia="方正仿宋简体" w:cs="方正仿宋简体"/>
          <w:b w:val="0"/>
          <w:bCs w:val="0"/>
          <w:color w:val="auto"/>
          <w:sz w:val="24"/>
          <w:szCs w:val="24"/>
          <w:lang w:val="en-US" w:eastAsia="zh-CN"/>
        </w:rPr>
        <w:t>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（一）对符合法定条件的行政许可申请不予受理的；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（二）不在办公场所公示依法应当公示的材料的；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（三）在受理、审查、决定行政许可过程中，未向申请人、利害关系人履行法定告知义务的；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（四）申请人提交的申请材料不齐全、不符合法定形式，不一次告知申请人必须补正的全部内容的；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（五）未依法说明不受理行政许可申请或者不予行政许可的理由的；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（六）依法应当举行听证而不举行听证的。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第七十三条 </w:t>
      </w:r>
      <w:r>
        <w:rPr>
          <w:rFonts w:hint="eastAsia" w:ascii="方正仿宋简体" w:hAnsi="方正仿宋简体" w:eastAsia="方正仿宋简体" w:cs="方正仿宋简体"/>
          <w:b w:val="0"/>
          <w:bCs w:val="0"/>
          <w:color w:val="auto"/>
          <w:sz w:val="24"/>
          <w:szCs w:val="24"/>
          <w:lang w:val="en-US" w:eastAsia="zh-CN"/>
        </w:rPr>
        <w:t xml:space="preserve"> 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第七十四条 </w:t>
      </w:r>
      <w:r>
        <w:rPr>
          <w:rFonts w:hint="eastAsia" w:ascii="方正仿宋简体" w:hAnsi="方正仿宋简体" w:eastAsia="方正仿宋简体" w:cs="方正仿宋简体"/>
          <w:b w:val="0"/>
          <w:bCs w:val="0"/>
          <w:color w:val="auto"/>
          <w:sz w:val="24"/>
          <w:szCs w:val="24"/>
          <w:lang w:val="en-US" w:eastAsia="zh-CN"/>
        </w:rPr>
        <w:t xml:space="preserve"> 行政机关实施行政许可，有下列情形之一的，由其上级行政机关或者监察机关责令改正，对直接负责的主管人员和其他直接责任人员依法给予行政处分；构成犯罪的，依法追究刑事责任：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（一）对不符合法定条件的申请人准予行政许可或者超越法定职权作出准予行政许可决定的；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（二）对符合法定条件的申请人不予行政许可或者不在法定期限内作出准予行政许可决定的；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第七十五条</w:t>
      </w:r>
      <w:r>
        <w:rPr>
          <w:rFonts w:hint="eastAsia" w:ascii="方正仿宋简体" w:hAnsi="方正仿宋简体" w:eastAsia="方正仿宋简体" w:cs="方正仿宋简体"/>
          <w:b w:val="0"/>
          <w:bCs w:val="0"/>
          <w:color w:val="auto"/>
          <w:sz w:val="24"/>
          <w:szCs w:val="24"/>
          <w:lang w:val="en-US" w:eastAsia="zh-CN"/>
        </w:rPr>
        <w:t xml:space="preserve">  行政机关实施行政许可，擅自收费或者不按照法定项目和标准收费的，由其上级行政机关或者监察机关责令退还非法收取的费用；对直接负责的主管人员和其他直接责任人员依法给予行政处分。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第七十六条</w:t>
      </w:r>
      <w:r>
        <w:rPr>
          <w:rFonts w:hint="eastAsia" w:ascii="方正仿宋简体" w:hAnsi="方正仿宋简体" w:eastAsia="方正仿宋简体" w:cs="方正仿宋简体"/>
          <w:b w:val="0"/>
          <w:bCs w:val="0"/>
          <w:color w:val="auto"/>
          <w:sz w:val="24"/>
          <w:szCs w:val="24"/>
          <w:lang w:val="en-US" w:eastAsia="zh-CN"/>
        </w:rPr>
        <w:t xml:space="preserve">  行政机关违法实施行政许可，给当事人的合法权益造成损害的，应当依照国家赔偿法的规定给予赔偿。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第七十七条</w:t>
      </w:r>
      <w:r>
        <w:rPr>
          <w:rFonts w:hint="eastAsia" w:ascii="方正仿宋简体" w:hAnsi="方正仿宋简体" w:eastAsia="方正仿宋简体" w:cs="方正仿宋简体"/>
          <w:b w:val="0"/>
          <w:bCs w:val="0"/>
          <w:color w:val="auto"/>
          <w:sz w:val="24"/>
          <w:szCs w:val="24"/>
          <w:lang w:val="en-US" w:eastAsia="zh-CN"/>
        </w:rPr>
        <w:t xml:space="preserve">  行政机关不依法履行监督职责或者监督不力，造成严重后果的，由其上级行政机关或者监察机关责令改正，对直接负责的主管人员和其他直接责任人员依法给予行政处分；构成犯罪的，依法追究刑事责任。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第七十八条 </w:t>
      </w:r>
      <w:r>
        <w:rPr>
          <w:rFonts w:hint="eastAsia" w:ascii="方正仿宋简体" w:hAnsi="方正仿宋简体" w:eastAsia="方正仿宋简体" w:cs="方正仿宋简体"/>
          <w:b w:val="0"/>
          <w:bCs w:val="0"/>
          <w:color w:val="auto"/>
          <w:sz w:val="24"/>
          <w:szCs w:val="24"/>
          <w:lang w:val="en-US" w:eastAsia="zh-CN"/>
        </w:rPr>
        <w:t xml:space="preserve"> 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第七十九条 </w:t>
      </w:r>
      <w:r>
        <w:rPr>
          <w:rFonts w:hint="eastAsia" w:ascii="方正仿宋简体" w:hAnsi="方正仿宋简体" w:eastAsia="方正仿宋简体" w:cs="方正仿宋简体"/>
          <w:b w:val="0"/>
          <w:bCs w:val="0"/>
          <w:color w:val="auto"/>
          <w:sz w:val="24"/>
          <w:szCs w:val="24"/>
          <w:lang w:val="en-US" w:eastAsia="zh-CN"/>
        </w:rPr>
        <w:t xml:space="preserve">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第八十条</w:t>
      </w:r>
      <w:r>
        <w:rPr>
          <w:rFonts w:hint="eastAsia" w:ascii="方正仿宋简体" w:hAnsi="方正仿宋简体" w:eastAsia="方正仿宋简体" w:cs="方正仿宋简体"/>
          <w:b w:val="0"/>
          <w:bCs w:val="0"/>
          <w:color w:val="auto"/>
          <w:sz w:val="24"/>
          <w:szCs w:val="24"/>
          <w:lang w:val="en-US" w:eastAsia="zh-CN"/>
        </w:rPr>
        <w:t xml:space="preserve">  被许可人有下列行为之一的，行政机关应当依法给予行政处罚；构成犯罪的，依法追究刑事责任：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（一）涂改、倒卖、出租、出借行政许可证件，或者以其他形式非法转让行政许可的；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（二）超越行政许可范围进行活动的；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（三）向负责监督检查的行政机关隐瞒有关情况、提供虚假材料或者拒绝提供反映其活动情况的真实材料的；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（四）法律、法规、规章规定的其他违法行为。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第八十一条 </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公民、法人或者其他组织未经行政许可，擅自从事依法应当取得行政许可的活动的，行政机关应当依法采取措施予以制止，并依法给予行政处罚；构成犯罪的，依法追究刑事责任。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第八章  附则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第八十二条</w:t>
      </w:r>
      <w:r>
        <w:rPr>
          <w:rFonts w:hint="eastAsia" w:ascii="方正仿宋简体" w:hAnsi="方正仿宋简体" w:eastAsia="方正仿宋简体" w:cs="方正仿宋简体"/>
          <w:b w:val="0"/>
          <w:bCs w:val="0"/>
          <w:color w:val="auto"/>
          <w:sz w:val="24"/>
          <w:szCs w:val="24"/>
          <w:lang w:val="en-US" w:eastAsia="zh-CN"/>
        </w:rPr>
        <w:t xml:space="preserve">  本法规定的行政机关实施行政许可的期限以工作日计算，不含法定节假日。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第八十三条 </w:t>
      </w:r>
      <w:r>
        <w:rPr>
          <w:rFonts w:hint="eastAsia" w:ascii="方正仿宋简体" w:hAnsi="方正仿宋简体" w:eastAsia="方正仿宋简体" w:cs="方正仿宋简体"/>
          <w:b w:val="0"/>
          <w:bCs w:val="0"/>
          <w:color w:val="auto"/>
          <w:sz w:val="24"/>
          <w:szCs w:val="24"/>
          <w:lang w:val="en-US" w:eastAsia="zh-CN"/>
        </w:rPr>
        <w:t xml:space="preserve"> 本法自2004年７月１日起施行。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本法施行前有关行政许可的规定，制定机关应当依照本法规定予以清理；不符合本法规定的，自本法施行之日起停止执行。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中华人民共和国行政强制法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（2011年６月30日第十一届全国人民代表大会常务委员会第二十一次会议通过   2011年6月30日中华人民共和国主席令第49号公布  自2012年1月1日起施行）</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xml:space="preserve">  为了规范行政强制的设定和实施，保障和监督行政机关依法履行职责，维护公共利益和社会秩序，保护公民、法人和其他组织的合法权益，根据宪法，制定本法。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xml:space="preserve">  本法所称行政强制，包括行政强制措施和行政强制执行。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行政强制执行，是指行政机关或者行政机关申请人民法院，对不履行行政决定的公民、法人或者其他组织，依法强制履行义务的行为。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xml:space="preserve">  行政强制的设定和实施，适用本法。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发生或者即将发生自然灾害、事故灾难、公共卫生事件或者社会安全事件等突发事件，行政机关采取应急措施或者临时措施，依照有关法律、行政法规的规定执行。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行政机关采取金融业审慎监管措施、进出境货物强制性技术监控措施，依照有关法律、行政法规的规定执行。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第四条 </w:t>
      </w:r>
      <w:r>
        <w:rPr>
          <w:rFonts w:hint="eastAsia" w:ascii="方正仿宋简体" w:hAnsi="方正仿宋简体" w:eastAsia="方正仿宋简体" w:cs="方正仿宋简体"/>
          <w:b w:val="0"/>
          <w:bCs w:val="0"/>
          <w:color w:val="auto"/>
          <w:sz w:val="24"/>
          <w:szCs w:val="24"/>
          <w:lang w:val="en-US" w:eastAsia="zh-CN"/>
        </w:rPr>
        <w:t xml:space="preserve"> 行政强制的设定和实施，应当依照法定的权限、范围、条件和程序。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xml:space="preserve">  行政强制的设定和实施，应当适当。采用非强制手段可以达到行政管理目的的，不得设定和实施行政强制。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第六条 </w:t>
      </w:r>
      <w:r>
        <w:rPr>
          <w:rFonts w:hint="eastAsia" w:ascii="方正仿宋简体" w:hAnsi="方正仿宋简体" w:eastAsia="方正仿宋简体" w:cs="方正仿宋简体"/>
          <w:b w:val="0"/>
          <w:bCs w:val="0"/>
          <w:color w:val="auto"/>
          <w:sz w:val="24"/>
          <w:szCs w:val="24"/>
          <w:lang w:val="en-US" w:eastAsia="zh-CN"/>
        </w:rPr>
        <w:t xml:space="preserve"> 实施行政强制，应当坚持教育与强制相结合。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第七条 </w:t>
      </w:r>
      <w:r>
        <w:rPr>
          <w:rFonts w:hint="eastAsia" w:ascii="方正仿宋简体" w:hAnsi="方正仿宋简体" w:eastAsia="方正仿宋简体" w:cs="方正仿宋简体"/>
          <w:b w:val="0"/>
          <w:bCs w:val="0"/>
          <w:color w:val="auto"/>
          <w:sz w:val="24"/>
          <w:szCs w:val="24"/>
          <w:lang w:val="en-US" w:eastAsia="zh-CN"/>
        </w:rPr>
        <w:t xml:space="preserve"> 行政机关及其工作人员不得利用行政强制权为单位或者个人谋取利益。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公民、法人或者其他组织对行政机关实施行政强制，享有陈述权、申辩权；有权依法申请行政复议或者提起行政诉讼；因行政机关违法实施行政强制受到损害的，有权依法要求赔偿。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公民、法人或者其他组织因人民法院在强制执行中有违法行为或者扩大强制执行范围受到损害的，有权依法要求赔偿。</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第二章 行政强制的种类和设定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xml:space="preserve">  行政强制措施的种类：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（一）限制公民人身自由；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（二）查封场所、设施或者财物；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（三）扣押财物；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（四）冻结存款、汇款；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（五）其他行政强制措施。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xml:space="preserve">  行政强制措施由法律设定。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尚未制定法律，且属于国务院行政管理职权事项的，行政法规可以设定除本法第九条第一项、第四项和应当由法律规定的行政强制措施以外的其他行政强制措施。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尚未制定法律、行政法规，且属于地方性事务的，地方性法规可以设定本法第九条第二项、第三项的行政强制措施。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法律、法规以外的其他规范性文件不得设定行政强制措施。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xml:space="preserve">  法律对行政强制措施的对象、条件、种类</w:t>
      </w:r>
      <w:r>
        <w:rPr>
          <w:rFonts w:hint="eastAsia" w:ascii="方正仿宋简体" w:hAnsi="方正仿宋简体" w:eastAsia="方正仿宋简体" w:cs="方正仿宋简体"/>
          <w:b w:val="0"/>
          <w:bCs w:val="0"/>
          <w:color w:val="auto"/>
          <w:sz w:val="24"/>
          <w:szCs w:val="24"/>
          <w:highlight w:val="none"/>
          <w:lang w:val="en-US" w:eastAsia="zh-CN"/>
        </w:rPr>
        <w:t>作了规定</w:t>
      </w:r>
      <w:r>
        <w:rPr>
          <w:rFonts w:hint="eastAsia" w:ascii="方正仿宋简体" w:hAnsi="方正仿宋简体" w:eastAsia="方正仿宋简体" w:cs="方正仿宋简体"/>
          <w:b w:val="0"/>
          <w:bCs w:val="0"/>
          <w:color w:val="auto"/>
          <w:sz w:val="24"/>
          <w:szCs w:val="24"/>
          <w:lang w:val="en-US" w:eastAsia="zh-CN"/>
        </w:rPr>
        <w:t>的，行政法规、地方性法规不得作出扩大规定。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xml:space="preserve">  行政强制执行的方式：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（一）加处罚款或者滞纳金；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（二）划拨存款、汇款；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（三）拍卖或者依法处理查封、扣押的场所、设施或者财物；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（四）排除妨碍、恢复原状；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（五）代履行；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（六）其他强制执行方式。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xml:space="preserve">  行政强制执行由法律设定。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法律没有规定行政机关强制执行的，作出行政决定的行政机关应当申请人民法院强制执行。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xml:space="preserve">  起草法律草案、法规草案，拟设定行政强制的，起草单位应当采取听证会、论证会等形式听取意见，并向制定机关说明设定该行政强制的必要性、可能产生的影响以及听取和采纳意见的情况。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xml:space="preserve">  行政强制的设定机关应当定期对其设定的行政强制进行评价，并对不适当的行政强制及时予以修改或者废止。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行政强制的实施机关可以对已设定的行政强制的实施情况及存在的必要性适时进行评价，并将意见报告该行政强制的设定机关。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公民、法人或者其他组织可以向行政强制的设定机关和实施机关就行政强制的设定和实施提出意见和建议。有关机关应当认真研究论证，并以适当方式予以反馈。</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第三章 行政强制措施实施程序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一般规定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第十六条 </w:t>
      </w:r>
      <w:r>
        <w:rPr>
          <w:rFonts w:hint="eastAsia" w:ascii="方正仿宋简体" w:hAnsi="方正仿宋简体" w:eastAsia="方正仿宋简体" w:cs="方正仿宋简体"/>
          <w:b w:val="0"/>
          <w:bCs w:val="0"/>
          <w:color w:val="auto"/>
          <w:sz w:val="24"/>
          <w:szCs w:val="24"/>
          <w:lang w:val="en-US" w:eastAsia="zh-CN"/>
        </w:rPr>
        <w:t xml:space="preserve"> 行政机关履行行政管理职责，依照法律、法规的规定，实施行政强制措施。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违法行为情节显著轻微或者没有明显社会危害的，可以不采取行政强制措施。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xml:space="preserve">  行政强制措施由法律、法规规定的行政机关在法定职权范围内实施。行政强制措施权不得委托。</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依据《中华人民共和国行政处罚法》的规定行使相对集中行政处罚权的行政机关，可以实施法律、法规规定的与行政处罚权有关的行政强制措施。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行政强制措施应当由行政机关具备资格的行政执法人员实施，其他人员不得实施。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第十八条 </w:t>
      </w:r>
      <w:r>
        <w:rPr>
          <w:rFonts w:hint="eastAsia" w:ascii="方正仿宋简体" w:hAnsi="方正仿宋简体" w:eastAsia="方正仿宋简体" w:cs="方正仿宋简体"/>
          <w:b w:val="0"/>
          <w:bCs w:val="0"/>
          <w:color w:val="auto"/>
          <w:sz w:val="24"/>
          <w:szCs w:val="24"/>
          <w:lang w:val="en-US" w:eastAsia="zh-CN"/>
        </w:rPr>
        <w:t xml:space="preserve"> 行政机关实施行政强制措施应当遵守下列规定：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（一）实施前须向行政机关负责人报告并经批准；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（二）由两名以上行政执法人员实施；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（三）出示执法身份证件；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（四）通知当事人到场；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（五）当场告知当事人采取行政强制措施的理由、依据以及当事人依法享有的权利、救济途径；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（六）听取当事人的陈述和申辩；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（七）制作现场笔录；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（八）现场笔录由当事人和行政执法人员签名或者盖章，当事人拒绝的，在笔录中予以注明；</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（九）当事人不到场的，邀请见证人到场，由见证人和行政执法人员在现场笔录上签名或者盖章；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（十）法律、法规规定的其他程序。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第十九条 </w:t>
      </w:r>
      <w:r>
        <w:rPr>
          <w:rFonts w:hint="eastAsia" w:ascii="方正仿宋简体" w:hAnsi="方正仿宋简体" w:eastAsia="方正仿宋简体" w:cs="方正仿宋简体"/>
          <w:b w:val="0"/>
          <w:bCs w:val="0"/>
          <w:color w:val="auto"/>
          <w:sz w:val="24"/>
          <w:szCs w:val="24"/>
          <w:lang w:val="en-US" w:eastAsia="zh-CN"/>
        </w:rPr>
        <w:t xml:space="preserve"> 情况紧急，需要当场实施行政强制措施的，行政执法人员应当在二十四小时内向行政机关负责人报告，并补办批准手续。行政机关负责人认为不应当采取行政强制措施的，应当立即解除。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xml:space="preserve">  依照法律规定实施限制公民人身自由的行政强制措施，除应当履行本法第十八条规定的程序外，还应当遵守下列规定：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（一）当场告知或者实施行政强制措施后立即通知当事人家属实施行政强制措施的行政机关、地点和期限；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（二）在紧急情况下当场实施行政强制措施的，在返回行政机关后，立即向行政机关负责人报告并补办批准手续；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（三）法律规定的其他程序。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实施限制人身自由的行政强制措施不得超过法定期限。实施行政强制措施的目的已经达到或者条件已经消失，应当立即解除。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第二十一条 </w:t>
      </w:r>
      <w:r>
        <w:rPr>
          <w:rFonts w:hint="eastAsia" w:ascii="方正仿宋简体" w:hAnsi="方正仿宋简体" w:eastAsia="方正仿宋简体" w:cs="方正仿宋简体"/>
          <w:b w:val="0"/>
          <w:bCs w:val="0"/>
          <w:color w:val="auto"/>
          <w:sz w:val="24"/>
          <w:szCs w:val="24"/>
          <w:lang w:val="en-US" w:eastAsia="zh-CN"/>
        </w:rPr>
        <w:t xml:space="preserve"> 违法行为涉嫌犯罪应当移送司法机关的，行政机关应当将查封、扣押、冻结的财物一并移送，并书面告知当事人。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查封、扣押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xml:space="preserve">  查封、扣押应当由法律、法规规定的行政机关实施，其他任何行政机关或者组织不得实施。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xml:space="preserve">  查封、扣押限于涉案的场所、设施或者财物，不得查封、扣押与违法行为无关的场所、设施或者财物；不得查封、扣押公民个人及其所扶养家属的生活必需品。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当事人的场所、设施或者财物已被其他国家机关依法查封的，不得重复查封。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第二十四条</w:t>
      </w:r>
      <w:r>
        <w:rPr>
          <w:rFonts w:hint="eastAsia" w:ascii="方正仿宋简体" w:hAnsi="方正仿宋简体" w:eastAsia="方正仿宋简体" w:cs="方正仿宋简体"/>
          <w:b w:val="0"/>
          <w:bCs w:val="0"/>
          <w:color w:val="auto"/>
          <w:sz w:val="24"/>
          <w:szCs w:val="24"/>
          <w:lang w:val="en-US" w:eastAsia="zh-CN"/>
        </w:rPr>
        <w:t xml:space="preserve">  行政机关决定实施查封、扣押的，应当履行本法第十八条规定的程序，制作并当场交付查封、扣押决定书和清单。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查封、扣押决定书应当载明下列事项：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（一）当事人的姓名或者名称、地址；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（二）查封、扣押的理由、依据和期限；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（三）查封、扣押场所、设施或者财物的名称、数量等；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（四）申请行政复议或者提起行政诉讼的途径和期限；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（五）行政机关的名称、印章和日期。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查封、扣押清单一式二份，由当事人和行政机关分别保存。</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第二十五条 </w:t>
      </w:r>
      <w:r>
        <w:rPr>
          <w:rFonts w:hint="eastAsia" w:ascii="方正仿宋简体" w:hAnsi="方正仿宋简体" w:eastAsia="方正仿宋简体" w:cs="方正仿宋简体"/>
          <w:b w:val="0"/>
          <w:bCs w:val="0"/>
          <w:color w:val="auto"/>
          <w:sz w:val="24"/>
          <w:szCs w:val="24"/>
          <w:lang w:val="en-US" w:eastAsia="zh-CN"/>
        </w:rPr>
        <w:t xml:space="preserve"> 查封、扣押的期限不得超过三十日；情况复杂的，经行政机关负责人批准，可以延长，但是延长期限不得超过三十日。法律、行政法规另有规定的除外。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延长查封、扣押的决定应当及时书面告知当事人，并说明理由。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xml:space="preserve">  对查封、扣押的场所、设施或者财物，行政机关应当妥善保管，不得使用或者损毁；造成损失的，应当承担赔偿责任。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对查封的场所、设施或者财物，行政机关可以委托第三人保管，第三人不得损毁或者擅自转移、处置。因第三人的原因造成的损失，行政机关先行赔付后，有权向第三人追偿。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因查封、扣押发生的保管费用由行政机关承担。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xml:space="preserve">  行政机关采取查封、扣押措施后，应当及时查清事实，在本法第二十五条规定的期限内</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决定。对违法事实清楚，依法应当没收的非法财物予以没收；法律、行政法规规定应当销毁的，依法销毁；应当解除查封、扣押的，作出解除查封、扣押的决定。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第二十八条 </w:t>
      </w:r>
      <w:r>
        <w:rPr>
          <w:rFonts w:hint="eastAsia" w:ascii="方正仿宋简体" w:hAnsi="方正仿宋简体" w:eastAsia="方正仿宋简体" w:cs="方正仿宋简体"/>
          <w:b w:val="0"/>
          <w:bCs w:val="0"/>
          <w:color w:val="auto"/>
          <w:sz w:val="24"/>
          <w:szCs w:val="24"/>
          <w:lang w:val="en-US" w:eastAsia="zh-CN"/>
        </w:rPr>
        <w:t xml:space="preserve"> 有下列情形之一的，行政机关应当及时作出解除查封、扣押决定：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（一）当事人没有违法行为；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（二）查封、扣押的场所、设施或者财物与违法行为无关；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（三）行政机关对违法行为已经</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决定，不再需要查封、扣押；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（四）查封、扣押期限已经届满；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（五）其他不再需要采取查封、扣押措施的情形。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解除查封、扣押应当立即退还财物；已将鲜活物品或者其他不易保管的财物拍卖或者变卖的，退还拍卖或者变卖所得款项。变卖价格明显低于市场价格，给当事人造成损失的，应当给予补偿。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冻结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xml:space="preserve">  冻结存款、汇款应当由法律规定的行政机关实施，不得委托给其他行政机关或者组织；其他任何行政机关或者组织不得冻结存款、汇款。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冻结存款、汇款的数额应当与违法行为涉及的金额相当；已被其他国家机关依法冻结的，不得重复冻结。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第三十条 </w:t>
      </w:r>
      <w:r>
        <w:rPr>
          <w:rFonts w:hint="eastAsia" w:ascii="方正仿宋简体" w:hAnsi="方正仿宋简体" w:eastAsia="方正仿宋简体" w:cs="方正仿宋简体"/>
          <w:b w:val="0"/>
          <w:bCs w:val="0"/>
          <w:color w:val="auto"/>
          <w:sz w:val="24"/>
          <w:szCs w:val="24"/>
          <w:lang w:val="en-US" w:eastAsia="zh-CN"/>
        </w:rPr>
        <w:t xml:space="preserve"> 行政机关依照法律规定决定实施冻结存款、汇款的，应当履行本法第十八条第一项、第二项、第三项、第七项规定的程序，并向金融机构交付冻结通知书。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金融机构接到行政机关依法作出的冻结通知书后，应当立即予以冻结，不得拖延，不得在冻结前向当事人泄露信息。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法律规定以外的行政机关或者组织要求冻结当事人存款、汇款的，金融机构应当拒绝。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xml:space="preserve">  依照法律规定冻结存款、汇款的，作出决定的行政机关应当在三日内向当事人交付冻结决定书。冻结决定书应当载明下列事项：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（一）当事人的姓名或者名称、地址；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（二）冻结的理由、依据和期限；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（三）冻结的账号和数额；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（四）申请行政复议或者提起行政诉讼的途径和期限；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（五）行政机关的名称、印章和日期。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xml:space="preserve">  自冻结存款、汇款之日起三十日内，行政机关应当</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决定或者作出解除冻结决定；情况复杂的，经行政机关负责人批准，可以延长，但是延长期限不得超过三十日。法律另有规定的除外。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延长冻结的决定应当及时书面告知当事人，并说明理由。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第三十三条</w:t>
      </w:r>
      <w:r>
        <w:rPr>
          <w:rFonts w:hint="eastAsia" w:ascii="方正仿宋简体" w:hAnsi="方正仿宋简体" w:eastAsia="方正仿宋简体" w:cs="方正仿宋简体"/>
          <w:b w:val="0"/>
          <w:bCs w:val="0"/>
          <w:color w:val="auto"/>
          <w:sz w:val="24"/>
          <w:szCs w:val="24"/>
          <w:lang w:val="en-US" w:eastAsia="zh-CN"/>
        </w:rPr>
        <w:t xml:space="preserve">  有下列情形之一的，行政机关应当及时作出解除冻结决定：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（一）当事人没有违法行为；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（二）冻结的存款、汇款与违法行为无关；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（三）行政机关对违法行为已经</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决定，不再需要冻结；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（四）冻结期限已经届满；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（五）其他不再需要采取冻结措施的情形。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行政机关作出解除冻结决定的，应当及时通知金融机构和当事人。金融机构接到通知后，应当立即解除冻结。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行政机关逾期未</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决定或者解除冻结决定的，金融机构应当自冻结期满之日起解除冻结。</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第四章 行政机关强制执行程序</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一般规定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第三十四条 </w:t>
      </w:r>
      <w:r>
        <w:rPr>
          <w:rFonts w:hint="eastAsia" w:ascii="方正仿宋简体" w:hAnsi="方正仿宋简体" w:eastAsia="方正仿宋简体" w:cs="方正仿宋简体"/>
          <w:b w:val="0"/>
          <w:bCs w:val="0"/>
          <w:color w:val="auto"/>
          <w:sz w:val="24"/>
          <w:szCs w:val="24"/>
          <w:lang w:val="en-US" w:eastAsia="zh-CN"/>
        </w:rPr>
        <w:t xml:space="preserve"> 行政机关依法作出行政决定后，当事人在行政机关决定的期限内不履行义务的，具有行政强制执行权的行政机关依照本章规定强制执行。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第三十五条 </w:t>
      </w:r>
      <w:r>
        <w:rPr>
          <w:rFonts w:hint="eastAsia" w:ascii="方正仿宋简体" w:hAnsi="方正仿宋简体" w:eastAsia="方正仿宋简体" w:cs="方正仿宋简体"/>
          <w:b w:val="0"/>
          <w:bCs w:val="0"/>
          <w:color w:val="auto"/>
          <w:sz w:val="24"/>
          <w:szCs w:val="24"/>
          <w:lang w:val="en-US" w:eastAsia="zh-CN"/>
        </w:rPr>
        <w:t xml:space="preserve"> 行政机关作出强制执行决定前，应当事先催告当事人履行义务。催告应当以书面形式作出，并载明下列事项：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（一）履行义务的期限；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（二）履行义务的方式；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（三）涉及金钱给付的，应当有明确的金额和给付方式；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（四）当事人依法享有的陈述权和申辩权。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第三十六条 </w:t>
      </w:r>
      <w:r>
        <w:rPr>
          <w:rFonts w:hint="eastAsia" w:ascii="方正仿宋简体" w:hAnsi="方正仿宋简体" w:eastAsia="方正仿宋简体" w:cs="方正仿宋简体"/>
          <w:b w:val="0"/>
          <w:bCs w:val="0"/>
          <w:color w:val="auto"/>
          <w:sz w:val="24"/>
          <w:szCs w:val="24"/>
          <w:lang w:val="en-US" w:eastAsia="zh-CN"/>
        </w:rPr>
        <w:t xml:space="preserve"> 当事人收到催告书后有权进行陈述和申辩。行政机关应当充分听取当事人的意见，对当事人提出的事实、理由和证据，应当进行记录、复核。当事人提出的事实、理由或者证据成立的，行政机关应当采纳。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第三十七条</w:t>
      </w:r>
      <w:r>
        <w:rPr>
          <w:rFonts w:hint="eastAsia" w:ascii="方正仿宋简体" w:hAnsi="方正仿宋简体" w:eastAsia="方正仿宋简体" w:cs="方正仿宋简体"/>
          <w:b w:val="0"/>
          <w:bCs w:val="0"/>
          <w:color w:val="auto"/>
          <w:sz w:val="24"/>
          <w:szCs w:val="24"/>
          <w:lang w:val="en-US" w:eastAsia="zh-CN"/>
        </w:rPr>
        <w:t xml:space="preserve">  经催告，当事人逾期仍不履行行政决定，且无正当理由的，行政机关可以作出强制执行决定。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强制执行决定应当以书面形式作出，并载明下列事项：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（一）当事人的姓名或者名称、地址；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（二）强制执行的理由和依据；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（三）强制执行的方式和时间；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（四）申请行政复议或者提起行政诉讼的途径和期限；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（五）行政机关的名称、印章和日期。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在催告期间，对有证据证明有转移或者隐匿财物迹象的，行政机关可以作出立即强制执行决定。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第三十八条 </w:t>
      </w:r>
      <w:r>
        <w:rPr>
          <w:rFonts w:hint="eastAsia" w:ascii="方正仿宋简体" w:hAnsi="方正仿宋简体" w:eastAsia="方正仿宋简体" w:cs="方正仿宋简体"/>
          <w:b w:val="0"/>
          <w:bCs w:val="0"/>
          <w:color w:val="auto"/>
          <w:sz w:val="24"/>
          <w:szCs w:val="24"/>
          <w:lang w:val="en-US" w:eastAsia="zh-CN"/>
        </w:rPr>
        <w:t xml:space="preserve"> 催告书、行政强制执行决定书应当直接送达当事人。当事人拒绝接收或者无法直接送达当事人的，应当依照《中华人民共和国民事诉讼法》的有关规定送达。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第三十九条</w:t>
      </w:r>
      <w:r>
        <w:rPr>
          <w:rFonts w:hint="eastAsia" w:ascii="方正仿宋简体" w:hAnsi="方正仿宋简体" w:eastAsia="方正仿宋简体" w:cs="方正仿宋简体"/>
          <w:b w:val="0"/>
          <w:bCs w:val="0"/>
          <w:color w:val="auto"/>
          <w:sz w:val="24"/>
          <w:szCs w:val="24"/>
          <w:lang w:val="en-US" w:eastAsia="zh-CN"/>
        </w:rPr>
        <w:t xml:space="preserve">  有下列情形之一的，中止执行：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（一）当事人履行行政决定确有困难或者暂无履行能力的；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（二）第三人对执行标的主张权利，确有理由的；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（三）执行可能造成难以弥补的损失，且中止执行不损害公共利益的；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（四）行政机关认为需要中止执行的其他情形。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中止执行的情形消失后，行政机关应当恢复执行。对没有明显社会危害，当事人确无能力履行，中止执行满三年未恢复执行的，行政机关不再执行。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第四十条 </w:t>
      </w:r>
      <w:r>
        <w:rPr>
          <w:rFonts w:hint="eastAsia" w:ascii="方正仿宋简体" w:hAnsi="方正仿宋简体" w:eastAsia="方正仿宋简体" w:cs="方正仿宋简体"/>
          <w:b w:val="0"/>
          <w:bCs w:val="0"/>
          <w:color w:val="auto"/>
          <w:sz w:val="24"/>
          <w:szCs w:val="24"/>
          <w:lang w:val="en-US" w:eastAsia="zh-CN"/>
        </w:rPr>
        <w:t xml:space="preserve"> 有下列情形之一的，终结执行：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（一）公民死亡，无遗产可供执行，又无义务承受人的；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（二）法人或者其他组织终止，无财产可供执行，又无义务承受人的；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（三）执行标的灭失的；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（四）据以执行的行政决定被撤销的；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（五）行政机关认为需要终结执行的其他情形。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第四十一条</w:t>
      </w:r>
      <w:r>
        <w:rPr>
          <w:rFonts w:hint="eastAsia" w:ascii="方正仿宋简体" w:hAnsi="方正仿宋简体" w:eastAsia="方正仿宋简体" w:cs="方正仿宋简体"/>
          <w:b w:val="0"/>
          <w:bCs w:val="0"/>
          <w:color w:val="auto"/>
          <w:sz w:val="24"/>
          <w:szCs w:val="24"/>
          <w:lang w:val="en-US" w:eastAsia="zh-CN"/>
        </w:rPr>
        <w:t xml:space="preserve">  在执行中或者执行完毕后，据以执行的行政决定被撤销、变更，或者执行错误的，应当恢复原状或者退还财物；不能恢复原状或者退还财物的，依法给予赔偿。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第四十二条 </w:t>
      </w:r>
      <w:r>
        <w:rPr>
          <w:rFonts w:hint="eastAsia" w:ascii="方正仿宋简体" w:hAnsi="方正仿宋简体" w:eastAsia="方正仿宋简体" w:cs="方正仿宋简体"/>
          <w:b w:val="0"/>
          <w:bCs w:val="0"/>
          <w:color w:val="auto"/>
          <w:sz w:val="24"/>
          <w:szCs w:val="24"/>
          <w:lang w:val="en-US" w:eastAsia="zh-CN"/>
        </w:rPr>
        <w:t xml:space="preserve"> 实施行政强制执行，行政机关可以在不损害公共利益和他人合法权益的情况下，与当事人达成执行协议。执行协议可以约定分阶段履行；当事人采取补救措施的，可以减免加处的罚款或者滞纳金。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执行协议应当履行。当事人不履行执行协议的，行政机关应当恢复强制执行。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第四十三条 </w:t>
      </w:r>
      <w:r>
        <w:rPr>
          <w:rFonts w:hint="eastAsia" w:ascii="方正仿宋简体" w:hAnsi="方正仿宋简体" w:eastAsia="方正仿宋简体" w:cs="方正仿宋简体"/>
          <w:b w:val="0"/>
          <w:bCs w:val="0"/>
          <w:color w:val="auto"/>
          <w:sz w:val="24"/>
          <w:szCs w:val="24"/>
          <w:lang w:val="en-US" w:eastAsia="zh-CN"/>
        </w:rPr>
        <w:t xml:space="preserve"> 行政机关不得在夜间或者法定节假日实施行政强制执行。但是，情况紧急的除外。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行政机关不得对居民生活采取停止供水、供电、供热、供燃气等方式迫使当事人履行相关行政决定。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第四十四条</w:t>
      </w:r>
      <w:r>
        <w:rPr>
          <w:rFonts w:hint="eastAsia" w:ascii="方正仿宋简体" w:hAnsi="方正仿宋简体" w:eastAsia="方正仿宋简体" w:cs="方正仿宋简体"/>
          <w:b w:val="0"/>
          <w:bCs w:val="0"/>
          <w:color w:val="auto"/>
          <w:sz w:val="24"/>
          <w:szCs w:val="24"/>
          <w:lang w:val="en-US" w:eastAsia="zh-CN"/>
        </w:rPr>
        <w:t xml:space="preserve">  对违法的建筑物、构筑物、设施等需要强制拆除的，应当由行政机关予以公告，限期当事人自行拆除。当事人在法定期限内不申请行政复议或者提起行政诉讼，又不拆除的，行政机关可以依法强制拆除。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金钱给付义务的执行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第四十五条</w:t>
      </w:r>
      <w:r>
        <w:rPr>
          <w:rFonts w:hint="eastAsia" w:ascii="方正仿宋简体" w:hAnsi="方正仿宋简体" w:eastAsia="方正仿宋简体" w:cs="方正仿宋简体"/>
          <w:b w:val="0"/>
          <w:bCs w:val="0"/>
          <w:color w:val="auto"/>
          <w:sz w:val="24"/>
          <w:szCs w:val="24"/>
          <w:lang w:val="en-US" w:eastAsia="zh-CN"/>
        </w:rPr>
        <w:t xml:space="preserve">  行政机关依法作出金钱给付义务的行政决定，当事人逾期不履行的，行政机关可以依法加处罚款或者滞纳金。加处罚款或者滞纳金的标准应当告知当事人。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加处罚款或者滞纳金的数额不得超出金钱给付义务的数额。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第四十六条</w:t>
      </w:r>
      <w:r>
        <w:rPr>
          <w:rFonts w:hint="eastAsia" w:ascii="方正仿宋简体" w:hAnsi="方正仿宋简体" w:eastAsia="方正仿宋简体" w:cs="方正仿宋简体"/>
          <w:b w:val="0"/>
          <w:bCs w:val="0"/>
          <w:color w:val="auto"/>
          <w:sz w:val="24"/>
          <w:szCs w:val="24"/>
          <w:lang w:val="en-US" w:eastAsia="zh-CN"/>
        </w:rPr>
        <w:t xml:space="preserve">  行政机关依照本法第四十五条规定实施加处罚款或者滞纳金超过三十日，经催告当事人仍不履行的，具有行政强制执行权的行政机关可以强制执行。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行政机关实施强制执行前，需要采取查封、扣押、冻结措施的，依照本法第三章规定办理。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第四十七条 </w:t>
      </w:r>
      <w:r>
        <w:rPr>
          <w:rFonts w:hint="eastAsia" w:ascii="方正仿宋简体" w:hAnsi="方正仿宋简体" w:eastAsia="方正仿宋简体" w:cs="方正仿宋简体"/>
          <w:b w:val="0"/>
          <w:bCs w:val="0"/>
          <w:color w:val="auto"/>
          <w:sz w:val="24"/>
          <w:szCs w:val="24"/>
          <w:lang w:val="en-US" w:eastAsia="zh-CN"/>
        </w:rPr>
        <w:t xml:space="preserve"> 划拨存款、汇款应当由法律规定的行政机关决定，并书面通知金融机构。金融机构接到行政机关依法作出划拨存款、汇款的决定后，应当立即划拨。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法律规定以外的行政机关或者组织要求划拨当事人存款、汇款的，金融机构应当拒绝。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第四十八条 </w:t>
      </w:r>
      <w:r>
        <w:rPr>
          <w:rFonts w:hint="eastAsia" w:ascii="方正仿宋简体" w:hAnsi="方正仿宋简体" w:eastAsia="方正仿宋简体" w:cs="方正仿宋简体"/>
          <w:b w:val="0"/>
          <w:bCs w:val="0"/>
          <w:color w:val="auto"/>
          <w:sz w:val="24"/>
          <w:szCs w:val="24"/>
          <w:lang w:val="en-US" w:eastAsia="zh-CN"/>
        </w:rPr>
        <w:t xml:space="preserve"> 依法拍卖财物，由行政机关委托拍卖机构依照《中华人民共和国拍卖法》的规定办理。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第四十九条 </w:t>
      </w:r>
      <w:r>
        <w:rPr>
          <w:rFonts w:hint="eastAsia" w:ascii="方正仿宋简体" w:hAnsi="方正仿宋简体" w:eastAsia="方正仿宋简体" w:cs="方正仿宋简体"/>
          <w:b w:val="0"/>
          <w:bCs w:val="0"/>
          <w:color w:val="auto"/>
          <w:sz w:val="24"/>
          <w:szCs w:val="24"/>
          <w:lang w:val="en-US" w:eastAsia="zh-CN"/>
        </w:rPr>
        <w:t xml:space="preserve"> 划拨的存款、汇款以及拍卖和依法处理所得的款项应当上缴国库或者划入财政专户。任何行政机关或者个人不得以任何形式截留、私分或者变相私分。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代履行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第五十条</w:t>
      </w:r>
      <w:r>
        <w:rPr>
          <w:rFonts w:hint="eastAsia" w:ascii="方正仿宋简体" w:hAnsi="方正仿宋简体" w:eastAsia="方正仿宋简体" w:cs="方正仿宋简体"/>
          <w:b w:val="0"/>
          <w:bCs w:val="0"/>
          <w:color w:val="auto"/>
          <w:sz w:val="24"/>
          <w:szCs w:val="24"/>
          <w:lang w:val="en-US" w:eastAsia="zh-CN"/>
        </w:rPr>
        <w:t xml:space="preserve">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第五十一条</w:t>
      </w:r>
      <w:r>
        <w:rPr>
          <w:rFonts w:hint="eastAsia" w:ascii="方正仿宋简体" w:hAnsi="方正仿宋简体" w:eastAsia="方正仿宋简体" w:cs="方正仿宋简体"/>
          <w:b w:val="0"/>
          <w:bCs w:val="0"/>
          <w:color w:val="auto"/>
          <w:sz w:val="24"/>
          <w:szCs w:val="24"/>
          <w:lang w:val="en-US" w:eastAsia="zh-CN"/>
        </w:rPr>
        <w:t xml:space="preserve">  代履行应当遵守下列规定：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（一）代履行前送达决定书，代履行决定书应当载明当事人的姓名或者名称、地址，代履行的理由和依据、方式和时间、标的、费用预算以及代履行人；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（二）代履行三日前，催告当事人履行，当事人履行的，停止代履行；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（三）代履行时，作出决定的行政机关应当派员到场监督；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（四）代履行完毕，行政机关到场监督的工作人员、代履行人和当事人或者见证人应当在执行文书上签名或者盖章。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代履行的费用按照成本合理确定，由当事人承担。但是，法律另有规定的除外。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代履行不得采用暴力、胁迫以及其他非法方式。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第五十二条</w:t>
      </w:r>
      <w:r>
        <w:rPr>
          <w:rFonts w:hint="eastAsia" w:ascii="方正仿宋简体" w:hAnsi="方正仿宋简体" w:eastAsia="方正仿宋简体" w:cs="方正仿宋简体"/>
          <w:b w:val="0"/>
          <w:bCs w:val="0"/>
          <w:color w:val="auto"/>
          <w:sz w:val="24"/>
          <w:szCs w:val="24"/>
          <w:lang w:val="en-US" w:eastAsia="zh-CN"/>
        </w:rPr>
        <w:t xml:space="preserve">  需要立即清除道路、河道、航道或者公共场所的遗洒物、障碍物或者污染物，当事人不能清除的，行政机关可以决定立即实施代履行；当事人不在场的，行政机关应当在事后立即通知当事人，并依法</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第五章 申请人民法院强制执行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第五十三条</w:t>
      </w:r>
      <w:r>
        <w:rPr>
          <w:rFonts w:hint="eastAsia" w:ascii="方正仿宋简体" w:hAnsi="方正仿宋简体" w:eastAsia="方正仿宋简体" w:cs="方正仿宋简体"/>
          <w:b w:val="0"/>
          <w:bCs w:val="0"/>
          <w:color w:val="auto"/>
          <w:sz w:val="24"/>
          <w:szCs w:val="24"/>
          <w:lang w:val="en-US" w:eastAsia="zh-CN"/>
        </w:rPr>
        <w:t xml:space="preserve">  当事人在法定期限内不申请行政复议或者提起行政诉讼，又不履行行政决定的，没有行政强制执行权的行政机关可以自期限届满之日起三个月内，依照本章规定申请人民法院强制执行。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第五十四条</w:t>
      </w:r>
      <w:r>
        <w:rPr>
          <w:rFonts w:hint="eastAsia" w:ascii="方正仿宋简体" w:hAnsi="方正仿宋简体" w:eastAsia="方正仿宋简体" w:cs="方正仿宋简体"/>
          <w:b w:val="0"/>
          <w:bCs w:val="0"/>
          <w:color w:val="auto"/>
          <w:sz w:val="24"/>
          <w:szCs w:val="24"/>
          <w:lang w:val="en-US" w:eastAsia="zh-CN"/>
        </w:rPr>
        <w:t xml:space="preserve">  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第五十五条</w:t>
      </w:r>
      <w:r>
        <w:rPr>
          <w:rFonts w:hint="eastAsia" w:ascii="方正仿宋简体" w:hAnsi="方正仿宋简体" w:eastAsia="方正仿宋简体" w:cs="方正仿宋简体"/>
          <w:b w:val="0"/>
          <w:bCs w:val="0"/>
          <w:color w:val="auto"/>
          <w:sz w:val="24"/>
          <w:szCs w:val="24"/>
          <w:lang w:val="en-US" w:eastAsia="zh-CN"/>
        </w:rPr>
        <w:t xml:space="preserve">  行政机关向人民法院申请强制执行，应当提供下列材料：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（一）强制执行申请书；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（二）行政决定书及作出决定的事实、理由和依据；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（三）当事人的意见及行政机关催告情况；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（四）申请强制执行标的情况；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（五）法律、行政法规规定的其他材料。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强制执行申请书应当由行政机关负责人签名，加盖行政机关的印章，并注明日期。</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第五十六条 </w:t>
      </w:r>
      <w:r>
        <w:rPr>
          <w:rFonts w:hint="eastAsia" w:ascii="方正仿宋简体" w:hAnsi="方正仿宋简体" w:eastAsia="方正仿宋简体" w:cs="方正仿宋简体"/>
          <w:b w:val="0"/>
          <w:bCs w:val="0"/>
          <w:color w:val="auto"/>
          <w:sz w:val="24"/>
          <w:szCs w:val="24"/>
          <w:lang w:val="en-US" w:eastAsia="zh-CN"/>
        </w:rPr>
        <w:t xml:space="preserve"> 人民法院接到行政机关强制执行的申请，应当在五日内受理。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行政机关对人民法院不予受理的裁定有异议的，可以在十五日内向上一级人民法院申请复议，上一级人民法院应当自收到复议申请之日起十五日内作出是否受理的裁定。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第五十七条</w:t>
      </w:r>
      <w:r>
        <w:rPr>
          <w:rFonts w:hint="eastAsia" w:ascii="方正仿宋简体" w:hAnsi="方正仿宋简体" w:eastAsia="方正仿宋简体" w:cs="方正仿宋简体"/>
          <w:b w:val="0"/>
          <w:bCs w:val="0"/>
          <w:color w:val="auto"/>
          <w:sz w:val="24"/>
          <w:szCs w:val="24"/>
          <w:lang w:val="en-US" w:eastAsia="zh-CN"/>
        </w:rPr>
        <w:t xml:space="preserve">  人民法院对行政机关强制执行的申请进行书面审查，对符合本法第五十五条规定，且行政决定具备法定执行效力的，除本法第五十八条规定的情形外，人民法院应当自受理之日起七日内作出执行裁定。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第五十八条</w:t>
      </w:r>
      <w:r>
        <w:rPr>
          <w:rFonts w:hint="eastAsia" w:ascii="方正仿宋简体" w:hAnsi="方正仿宋简体" w:eastAsia="方正仿宋简体" w:cs="方正仿宋简体"/>
          <w:b w:val="0"/>
          <w:bCs w:val="0"/>
          <w:color w:val="auto"/>
          <w:sz w:val="24"/>
          <w:szCs w:val="24"/>
          <w:lang w:val="en-US" w:eastAsia="zh-CN"/>
        </w:rPr>
        <w:t xml:space="preserve">  人民法院发现有下列情形之一的，在作出裁定前可以听取被执行人和行政机关的意见：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（一）明显缺乏事实根据的；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（二）明显缺乏法律、法规依据的；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（三）其他明显违法并损害被执行人合法权益的。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人民法院应当自受理之日起三十日内作出是否执行的裁定。裁定不予执行的，应当说明理由，并在五日内将不予执行的裁定送达行政机关。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行政机关对人民法院不予执行的裁定有异议的，可以自收到裁定之日起十五日内向上一级人民法院申请复议，上一级人民法院应当自收到复议申请之日起三十日内作出是否执行的裁定。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第五十九条</w:t>
      </w:r>
      <w:r>
        <w:rPr>
          <w:rFonts w:hint="eastAsia" w:ascii="方正仿宋简体" w:hAnsi="方正仿宋简体" w:eastAsia="方正仿宋简体" w:cs="方正仿宋简体"/>
          <w:b w:val="0"/>
          <w:bCs w:val="0"/>
          <w:color w:val="auto"/>
          <w:sz w:val="24"/>
          <w:szCs w:val="24"/>
          <w:lang w:val="en-US" w:eastAsia="zh-CN"/>
        </w:rPr>
        <w:t xml:space="preserve">  因情况紧急，为保障公共安全，行政机关可以申请人民法院立即执行。经人民法院院长批准，人民法院应当自作出执行裁定之日起五日内执行。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第六十条</w:t>
      </w:r>
      <w:r>
        <w:rPr>
          <w:rFonts w:hint="eastAsia" w:ascii="方正仿宋简体" w:hAnsi="方正仿宋简体" w:eastAsia="方正仿宋简体" w:cs="方正仿宋简体"/>
          <w:b w:val="0"/>
          <w:bCs w:val="0"/>
          <w:color w:val="auto"/>
          <w:sz w:val="24"/>
          <w:szCs w:val="24"/>
          <w:lang w:val="en-US" w:eastAsia="zh-CN"/>
        </w:rPr>
        <w:t xml:space="preserve">  行政机关申请人民法院强制执行，不缴纳申请费。强制执行的费用由被执行人承担。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人民法院以划拨、拍卖方式强制执行的，可以在划拨、拍卖后将强制执行的费用扣除。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依法拍卖财物，由人民法院委托拍卖机构依照《中华人民共和国拍卖法》的规定办理。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划拨的存款、汇款以及拍卖和依法处理所得的款项应当上缴国库或者划入财政专户，不得以任何形式截留、私分或者变相私分。</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第六章 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第六十一条</w:t>
      </w:r>
      <w:r>
        <w:rPr>
          <w:rFonts w:hint="eastAsia" w:ascii="方正仿宋简体" w:hAnsi="方正仿宋简体" w:eastAsia="方正仿宋简体" w:cs="方正仿宋简体"/>
          <w:b w:val="0"/>
          <w:bCs w:val="0"/>
          <w:color w:val="auto"/>
          <w:sz w:val="24"/>
          <w:szCs w:val="24"/>
          <w:lang w:val="en-US" w:eastAsia="zh-CN"/>
        </w:rPr>
        <w:t xml:space="preserve">  行政机关实施行政强制，有下列情形之一的，由上级行政机关或者有关部门责令改正，对直接负责的主管人员和其他直接责任人员依法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（一）没有法律、法规依据的；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（二）改变行政强制对象、条件、方式的；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（三）违反法定程序实施行政强制的；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（四）违反本法规定，在夜间或者法定节假日实施行政强制执行的；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（五）对居民生活采取停止供水、供电、供热、供燃气等方式迫使当事人履行相关行政决定的；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（六）有其他违法实施行政强制情形的。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第六十二条</w:t>
      </w:r>
      <w:r>
        <w:rPr>
          <w:rFonts w:hint="eastAsia" w:ascii="方正仿宋简体" w:hAnsi="方正仿宋简体" w:eastAsia="方正仿宋简体" w:cs="方正仿宋简体"/>
          <w:b w:val="0"/>
          <w:bCs w:val="0"/>
          <w:color w:val="auto"/>
          <w:sz w:val="24"/>
          <w:szCs w:val="24"/>
          <w:lang w:val="en-US" w:eastAsia="zh-CN"/>
        </w:rPr>
        <w:t xml:space="preserve">  违反本法规定，行政机关有下列情形之一的，由上级行政机关或者有关部门责令改正，对直接负责的主管人员和其他直接责任人员依法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（一）扩大查封、扣押、冻结范围的；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（二）使用或者损毁查封、扣押场所、设施或者财物的；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（三）在查封、扣押法定期间不</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决定或者未依法及时解除查封、扣押的；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（四）在冻结存款、汇款法定期间不</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决定或者未依法及时解除冻结的。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第六十三条 </w:t>
      </w:r>
      <w:r>
        <w:rPr>
          <w:rFonts w:hint="eastAsia" w:ascii="方正仿宋简体" w:hAnsi="方正仿宋简体" w:eastAsia="方正仿宋简体" w:cs="方正仿宋简体"/>
          <w:b w:val="0"/>
          <w:bCs w:val="0"/>
          <w:color w:val="auto"/>
          <w:sz w:val="24"/>
          <w:szCs w:val="24"/>
          <w:lang w:val="en-US" w:eastAsia="zh-CN"/>
        </w:rPr>
        <w:t xml:space="preserve">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行政机关工作人员利用职务上的便利，将查封、扣押的场所、设施或者财物据为己有的，由上级行政机关或者有关部门责令改正，依法给予记大过、降级、撤职或者开除的处分。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第六十四条</w:t>
      </w:r>
      <w:r>
        <w:rPr>
          <w:rFonts w:hint="eastAsia" w:ascii="方正仿宋简体" w:hAnsi="方正仿宋简体" w:eastAsia="方正仿宋简体" w:cs="方正仿宋简体"/>
          <w:b w:val="0"/>
          <w:bCs w:val="0"/>
          <w:color w:val="auto"/>
          <w:sz w:val="24"/>
          <w:szCs w:val="24"/>
          <w:lang w:val="en-US" w:eastAsia="zh-CN"/>
        </w:rPr>
        <w:t xml:space="preserve">  行政机关及其工作人员利用行政强制权为单位或者个人谋取利益的，由上级行政机关或者有关部门责令改正，对直接负责的主管人员和其他直接责任人员依法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第六十五条</w:t>
      </w:r>
      <w:r>
        <w:rPr>
          <w:rFonts w:hint="eastAsia" w:ascii="方正仿宋简体" w:hAnsi="方正仿宋简体" w:eastAsia="方正仿宋简体" w:cs="方正仿宋简体"/>
          <w:b w:val="0"/>
          <w:bCs w:val="0"/>
          <w:color w:val="auto"/>
          <w:sz w:val="24"/>
          <w:szCs w:val="24"/>
          <w:lang w:val="en-US" w:eastAsia="zh-CN"/>
        </w:rPr>
        <w:t xml:space="preserve">  违反本法规定，金融机构有下列行为之一的，由金融业监督管理机构责令改正，对直接负责的主管人员和其他直接责任人员依法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（一）在冻结前向当事人泄露信息的；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（二）对应当立即冻结、划拨的存款、汇款不冻结或者不划拨，致使存款、汇款转移的；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（三）将不应当冻结、划拨的存款、汇款予以冻结或者划拨的；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（四）未及时解除冻结存款、汇款的。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第六十六条</w:t>
      </w:r>
      <w:r>
        <w:rPr>
          <w:rFonts w:hint="eastAsia" w:ascii="方正仿宋简体" w:hAnsi="方正仿宋简体" w:eastAsia="方正仿宋简体" w:cs="方正仿宋简体"/>
          <w:b w:val="0"/>
          <w:bCs w:val="0"/>
          <w:color w:val="auto"/>
          <w:sz w:val="24"/>
          <w:szCs w:val="24"/>
          <w:lang w:val="en-US" w:eastAsia="zh-CN"/>
        </w:rPr>
        <w:t xml:space="preserve">  违反本法规定，金融机构将款项划入国库或者财政专户以外的其他账户的，由金融业监督管理机构责令改正，并处以违法划拨款项二倍的罚款；对直接负责的主管人员和其他直接责任人员依法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违反本法规定，行政机关、人民法院指令金融机构将款项划入国库或者财政专户以外的其他账户的，对直接负责的主管人员和其他直接责任人员依法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第六十七条</w:t>
      </w:r>
      <w:r>
        <w:rPr>
          <w:rFonts w:hint="eastAsia" w:ascii="方正仿宋简体" w:hAnsi="方正仿宋简体" w:eastAsia="方正仿宋简体" w:cs="方正仿宋简体"/>
          <w:b w:val="0"/>
          <w:bCs w:val="0"/>
          <w:color w:val="auto"/>
          <w:sz w:val="24"/>
          <w:szCs w:val="24"/>
          <w:lang w:val="en-US" w:eastAsia="zh-CN"/>
        </w:rPr>
        <w:t xml:space="preserve">  人民法院及其工作人员在强制执行中有违法行为或者扩大强制执行范围的，对直接负责的主管人员和其他直接责任人员依法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第六十八条</w:t>
      </w:r>
      <w:r>
        <w:rPr>
          <w:rFonts w:hint="eastAsia" w:ascii="方正仿宋简体" w:hAnsi="方正仿宋简体" w:eastAsia="方正仿宋简体" w:cs="方正仿宋简体"/>
          <w:b w:val="0"/>
          <w:bCs w:val="0"/>
          <w:color w:val="auto"/>
          <w:sz w:val="24"/>
          <w:szCs w:val="24"/>
          <w:lang w:val="en-US" w:eastAsia="zh-CN"/>
        </w:rPr>
        <w:t xml:space="preserve"> 违反本法规定，给公民、法人或者其他组织造成损失的，依法给予赔偿。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违反本法规定，构成犯罪的，依法追究刑事责任。</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第七章  附则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第六十九条</w:t>
      </w:r>
      <w:r>
        <w:rPr>
          <w:rFonts w:hint="eastAsia" w:ascii="方正仿宋简体" w:hAnsi="方正仿宋简体" w:eastAsia="方正仿宋简体" w:cs="方正仿宋简体"/>
          <w:b w:val="0"/>
          <w:bCs w:val="0"/>
          <w:color w:val="auto"/>
          <w:sz w:val="24"/>
          <w:szCs w:val="24"/>
          <w:lang w:val="en-US" w:eastAsia="zh-CN"/>
        </w:rPr>
        <w:t xml:space="preserve">  本法中十日以内期限的规定是指工作日，不含法定节假日。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第七十条</w:t>
      </w:r>
      <w:r>
        <w:rPr>
          <w:rFonts w:hint="eastAsia" w:ascii="方正仿宋简体" w:hAnsi="方正仿宋简体" w:eastAsia="方正仿宋简体" w:cs="方正仿宋简体"/>
          <w:b w:val="0"/>
          <w:bCs w:val="0"/>
          <w:color w:val="auto"/>
          <w:sz w:val="24"/>
          <w:szCs w:val="24"/>
          <w:lang w:val="en-US" w:eastAsia="zh-CN"/>
        </w:rPr>
        <w:t xml:space="preserve">  法律、行政法规授权的具有管理公共事务职能的组织在法定授权范围内，以自己的名义实施行政强制，适用本法有关行政机关的规定。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第七十一条</w:t>
      </w:r>
      <w:r>
        <w:rPr>
          <w:rFonts w:hint="eastAsia" w:ascii="方正仿宋简体" w:hAnsi="方正仿宋简体" w:eastAsia="方正仿宋简体" w:cs="方正仿宋简体"/>
          <w:b w:val="0"/>
          <w:bCs w:val="0"/>
          <w:color w:val="auto"/>
          <w:sz w:val="24"/>
          <w:szCs w:val="24"/>
          <w:lang w:val="en-US" w:eastAsia="zh-CN"/>
        </w:rPr>
        <w:t xml:space="preserve">  本法自2012年1月1日起施行。</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pageBreakBefore w:val="0"/>
        <w:widowControl w:val="0"/>
        <w:kinsoku/>
        <w:wordWrap/>
        <w:overflowPunct/>
        <w:topLinePunct w:val="0"/>
        <w:autoSpaceDE/>
        <w:autoSpaceDN/>
        <w:bidi w:val="0"/>
        <w:snapToGrid/>
        <w:spacing w:line="560" w:lineRule="exact"/>
        <w:textAlignment w:val="auto"/>
        <w:rPr>
          <w:rFonts w:hint="eastAsia"/>
          <w:lang w:val="en-US" w:eastAsia="zh-CN"/>
        </w:rPr>
      </w:pPr>
    </w:p>
    <w:p>
      <w:pPr>
        <w:pStyle w:val="2"/>
        <w:pageBreakBefore w:val="0"/>
        <w:widowControl w:val="0"/>
        <w:kinsoku/>
        <w:wordWrap/>
        <w:overflowPunct/>
        <w:topLinePunct w:val="0"/>
        <w:autoSpaceDE/>
        <w:autoSpaceDN/>
        <w:bidi w:val="0"/>
        <w:snapToGrid/>
        <w:spacing w:line="560" w:lineRule="exact"/>
        <w:textAlignment w:val="auto"/>
        <w:rPr>
          <w:rFonts w:hint="eastAsia"/>
          <w:lang w:val="en-US" w:eastAsia="zh-CN"/>
        </w:rPr>
      </w:pPr>
      <w:r>
        <w:rPr>
          <w:rFonts w:hint="eastAsia"/>
          <w:lang w:val="en-US" w:eastAsia="zh-CN"/>
        </w:rPr>
        <w:t>中华人民共和国行政复议法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（1999年4月29日第九届全国人民代表大会常务委员会第九次会议通过  根据2009年8月27日第十一届全国人民代表大会常务委员会第十次会议《关于修改部分法律的决定》第一次修正   根据</w:t>
      </w:r>
      <w:r>
        <w:rPr>
          <w:rFonts w:hint="eastAsia" w:ascii="方正仿宋简体" w:hAnsi="方正仿宋简体" w:eastAsia="方正仿宋简体" w:cs="方正仿宋简体"/>
          <w:b w:val="0"/>
          <w:bCs w:val="0"/>
          <w:color w:val="auto"/>
          <w:sz w:val="24"/>
          <w:szCs w:val="24"/>
          <w:highlight w:val="none"/>
          <w:lang w:val="en-US" w:eastAsia="zh-CN"/>
        </w:rPr>
        <w:t>2017年9月1</w:t>
      </w:r>
      <w:r>
        <w:rPr>
          <w:rFonts w:hint="eastAsia" w:ascii="方正仿宋简体" w:hAnsi="方正仿宋简体" w:eastAsia="方正仿宋简体" w:cs="方正仿宋简体"/>
          <w:b w:val="0"/>
          <w:bCs w:val="0"/>
          <w:color w:val="auto"/>
          <w:sz w:val="24"/>
          <w:szCs w:val="24"/>
          <w:lang w:val="en-US" w:eastAsia="zh-CN"/>
        </w:rPr>
        <w:t>日第十二届全国人民代表大会常务委员会第二十九次会议《关于修改〈中华人民共和国法官法〉等八部法律的决定》第二次修正</w:t>
      </w:r>
      <w:r>
        <w:rPr>
          <w:rFonts w:hint="eastAsia" w:ascii="方正仿宋简体" w:hAnsi="方正仿宋简体" w:eastAsia="方正仿宋简体" w:cs="方正仿宋简体"/>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center"/>
        <w:textAlignment w:val="auto"/>
        <w:rPr>
          <w:rFonts w:hint="eastAsia" w:ascii="方正仿宋简体" w:hAnsi="方正仿宋简体" w:eastAsia="方正仿宋简体" w:cs="方正仿宋简体"/>
          <w:b/>
          <w:bCs/>
          <w:color w:val="auto"/>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为了防止和纠正违法的或者不当的具体行政行为，保护公民、法人和其他组织的合法权益，保障和监督行政机关依法行使职权，根据宪法，制定本法。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公民、法人或者其他组织认为具体行政行为侵犯其合法权益，向行政机关提出行政复议申请，行政机关受理行政复议申请、作出行政复议决定，适用本法。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依照本法履行行政复议职责的行政机关是行政复议机关。行政复议机关负责法制工作的机构具体办理行政复议事项，履行下列职责：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（一）受理行政复议申请；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（二）向有关组织和人员调查取证，查阅文件和资料；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（三）审查申请行政复议的具体行政行为是否合法与适当，拟订行政复议决定；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（四）处理或者转送对本法第七条所列有关规定的审查申请；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（五）对行政机关违反本法规定的行为依照规定的权限和程序提出处理建议；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（六）办理因不服行政复议决定提起行政诉讼的应诉事项；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（七）法律、法规规定的其他职责。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行政复议机关履行行政复议职责，应当遵循合法、公正、公开、及时、便民的原则，坚持有错必纠，保障法律、法规的正确实施。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公民、法人或者其他组织对行政复议决定不服的，可以依照行政诉讼法的规定向人民法院提起行政诉讼，但是法律规定行政复议决定为最终裁决的除外。</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第二章　行政复议范围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有下列情形之一的，公民、法人或者其他组织可以依照本法申请行政复议：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（一）对行政机关作出的警告、罚款、没收违法所得、没收非法财物、责令停产停业、暂扣或者吊销许可证、暂扣或者吊销执照、行政拘留等行政处罚决定不服的；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（二）对行政机关作出的限制人身自由或者查封、扣押、冻结财产等行政强制措施决定不服的；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（三）对行政机关作出的有关许可证、执照、资质证、资格证等证书变更、中止、撤销的决定不服的；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（四）对行政机关作出的关于确认土地、矿藏、水流、森林、山岭、草原、荒地、滩涂、海域等自然资源的所有权或者使用权的决定不服的；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（五）认为行政机关侵犯合法的经营自主权的；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（六）认为行政机关变更或者废止农业承包合同，侵犯其合法权益的；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（七）认为行政机关违法集资、征收财物、摊派费用或者违法要求履行其他义务的；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（八）认为符合法定条件，申请行政机关颁发许可证、执照、资质证、资格证等证书，或者申请行政机关审批、登记有关事项，行政机关没有依法办理的；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（九）申请行政机关履行保护人身权利、财产权利、受教育权利的法定职责，行政机关没有依法履行的；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（十）申请行政机关依法发放抚恤金、社会保险金或者最低生活保障费，行政机关没有依法发放的；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（十一）认为行政机关的其他具体行政行为侵犯其合法权益的。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公民、法人或者其他组织认为行政机关的具体行政行为所依据的下列规定不合法，在对具体行政行为申请行政复议时，可以一并向行政复议机关提出对该规定的审查申请：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（一）国务院部门的规定；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（二）县级以上地方各级人民政府及其工作部门的规定；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（三）乡、镇人民政府的规定。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前款所列规定不含国务院部、委员会规章和地方人民政府规章。规章的审查依照法律、行政法规办理。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不服行政机关作出的行政处分或者其他人事处理决定的，依照有关法律、行政法规的规定提出申诉。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不服行政机关对民事纠纷作出的调解或者其他处理，依法申请仲裁或者向人民法院提起诉讼。</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第三章　行政复议申请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公民、法人或者其他组织认为具体行政行为侵犯其合法权益的，可以自知道该具体行政行为之日起六十日内提出行政复议申请；但是法律规定的申请期限超过六十日的除外。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因不可抗力或者其他正当理由耽误法定申请期限的，申请期限自障碍消除之日起继续计算。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依照本法申请行政复议的公民、法人或者其他组织是申请人。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同申请行政复议的具体行政行为有利害关系的其他公民、法人或者其他组织，可以作为第三人参加行政复议。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公民、法人或者其他组织对行政机关的具体行政行为不服申请行政复议的，作出具体行政行为的行政机关是被申请人。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申请人、第三人可以委托代理人代为参加行政复议。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申请人申请行政复议，可以书面申请，也可以口头申请；口头申请的，行政复议机关应当当场记录申请人的基本情况、行政复议请求、申请行政复议的主要事实、理由和时间。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对县级以上地方各级人民政府工作部门的具体行政行为不服的，由申请人选择，可以向该部门的本级人民政府申请行政复议，也可以向上一级主管部门申请行政复议。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对海关、金融、国税、外汇管理等实行垂直领导的行政机关和国家安全机关的具体行政行为不服的，向上一级主管部门申请行政复议。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对地方各级人民政府的具体行政行为不服的，向上一级地方人民政府申请行政复议。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对省、自治区人民政府依法设立的派出机关所属的县级地方人民政府的具体行政行为不服的，向该派出机关申请行政复议。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对本法第十二条、第十三条、第十四条规定以外的其他行政机关、组织的具体行政行为不服的，按照下列规定申请行政复议：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（一）对县级以上地方人民政府依法设立的派出机关的具体行政行为不服的，向设立该派出机关的人民政府申请行政复议；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（二）对政府工作部门依法设立的派出机构依照法律、法规或者规章规定，以自己的名义作出的具体行政行为不服的，向设立该派出机构的部门或者该部门的本级地方人民政府申请行政复议；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（三）对法律、法规授权的组织的具体行政行为不服的，分别向直接管理该组织的地方人民政府、地方人民政府工作部门或者国务院部门申请行政复议；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（四）对两个或者两个以上行政机关以共同的名义作出的具体行政行为不服的，向其共同上一级行政机关申请行政复议；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（五）对被撤销的行政机关在撤销前所作出的具体行政行为不服的，向继续行使其职权的行政机关的上一级行政机关申请行政复议。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有前款所列情形之一的，申请人也可以向具体行政行为发生地的县级地方人民政府提出行政复议申请，由接受申请的县级地方人民政府依照本法第十八条的规定办理。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公民、法人或者其他组织向人民法院提起行政诉讼，人民法院已经依法受理的，不得申请行政复议。</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第四章　行政复议受理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除前款规定外，行政复议申请自行政复议机关负责法制工作的机构收到之日起即为受理。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公民、法人或者其他组织依法提出行政复议申请，行政复议机关无正当理由不予受理的，上级行政机关应当责令其受理；必要时，上级行政机关也可以直接受理。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行政复议期间具体行政行为不停止执行；但是，有下列情形之一的，可以停止执行：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（一）被申请人认为需要停止执行的；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（二）行政复议机关认为需要停止执行的；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（三）申请人申请停止执行，行政复议机关认为其要求合理，决定停止执行的；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（四）法律规定停止执行的。</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第五章　行政复议决定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行政复议原则上采取书面审查的办法，但是申请人提出要求或者行政复议机关负责法制工作的机构认为有必要时，可以向有关组织和人员调查情况，听取申请人、被申请人和第三人的意见。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申请人、第三人可以查阅被申请人提出的书面答复、作出具体行政行为的证据、依据和其他有关材料，除涉及国家秘密、商业秘密或者个人隐私外，行政复议机关不得拒绝。</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第二十四条</w:t>
      </w:r>
      <w:r>
        <w:rPr>
          <w:rFonts w:hint="eastAsia" w:ascii="方正仿宋简体" w:hAnsi="方正仿宋简体" w:eastAsia="方正仿宋简体" w:cs="方正仿宋简体"/>
          <w:b w:val="0"/>
          <w:bCs w:val="0"/>
          <w:color w:val="auto"/>
          <w:sz w:val="24"/>
          <w:szCs w:val="24"/>
          <w:lang w:val="en-US" w:eastAsia="zh-CN"/>
        </w:rPr>
        <w:t>　在行政复议过程中，被申请人不得自行向申请人和其他有关组织或者个人收集证据。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第二十五条</w:t>
      </w:r>
      <w:r>
        <w:rPr>
          <w:rFonts w:hint="eastAsia" w:ascii="方正仿宋简体" w:hAnsi="方正仿宋简体" w:eastAsia="方正仿宋简体" w:cs="方正仿宋简体"/>
          <w:b w:val="0"/>
          <w:bCs w:val="0"/>
          <w:color w:val="auto"/>
          <w:sz w:val="24"/>
          <w:szCs w:val="24"/>
          <w:lang w:val="en-US" w:eastAsia="zh-CN"/>
        </w:rPr>
        <w:t>　行政复议决定作出前，申请人要求撤回行政复议申请的，经说明理由，可以撤回；撤回行政复议申请的，行政复议终止。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第二十八条</w:t>
      </w:r>
      <w:r>
        <w:rPr>
          <w:rFonts w:hint="eastAsia" w:ascii="方正仿宋简体" w:hAnsi="方正仿宋简体" w:eastAsia="方正仿宋简体" w:cs="方正仿宋简体"/>
          <w:b w:val="0"/>
          <w:bCs w:val="0"/>
          <w:color w:val="auto"/>
          <w:sz w:val="24"/>
          <w:szCs w:val="24"/>
          <w:lang w:val="en-US" w:eastAsia="zh-CN"/>
        </w:rPr>
        <w:t>　行政复议机关负责法制工作的机构应当对被申请人作出的具体行政行为进行审查，提出意见，经行政复议机关的负责人同意或者集体讨论通过后，按照下列规定作出行政复议决定：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（一）具体行政行为认定事实清楚，证据确凿，适用依据正确，程序合法，内容适当的，决定维持；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（二）被申请人不履行法定职责的，决定其在一定期限内履行；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（三）具体行政行为有下列情形之一的，决定撤销、变更或者确认该具体行政行为违法；决定撤销或者确认该具体行政行为违法的，可以责令被申请人在一定期限内重新作出具体行政行为：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1．主要事实不清、证据不足的；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2．适用依据错误的；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3．违反法定程序的；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4．超越或者滥用职权的；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5．具体行政行为明显不当的。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（四）被申请人不按照本法第二十三条的规定提出书面答复、提交当初作出具体行政行为的证据、依据和其他有关材料的，视为该具体行政行为没有证据、依据，决定撤销该具体行政行为。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行政复议机关责令被申请人重新作出具体行政行为的，被申请人不得以同一的事实和理由作出与原具体行政行为相同或者基本相同的具体行政行为。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第三十条</w:t>
      </w:r>
      <w:r>
        <w:rPr>
          <w:rFonts w:hint="eastAsia" w:ascii="方正仿宋简体" w:hAnsi="方正仿宋简体" w:eastAsia="方正仿宋简体" w:cs="方正仿宋简体"/>
          <w:b w:val="0"/>
          <w:bCs w:val="0"/>
          <w:color w:val="auto"/>
          <w:sz w:val="24"/>
          <w:szCs w:val="24"/>
          <w:lang w:val="en-US" w:eastAsia="zh-CN"/>
        </w:rPr>
        <w:t>　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国务院或者省、自治区、直辖市人民政府对行政区划的勘定、调整或者征用土地的决定，省、自治区、直辖市人民政府确认土地、矿藏、水流、森林、山岭、草原、荒地、滩涂、海域等自然资源的所有权或者使用权的行政复议决定为最终裁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行政复议机关作出行政复议决定，应当制作行政复议决定书，并加盖印章。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行政复议决定书一经送达，即发生法律效力。</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被申请人应当履行行政复议决定。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被申请人不履行或者无正当理由拖延履行行政复议决定的，行政复议机关或者有关上级行政机关应当责令其限期履行。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第三十三条</w:t>
      </w:r>
      <w:r>
        <w:rPr>
          <w:rFonts w:hint="eastAsia" w:ascii="方正仿宋简体" w:hAnsi="方正仿宋简体" w:eastAsia="方正仿宋简体" w:cs="方正仿宋简体"/>
          <w:b w:val="0"/>
          <w:bCs w:val="0"/>
          <w:color w:val="auto"/>
          <w:sz w:val="24"/>
          <w:szCs w:val="24"/>
          <w:lang w:val="en-US" w:eastAsia="zh-CN"/>
        </w:rPr>
        <w:t>　申请人逾期不起诉又不履行行政复议决定的，或者不履行最终裁决的行政复议决定的，按照下列规定分别处理：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（一）维持具体行政行为的行政复议决定，由作出具体行政行为的行政机关依法强制执行，或者申请人民法院强制执行；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（二）变更具体行政行为的行政复议决定，由行政复议机关依法强制执行，或者申请人民法院强制执行。</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第六章　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第三十四条</w:t>
      </w:r>
      <w:r>
        <w:rPr>
          <w:rFonts w:hint="eastAsia" w:ascii="方正仿宋简体" w:hAnsi="方正仿宋简体" w:eastAsia="方正仿宋简体" w:cs="方正仿宋简体"/>
          <w:b w:val="0"/>
          <w:bCs w:val="0"/>
          <w:color w:val="auto"/>
          <w:sz w:val="24"/>
          <w:szCs w:val="24"/>
          <w:lang w:val="en-US" w:eastAsia="zh-CN"/>
        </w:rPr>
        <w:t>　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第三十五条</w:t>
      </w:r>
      <w:r>
        <w:rPr>
          <w:rFonts w:hint="eastAsia" w:ascii="方正仿宋简体" w:hAnsi="方正仿宋简体" w:eastAsia="方正仿宋简体" w:cs="方正仿宋简体"/>
          <w:b w:val="0"/>
          <w:bCs w:val="0"/>
          <w:color w:val="auto"/>
          <w:sz w:val="24"/>
          <w:szCs w:val="24"/>
          <w:lang w:val="en-US" w:eastAsia="zh-CN"/>
        </w:rPr>
        <w:t>　行政复议机关工作人员在行政复议活动中，徇私舞弊或者有其他渎职、失职行为的，依法给予警告、记过、记大过的行政处分；情节严重的，依法给予降级、撤职、开除的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第三十六条</w:t>
      </w:r>
      <w:r>
        <w:rPr>
          <w:rFonts w:hint="eastAsia" w:ascii="方正仿宋简体" w:hAnsi="方正仿宋简体" w:eastAsia="方正仿宋简体" w:cs="方正仿宋简体"/>
          <w:b w:val="0"/>
          <w:bCs w:val="0"/>
          <w:color w:val="auto"/>
          <w:sz w:val="24"/>
          <w:szCs w:val="24"/>
          <w:lang w:val="en-US" w:eastAsia="zh-CN"/>
        </w:rPr>
        <w:t>　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第三十七条</w:t>
      </w:r>
      <w:r>
        <w:rPr>
          <w:rFonts w:hint="eastAsia" w:ascii="方正仿宋简体" w:hAnsi="方正仿宋简体" w:eastAsia="方正仿宋简体" w:cs="方正仿宋简体"/>
          <w:b w:val="0"/>
          <w:bCs w:val="0"/>
          <w:color w:val="auto"/>
          <w:sz w:val="24"/>
          <w:szCs w:val="24"/>
          <w:lang w:val="en-US" w:eastAsia="zh-CN"/>
        </w:rPr>
        <w:t>　被申请人不履行或者无正当理由拖延履行行政复议决定的，对直接负责的主管人员和其他直接责任人员依法给予警告、记过、记大过的行政处分；经责令履行仍拒不履行的，依法给予降级、撤职、开除的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第三十八条</w:t>
      </w:r>
      <w:r>
        <w:rPr>
          <w:rFonts w:hint="eastAsia" w:ascii="方正仿宋简体" w:hAnsi="方正仿宋简体" w:eastAsia="方正仿宋简体" w:cs="方正仿宋简体"/>
          <w:b w:val="0"/>
          <w:bCs w:val="0"/>
          <w:color w:val="auto"/>
          <w:sz w:val="24"/>
          <w:szCs w:val="24"/>
          <w:lang w:val="en-US" w:eastAsia="zh-CN"/>
        </w:rPr>
        <w:t>　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第七章　附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Arial" w:hAnsi="Arial" w:eastAsia="黑体" w:cstheme="minorBidi"/>
          <w:kern w:val="2"/>
          <w:sz w:val="24"/>
          <w:szCs w:val="24"/>
          <w:lang w:val="en-US" w:eastAsia="zh-CN" w:bidi="ar-SA"/>
        </w:rPr>
        <w:t>第三</w:t>
      </w:r>
      <w:r>
        <w:rPr>
          <w:rFonts w:hint="eastAsia" w:ascii="方正仿宋简体" w:hAnsi="方正仿宋简体" w:eastAsia="黑体" w:cs="方正仿宋简体"/>
          <w:b w:val="0"/>
          <w:bCs w:val="0"/>
          <w:color w:val="auto"/>
          <w:sz w:val="24"/>
          <w:szCs w:val="24"/>
          <w:lang w:val="en-US" w:eastAsia="zh-CN"/>
        </w:rPr>
        <w:t>十九条</w:t>
      </w:r>
      <w:r>
        <w:rPr>
          <w:rFonts w:hint="eastAsia" w:ascii="方正仿宋简体" w:hAnsi="方正仿宋简体" w:eastAsia="方正仿宋简体" w:cs="方正仿宋简体"/>
          <w:b w:val="0"/>
          <w:bCs w:val="0"/>
          <w:color w:val="auto"/>
          <w:sz w:val="24"/>
          <w:szCs w:val="24"/>
          <w:lang w:val="en-US" w:eastAsia="zh-CN"/>
        </w:rPr>
        <w:t>　行政复议机关受理行政复议申请，不得向申请人收取任何费用。行政复议活动所需经费，应当列入本机关的行政经费，由本级财政予以保障。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第四十条</w:t>
      </w:r>
      <w:r>
        <w:rPr>
          <w:rFonts w:hint="eastAsia" w:ascii="方正仿宋简体" w:hAnsi="方正仿宋简体" w:eastAsia="方正仿宋简体" w:cs="方正仿宋简体"/>
          <w:b w:val="0"/>
          <w:bCs w:val="0"/>
          <w:color w:val="auto"/>
          <w:sz w:val="24"/>
          <w:szCs w:val="24"/>
          <w:lang w:val="en-US" w:eastAsia="zh-CN"/>
        </w:rPr>
        <w:t>　行政复议期间的计算和行政复议文书的送达，</w:t>
      </w:r>
      <w:r>
        <w:rPr>
          <w:rFonts w:hint="eastAsia" w:ascii="方正仿宋简体" w:hAnsi="方正仿宋简体" w:eastAsia="方正仿宋简体" w:cs="方正仿宋简体"/>
          <w:b w:val="0"/>
          <w:bCs w:val="0"/>
          <w:color w:val="auto"/>
          <w:sz w:val="24"/>
          <w:szCs w:val="24"/>
          <w:highlight w:val="none"/>
          <w:lang w:val="en-US" w:eastAsia="zh-CN"/>
        </w:rPr>
        <w:t>依照民事诉讼法</w:t>
      </w:r>
      <w:r>
        <w:rPr>
          <w:rFonts w:hint="eastAsia" w:ascii="方正仿宋简体" w:hAnsi="方正仿宋简体" w:eastAsia="方正仿宋简体" w:cs="方正仿宋简体"/>
          <w:b w:val="0"/>
          <w:bCs w:val="0"/>
          <w:color w:val="auto"/>
          <w:sz w:val="24"/>
          <w:szCs w:val="24"/>
          <w:lang w:val="en-US" w:eastAsia="zh-CN"/>
        </w:rPr>
        <w:t>关于期间、送达的规定执行。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本法关于行政复议期间有关“五日”、“七日”的规定是指工作日，不含节假日。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第四十一条</w:t>
      </w:r>
      <w:r>
        <w:rPr>
          <w:rFonts w:hint="eastAsia" w:ascii="方正仿宋简体" w:hAnsi="方正仿宋简体" w:eastAsia="方正仿宋简体" w:cs="方正仿宋简体"/>
          <w:b w:val="0"/>
          <w:bCs w:val="0"/>
          <w:color w:val="auto"/>
          <w:sz w:val="24"/>
          <w:szCs w:val="24"/>
          <w:lang w:val="en-US" w:eastAsia="zh-CN"/>
        </w:rPr>
        <w:t>　外国人、无国籍人、外国组织在中华人民共和国境内申请行政复议，适用本法。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第四十二条</w:t>
      </w:r>
      <w:r>
        <w:rPr>
          <w:rFonts w:hint="eastAsia" w:ascii="方正仿宋简体" w:hAnsi="方正仿宋简体" w:eastAsia="方正仿宋简体" w:cs="方正仿宋简体"/>
          <w:b w:val="0"/>
          <w:bCs w:val="0"/>
          <w:color w:val="auto"/>
          <w:sz w:val="24"/>
          <w:szCs w:val="24"/>
          <w:lang w:val="en-US" w:eastAsia="zh-CN"/>
        </w:rPr>
        <w:t>　本法施行前公布的法律有关行政复议的规定与本法的规定不一致的，以本法的规定为准。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第四十三条</w:t>
      </w:r>
      <w:r>
        <w:rPr>
          <w:rFonts w:hint="eastAsia" w:ascii="方正仿宋简体" w:hAnsi="方正仿宋简体" w:eastAsia="方正仿宋简体" w:cs="方正仿宋简体"/>
          <w:b w:val="0"/>
          <w:bCs w:val="0"/>
          <w:color w:val="auto"/>
          <w:sz w:val="24"/>
          <w:szCs w:val="24"/>
          <w:lang w:val="en-US" w:eastAsia="zh-CN"/>
        </w:rPr>
        <w:t>　本法自1999年10月1日起施行。1990年12月24日国务院发布、1994年10月9日国务院修订发布的《行政复议条例》同时废止。</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中华人民共和国行政诉讼法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w:t>
      </w:r>
      <w:r>
        <w:rPr>
          <w:rFonts w:hint="eastAsia" w:ascii="方正仿宋简体" w:hAnsi="方正仿宋简体" w:eastAsia="方正仿宋简体" w:cs="方正仿宋简体"/>
          <w:b w:val="0"/>
          <w:bCs w:val="0"/>
          <w:color w:val="auto"/>
          <w:sz w:val="24"/>
          <w:szCs w:val="24"/>
          <w:highlight w:val="none"/>
          <w:lang w:val="en-US" w:eastAsia="zh-CN"/>
        </w:rPr>
        <w:t>1989</w:t>
      </w:r>
      <w:r>
        <w:rPr>
          <w:rFonts w:hint="eastAsia" w:ascii="方正仿宋简体" w:hAnsi="方正仿宋简体" w:eastAsia="方正仿宋简体" w:cs="方正仿宋简体"/>
          <w:b w:val="0"/>
          <w:bCs w:val="0"/>
          <w:color w:val="auto"/>
          <w:sz w:val="24"/>
          <w:szCs w:val="24"/>
          <w:lang w:val="en-US" w:eastAsia="zh-CN"/>
        </w:rPr>
        <w:t>年4月4日第七届全国人民代表大会第二次会议通过　根据2014年11月1日第十二届全国人民代表大会常务委员会第十一次会议《关于修改〈中华人民共和国行政诉讼法〉的决定》第一次修正　根据2017年6月27日第十二届全国人民代表大会常务委员会第二十八次会议《关于修改〈中华人民共和国民事诉讼法〉和〈中华人民共和国行政诉讼法〉的决定》第二次修正）</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xml:space="preserve"> 为保证人民法院公正、及时审理行政案件，解决行政争议，保护公民、法人和其他组织的合法权益，监督行政机关依法行使职权，根据宪法，制定本法。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公民、法人或者其他组织认为行政机关和行政机关工作人员的行政行为侵犯其合法权益，有权依照本法向人民法院提起诉讼。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前款所称行政行为，包括法律、法规、规章授权的组织作出的行政行为。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xml:space="preserve"> 人民法院应当保障公民、法人和其他组织的起诉权利，对应当受理的行政案件依法受理。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行政机关及其工作人员不得干预、阻碍人民法院受理行政案件。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被诉行政机关负责人应当出庭应诉。不能出庭的，应当委托行政机关相应的工作人员出庭。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xml:space="preserve"> 人民法院依法对行政案件独立行使审判权，不受行政机关、社会团体和个人的干涉。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人民法院设行政审判庭，审理行政案件。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人民法院审理行政案件，以事实为根据，以法律为准绳。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人民法院审理行政案件，对行政行为是否合法进行审查。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人民法院审理行政案件，依法实行合议、回避、公开审判和两审终审制度。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xml:space="preserve"> 当事人在行政诉讼中的法律地位平等。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xml:space="preserve"> 各民族公民都有用本民族语言、文字进行行政诉讼的权利。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在少数民族聚居或者多民族共同居住的地区，人民法院应当用当地民族通用的语言、文字进行审理和发布法律文书。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人民法院应当对不通晓当地民族通用的语言、文字的诉讼参与人提供翻译。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xml:space="preserve"> 当事人在行政诉讼中有权进行辩论。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xml:space="preserve"> 人民检察院有权对行政诉讼实行法律监督。</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第二章　受案范围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xml:space="preserve"> 人民法院受理公民、法人或者其他组织提起的下列诉讼：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（一）对行政拘留、暂扣或者吊销许可证和执照、责令停产停业、没收违法所得、没收非法财物、罚款、警告等行政处罚不服的；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（二）对限制人身自由或者对财产的查封、扣押、冻结等行政强制措施和行政强制执行不服的；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（三）申请行政许可，行政机关拒绝或者在法定期限内不予答复，或者对行政机关作出的有关行政许可的其他决定不服的；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（四）对行政机关作出的关于确认土地、矿藏、水流、森林、山岭、草原、荒地、滩涂、海域等自然资源的所有权或者使用权的决定不服的；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（五）对征收、征用决定及其补偿决定不服的；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（六）申请行政机关履行保护人身权、财产权等合法权益的法定职责，行政机关拒绝履行或者不予答复的；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（七）认为行政机关侵犯其经营自主权或者农村土地承包经营权、农村土地经营权的；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（八）认为行政机关滥用行政权力排除或者限制竞争的；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（九）认为行政机关违法集资、摊派费用或者违法要求履行其他义务的；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（十）认为行政机关没有依法支付抚恤金、最低生活保障待遇或者社会保险待遇的；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（十一）认为行政机关不依法履行、未按照约定履行或者违法变更、解除政府特许经营协议、土地房屋征收补偿协议等协议的；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（十二）认为行政机关侵犯其他人身权、财产权等合法权益的。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除前款规定外，人民法院受理法律、法规规定可以提起诉讼的其他行政案件。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xml:space="preserve"> 人民法院不受理公民、法人或者其他组织对下列事项提起的诉讼：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（一）国防、外交等国家行为；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（二）行政法规、规章或者行政机关制定、发布的具有普遍约束力的决定、命令；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（三）行政机关对行政机关工作人员的奖惩、任免等决定；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（四）法律规定由行政机关最终裁决的行政行为。</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第三章　管　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xml:space="preserve"> 基层人民法院管辖第一审行政案件。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xml:space="preserve"> 中级人民法院管辖下列第一审行政案件：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（一）对国务院部门或者县级以上地方人民政府</w:t>
      </w:r>
      <w:r>
        <w:rPr>
          <w:rFonts w:hint="eastAsia" w:ascii="方正仿宋简体" w:hAnsi="方正仿宋简体" w:eastAsia="方正仿宋简体" w:cs="方正仿宋简体"/>
          <w:b w:val="0"/>
          <w:bCs w:val="0"/>
          <w:color w:val="auto"/>
          <w:sz w:val="24"/>
          <w:szCs w:val="24"/>
          <w:highlight w:val="none"/>
          <w:lang w:val="en-US" w:eastAsia="zh-CN"/>
        </w:rPr>
        <w:t>所作的</w:t>
      </w:r>
      <w:r>
        <w:rPr>
          <w:rFonts w:hint="eastAsia" w:ascii="方正仿宋简体" w:hAnsi="方正仿宋简体" w:eastAsia="方正仿宋简体" w:cs="方正仿宋简体"/>
          <w:b w:val="0"/>
          <w:bCs w:val="0"/>
          <w:color w:val="auto"/>
          <w:sz w:val="24"/>
          <w:szCs w:val="24"/>
          <w:lang w:val="en-US" w:eastAsia="zh-CN"/>
        </w:rPr>
        <w:t>行政行为提起诉讼的案件；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（二）海关处理的案件；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（三）本辖区内重大、复杂的案件；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（四）其他法律规定由中级人民法院管辖的案件。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xml:space="preserve"> 高级人民法院管辖本辖区内重大、复杂的第一审行政案件。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xml:space="preserve"> 最高人民法院管辖全国范围内重大、复杂的第一审行政案件。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xml:space="preserve"> 行政案件由最初作出行政行为的行政机关所在地人民法院管辖。经复议的案件，也可以由复议机关所在地人民法院管辖。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经最高人民法院批准，高级人民法院可以根据审判工作的实际情况，确定若干人民法院跨行政区域管辖行政案件。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xml:space="preserve"> 对限制人身自由的行政强制措施不服提起的诉讼，由被告所在地或者原告所在地人民法院管辖。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xml:space="preserve"> 因不动产提起的行政诉讼，由不动产所在地人民法院管辖。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xml:space="preserve"> 两个以上人民法院都有管辖权的案件，原告可以选择其中一个人民法院提起诉讼。原告向两个以上有管辖权的人民法院提起诉讼的，由最先立案的人民法院管辖。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xml:space="preserve">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xml:space="preserve"> 有管辖权的人民法院由于特殊原因不能行使管辖权的，由上级人民法院指定管辖。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人民法院对管辖权发生争议，由争议双方协商解决。协商不成的，报它们的共同上级人民法院指定管辖。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第二十四条</w:t>
      </w:r>
      <w:r>
        <w:rPr>
          <w:rFonts w:hint="eastAsia" w:ascii="方正仿宋简体" w:hAnsi="方正仿宋简体" w:eastAsia="方正仿宋简体" w:cs="方正仿宋简体"/>
          <w:b w:val="0"/>
          <w:bCs w:val="0"/>
          <w:color w:val="auto"/>
          <w:sz w:val="24"/>
          <w:szCs w:val="24"/>
          <w:lang w:val="en-US" w:eastAsia="zh-CN"/>
        </w:rPr>
        <w:t xml:space="preserve"> 上级人民法院有权审理下级人民法院管辖的第一审行政案件。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下级人民法院对其管辖的第一审行政案件，认为需要由上级人民法院审理或者指定管辖的，可以报请上级人民法院决定。</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第四章　诉讼参加人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第二十五条</w:t>
      </w:r>
      <w:r>
        <w:rPr>
          <w:rFonts w:hint="eastAsia" w:ascii="方正仿宋简体" w:hAnsi="方正仿宋简体" w:eastAsia="方正仿宋简体" w:cs="方正仿宋简体"/>
          <w:b w:val="0"/>
          <w:bCs w:val="0"/>
          <w:color w:val="auto"/>
          <w:sz w:val="24"/>
          <w:szCs w:val="24"/>
          <w:lang w:val="en-US" w:eastAsia="zh-CN"/>
        </w:rPr>
        <w:t xml:space="preserve"> 行政行为的相对人以及其他与行政行为有利害关系的公民、法人或者其他组织，有权提起诉讼。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有权提起诉讼的公民死亡，其近亲属可以提起诉讼。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有权提起诉讼的法人或者其他组织终止，承受其权利的法人或者其他组织可以提起诉讼。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公民、法人或者其他组织直接向人民法院提起诉讼的，作出行政行为的行政机关是被告。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经复议的案件，复议机关决定维持原行政行为的，作出原行政行为的行政机关和复议机关是共同被告；复议机关改变原行政行为的，复议机关是被告。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复议机关在法定期限内未作出复议决定，公民、法人或者其他组织起诉原行政行为的，作出原行政行为的行政机关是被告；起诉复议机关不作为的，复议机关是被告。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两个以上行政机关作出同一行政行为的，共同作出行政行为的行政机关是共同被告。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行政机关委托的组织</w:t>
      </w:r>
      <w:r>
        <w:rPr>
          <w:rFonts w:hint="eastAsia" w:ascii="方正仿宋简体" w:hAnsi="方正仿宋简体" w:eastAsia="方正仿宋简体" w:cs="方正仿宋简体"/>
          <w:b w:val="0"/>
          <w:bCs w:val="0"/>
          <w:color w:val="auto"/>
          <w:sz w:val="24"/>
          <w:szCs w:val="24"/>
          <w:highlight w:val="none"/>
          <w:lang w:val="en-US" w:eastAsia="zh-CN"/>
        </w:rPr>
        <w:t>所作的</w:t>
      </w:r>
      <w:r>
        <w:rPr>
          <w:rFonts w:hint="eastAsia" w:ascii="方正仿宋简体" w:hAnsi="方正仿宋简体" w:eastAsia="方正仿宋简体" w:cs="方正仿宋简体"/>
          <w:b w:val="0"/>
          <w:bCs w:val="0"/>
          <w:color w:val="auto"/>
          <w:sz w:val="24"/>
          <w:szCs w:val="24"/>
          <w:lang w:val="en-US" w:eastAsia="zh-CN"/>
        </w:rPr>
        <w:t>行政行为，委托的行政机关是被告。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行政机关被撤销或者职权变更的，继续行使其职权的行政机关是被告。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xml:space="preserve"> 当事人一方或者双方为二人以上，因同一行政行为发生的行政案件，或者因同类行政行为发生的行政案件、人民法院认为可以合并审理并经当事人同意的，为共同诉讼。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第二十八条</w:t>
      </w:r>
      <w:r>
        <w:rPr>
          <w:rFonts w:hint="eastAsia" w:ascii="方正仿宋简体" w:hAnsi="方正仿宋简体" w:eastAsia="方正仿宋简体" w:cs="方正仿宋简体"/>
          <w:b w:val="0"/>
          <w:bCs w:val="0"/>
          <w:color w:val="auto"/>
          <w:sz w:val="24"/>
          <w:szCs w:val="24"/>
          <w:lang w:val="en-US" w:eastAsia="zh-CN"/>
        </w:rPr>
        <w:t xml:space="preserve"> 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公民、法人或者其他组织同被诉行政行为有利害关系但没有提起诉讼，或者同案件处理结果有利害关系的，可以作为第三人申请参加诉讼，或者由人民法院通知参加诉讼。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人民法院判决第三人承担义务或者减损第三人权益的，第三人有权依法提起上诉。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第三十条</w:t>
      </w:r>
      <w:r>
        <w:rPr>
          <w:rFonts w:hint="eastAsia" w:ascii="方正仿宋简体" w:hAnsi="方正仿宋简体" w:eastAsia="方正仿宋简体" w:cs="方正仿宋简体"/>
          <w:b w:val="0"/>
          <w:bCs w:val="0"/>
          <w:color w:val="auto"/>
          <w:sz w:val="24"/>
          <w:szCs w:val="24"/>
          <w:lang w:val="en-US" w:eastAsia="zh-CN"/>
        </w:rPr>
        <w:t xml:space="preserve"> 没有诉讼行为能力的公民，由其法定代理人代为诉讼。法定代理人互相推诿代理责任的，由人民法院指定其中一人代为诉讼。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xml:space="preserve"> 当事人、法定代理人，可以委托一至二人作为诉讼代理人。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下列人员可以被委托为诉讼代理人：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（一）律师、基层法律服务工作者；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（二）当事人的近亲属或者工作人员；</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（三）当事人所在社区、单位以及有关社会团体推荐的公民。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xml:space="preserve"> 代理诉讼的律师，有权按照规定查阅、复制本案有关材料，有权向有关组织和公民调查，收集与本案有关的证据。对涉及国家秘密、商业秘密和个人隐私的材料，应当依照法律规定保密。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当事人和其他诉讼代理人有权按照规定查阅、复制本案庭审材料，但涉及国家秘密、商业秘密和个人隐私的内容除外。</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第五章　证　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第三十三条</w:t>
      </w:r>
      <w:r>
        <w:rPr>
          <w:rFonts w:hint="eastAsia" w:ascii="方正仿宋简体" w:hAnsi="方正仿宋简体" w:eastAsia="方正仿宋简体" w:cs="方正仿宋简体"/>
          <w:b w:val="0"/>
          <w:bCs w:val="0"/>
          <w:color w:val="auto"/>
          <w:sz w:val="24"/>
          <w:szCs w:val="24"/>
          <w:lang w:val="en-US" w:eastAsia="zh-CN"/>
        </w:rPr>
        <w:t xml:space="preserve"> 证据包括：</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（一）书证；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（二）物证；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（三）视听资料；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（四）电子数据；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（五）证人证言；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（六）当事人的陈述；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（七）鉴定意见；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（八）勘验笔录、现场笔录。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以上证据经法庭审查属实，才能作为认定案件事实的根据。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第三十四条</w:t>
      </w:r>
      <w:r>
        <w:rPr>
          <w:rFonts w:hint="eastAsia" w:ascii="方正仿宋简体" w:hAnsi="方正仿宋简体" w:eastAsia="方正仿宋简体" w:cs="方正仿宋简体"/>
          <w:b w:val="0"/>
          <w:bCs w:val="0"/>
          <w:color w:val="auto"/>
          <w:sz w:val="24"/>
          <w:szCs w:val="24"/>
          <w:lang w:val="en-US" w:eastAsia="zh-CN"/>
        </w:rPr>
        <w:t xml:space="preserve"> 被告对作出的行政行为负有举证责任，应当提供作出该行政行为的证据和所依据的规范性文件。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被告不提供或者无正当理由逾期提供证据，视为没有相应证据。但是，被诉行政行为涉及第三人合法权益，第三人提供证据的除外。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第三十五条</w:t>
      </w:r>
      <w:r>
        <w:rPr>
          <w:rFonts w:hint="eastAsia" w:ascii="方正仿宋简体" w:hAnsi="方正仿宋简体" w:eastAsia="方正仿宋简体" w:cs="方正仿宋简体"/>
          <w:b w:val="0"/>
          <w:bCs w:val="0"/>
          <w:color w:val="auto"/>
          <w:sz w:val="24"/>
          <w:szCs w:val="24"/>
          <w:lang w:val="en-US" w:eastAsia="zh-CN"/>
        </w:rPr>
        <w:t xml:space="preserve"> 在诉讼过程中，被告及其诉讼代理人不得自行向原告、第三人和证人收集证据。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第三十六条</w:t>
      </w:r>
      <w:r>
        <w:rPr>
          <w:rFonts w:hint="eastAsia" w:ascii="方正仿宋简体" w:hAnsi="方正仿宋简体" w:eastAsia="方正仿宋简体" w:cs="方正仿宋简体"/>
          <w:b w:val="0"/>
          <w:bCs w:val="0"/>
          <w:color w:val="auto"/>
          <w:sz w:val="24"/>
          <w:szCs w:val="24"/>
          <w:lang w:val="en-US" w:eastAsia="zh-CN"/>
        </w:rPr>
        <w:t xml:space="preserve"> 被告在作出行政行为时已经收集了证据，但因不可抗力等正当事由不能提供的，经人民法院准许，可以延期提供。</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原告或者第三人提出了其在行政处理程序中没有提出的理由或者证据的，经人民法院准许，被告可以补充证据。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第三十七条</w:t>
      </w:r>
      <w:r>
        <w:rPr>
          <w:rFonts w:hint="eastAsia" w:ascii="方正仿宋简体" w:hAnsi="方正仿宋简体" w:eastAsia="方正仿宋简体" w:cs="方正仿宋简体"/>
          <w:b w:val="0"/>
          <w:bCs w:val="0"/>
          <w:color w:val="auto"/>
          <w:sz w:val="24"/>
          <w:szCs w:val="24"/>
          <w:lang w:val="en-US" w:eastAsia="zh-CN"/>
        </w:rPr>
        <w:t xml:space="preserve"> 原告可以提供证明行政行为违法的证据。原告提供的证据不成立的，不免除被告的举证责任。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第三十八条</w:t>
      </w:r>
      <w:r>
        <w:rPr>
          <w:rFonts w:hint="eastAsia" w:ascii="方正仿宋简体" w:hAnsi="方正仿宋简体" w:eastAsia="方正仿宋简体" w:cs="方正仿宋简体"/>
          <w:b w:val="0"/>
          <w:bCs w:val="0"/>
          <w:color w:val="auto"/>
          <w:sz w:val="24"/>
          <w:szCs w:val="24"/>
          <w:lang w:val="en-US" w:eastAsia="zh-CN"/>
        </w:rPr>
        <w:t xml:space="preserve"> 在起诉被告不履行法定职责的案件中，原告应当提供其向被告提出申请的证据。但有下列情形之一的除外：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（一）被告应当依职权主动履行法定职责的；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（二）原告因正当理由不能提供证据的。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在行政赔偿、补偿的案件中，原告应当对行政行为造成的损害提供证据。因被告的原因导致原告无法举证的，由被告承担举证责任。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第三十九条</w:t>
      </w:r>
      <w:r>
        <w:rPr>
          <w:rFonts w:hint="eastAsia" w:ascii="方正仿宋简体" w:hAnsi="方正仿宋简体" w:eastAsia="方正仿宋简体" w:cs="方正仿宋简体"/>
          <w:b w:val="0"/>
          <w:bCs w:val="0"/>
          <w:color w:val="auto"/>
          <w:sz w:val="24"/>
          <w:szCs w:val="24"/>
          <w:lang w:val="en-US" w:eastAsia="zh-CN"/>
        </w:rPr>
        <w:t xml:space="preserve"> 人民法院有权要求当事人提供或者补充证据。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第四十条</w:t>
      </w:r>
      <w:r>
        <w:rPr>
          <w:rFonts w:hint="eastAsia" w:ascii="方正仿宋简体" w:hAnsi="方正仿宋简体" w:eastAsia="方正仿宋简体" w:cs="方正仿宋简体"/>
          <w:b w:val="0"/>
          <w:bCs w:val="0"/>
          <w:color w:val="auto"/>
          <w:sz w:val="24"/>
          <w:szCs w:val="24"/>
          <w:lang w:val="en-US" w:eastAsia="zh-CN"/>
        </w:rPr>
        <w:t xml:space="preserve"> 人民法院有权向有关行政机关以及其他组织、公民调取证据。但是，不得为证明行政行为的合法性调取被告作出行政行为时未收集的证据。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第四十一条</w:t>
      </w:r>
      <w:r>
        <w:rPr>
          <w:rFonts w:hint="eastAsia" w:ascii="方正仿宋简体" w:hAnsi="方正仿宋简体" w:eastAsia="方正仿宋简体" w:cs="方正仿宋简体"/>
          <w:b w:val="0"/>
          <w:bCs w:val="0"/>
          <w:color w:val="auto"/>
          <w:sz w:val="24"/>
          <w:szCs w:val="24"/>
          <w:lang w:val="en-US" w:eastAsia="zh-CN"/>
        </w:rPr>
        <w:t xml:space="preserve"> 与本案有关的下列证据，原告或者第三人不能自行收集的，可以申请人民法院调取：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（一）由国家机关保存而须由人民法院调取的证据；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（二）涉及国家秘密、商业秘密和个人隐私的证据；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（三）确因客观原因不能自行收集的其他证据。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第四十二条</w:t>
      </w:r>
      <w:r>
        <w:rPr>
          <w:rFonts w:hint="eastAsia" w:ascii="方正仿宋简体" w:hAnsi="方正仿宋简体" w:eastAsia="方正仿宋简体" w:cs="方正仿宋简体"/>
          <w:b w:val="0"/>
          <w:bCs w:val="0"/>
          <w:color w:val="auto"/>
          <w:sz w:val="24"/>
          <w:szCs w:val="24"/>
          <w:lang w:val="en-US" w:eastAsia="zh-CN"/>
        </w:rPr>
        <w:t xml:space="preserve"> 在证据可能灭失或者以后难以取得的情况下，诉讼参加人可以向人民法院申请保全证据，人民法院也可以主动采取保全措施。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第四十三条</w:t>
      </w:r>
      <w:r>
        <w:rPr>
          <w:rFonts w:hint="eastAsia" w:ascii="方正仿宋简体" w:hAnsi="方正仿宋简体" w:eastAsia="方正仿宋简体" w:cs="方正仿宋简体"/>
          <w:b w:val="0"/>
          <w:bCs w:val="0"/>
          <w:color w:val="auto"/>
          <w:sz w:val="24"/>
          <w:szCs w:val="24"/>
          <w:lang w:val="en-US" w:eastAsia="zh-CN"/>
        </w:rPr>
        <w:t xml:space="preserve"> 证据应当在法庭上出示，并由当事人互相质证。对涉及国家秘密、商业秘密和个人隐私的证据，不得在公开开庭时出示。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人民法院应当按照法定程序，全面、客观地审查核实证据。对未采纳的证据应当在裁判文书中说明理由。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以非法手段取得的证据，不得作为认定案件事实的根据。</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第六章　起诉和受理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第四十四条</w:t>
      </w:r>
      <w:r>
        <w:rPr>
          <w:rFonts w:hint="eastAsia" w:ascii="方正仿宋简体" w:hAnsi="方正仿宋简体" w:eastAsia="方正仿宋简体" w:cs="方正仿宋简体"/>
          <w:b w:val="0"/>
          <w:bCs w:val="0"/>
          <w:color w:val="auto"/>
          <w:sz w:val="24"/>
          <w:szCs w:val="24"/>
          <w:lang w:val="en-US" w:eastAsia="zh-CN"/>
        </w:rPr>
        <w:t xml:space="preserve"> 对属于人民法院受案范围的行政案件，公民、法人或者其他组织可以先向行政机关申请复议，对复议决定不服的，再向人民法院提起诉讼；也可以直接向人民法院提起诉讼。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法律、法规规定应当先向行政机关申请复议，对复议决定不服再向人民法院提起诉讼的，依照法律、法规的规定。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第四十五条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公民、法人或者其他组织不服复议决定的，可以在收到复议决定书之日起十五日内向人民法院提起诉讼。复议机关逾期</w:t>
      </w:r>
      <w:r>
        <w:rPr>
          <w:rFonts w:hint="eastAsia" w:ascii="方正仿宋简体" w:hAnsi="方正仿宋简体" w:eastAsia="方正仿宋简体" w:cs="方正仿宋简体"/>
          <w:b w:val="0"/>
          <w:bCs w:val="0"/>
          <w:color w:val="auto"/>
          <w:sz w:val="24"/>
          <w:szCs w:val="24"/>
          <w:highlight w:val="none"/>
          <w:lang w:val="en-US" w:eastAsia="zh-CN"/>
        </w:rPr>
        <w:t>不作</w:t>
      </w:r>
      <w:r>
        <w:rPr>
          <w:rFonts w:hint="eastAsia" w:ascii="方正仿宋简体" w:hAnsi="方正仿宋简体" w:eastAsia="方正仿宋简体" w:cs="方正仿宋简体"/>
          <w:b w:val="0"/>
          <w:bCs w:val="0"/>
          <w:color w:val="auto"/>
          <w:sz w:val="24"/>
          <w:szCs w:val="24"/>
          <w:lang w:val="en-US" w:eastAsia="zh-CN"/>
        </w:rPr>
        <w:t>决定的，申请人可以在复议期满之日起十五日内向人民法院提起诉讼。法律另有规定的除外。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第四十六条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公民、法人或者其他组织直接向人民法院提起诉讼的，应当自知道或者应当知道作出行政行为之日起六个月内提出。法律另有规定的除外。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因不动产提起诉讼的案件自行政行为作出之日起超过二十年，其他案件自行政行为作出之日起超过五年提起诉讼的，人民法院不予受理。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第四十七条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公民、法人或者其他组织在紧急情况下请求行政机关履行保护其人身权、财产权等合法权益的法定职责，行政机关不履行的，提起诉讼不受前款规定期限的限制。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第四十八条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公民、法人或者其他组织因不可抗力或者其他不属于其自身的原因耽误起诉期限的，被耽误的时间不计算在起诉期限内。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公民、法人或者其他组织因前款规定以外的其他特殊情况耽误起诉期限的，在障碍消除后十日内，可以申请延长期限，是否准许由人民法院决定。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第四十九条</w:t>
      </w:r>
      <w:r>
        <w:rPr>
          <w:rFonts w:hint="eastAsia" w:ascii="方正仿宋简体" w:hAnsi="方正仿宋简体" w:eastAsia="方正仿宋简体" w:cs="方正仿宋简体"/>
          <w:b w:val="0"/>
          <w:bCs w:val="0"/>
          <w:color w:val="auto"/>
          <w:sz w:val="24"/>
          <w:szCs w:val="24"/>
          <w:lang w:val="en-US" w:eastAsia="zh-CN"/>
        </w:rPr>
        <w:t xml:space="preserve"> 提起诉讼应当符合下列条件：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（一）原告是符合本法第二十五条规定的公民、法人或者其他组织；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（二）有明确的被告；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（三）有具体的诉讼请求和事实根据；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（四）属于人民法院受案范围和受诉人民法院管辖。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第五十条</w:t>
      </w:r>
      <w:r>
        <w:rPr>
          <w:rFonts w:hint="eastAsia" w:ascii="方正仿宋简体" w:hAnsi="方正仿宋简体" w:eastAsia="方正仿宋简体" w:cs="方正仿宋简体"/>
          <w:b w:val="0"/>
          <w:bCs w:val="0"/>
          <w:color w:val="auto"/>
          <w:sz w:val="24"/>
          <w:szCs w:val="24"/>
          <w:lang w:val="en-US" w:eastAsia="zh-CN"/>
        </w:rPr>
        <w:t xml:space="preserve"> 起诉应当向人民法院递交起诉状，并按照被告人数提出副本。</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书写起诉状确有困难的，可以口头起诉，由人民法院记入笔录，出具注明日期的书面凭证，并告知对方当事人。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第五十一条</w:t>
      </w:r>
      <w:r>
        <w:rPr>
          <w:rFonts w:hint="eastAsia" w:ascii="方正仿宋简体" w:hAnsi="方正仿宋简体" w:eastAsia="方正仿宋简体" w:cs="方正仿宋简体"/>
          <w:b w:val="0"/>
          <w:bCs w:val="0"/>
          <w:color w:val="auto"/>
          <w:sz w:val="24"/>
          <w:szCs w:val="24"/>
          <w:lang w:val="en-US" w:eastAsia="zh-CN"/>
        </w:rPr>
        <w:t xml:space="preserve"> 人民法院在接到起诉状时对符合本法规定的起诉条件的，应当登记立案。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起诉状内容欠缺或者有其他错误的，应当给予指导和释明，并一次性告知当事人需要补正的内容。不得未经指导和释明即以起诉不符合条件为由不接收起诉状。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于不接收起诉状、接收起诉状后不出具书面凭证，以及不一次性告知当事人需要补正的起诉状内容的，当事人可以向上级人民法院投诉，上级人民法院应当责令改正，并对直接负责的主管人员和其他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第五十二条</w:t>
      </w:r>
      <w:r>
        <w:rPr>
          <w:rFonts w:hint="eastAsia" w:ascii="方正仿宋简体" w:hAnsi="方正仿宋简体" w:eastAsia="方正仿宋简体" w:cs="方正仿宋简体"/>
          <w:b w:val="0"/>
          <w:bCs w:val="0"/>
          <w:color w:val="auto"/>
          <w:sz w:val="24"/>
          <w:szCs w:val="24"/>
          <w:lang w:val="en-US" w:eastAsia="zh-CN"/>
        </w:rPr>
        <w:t xml:space="preserve"> 人民法院既不立案，又不作出不予立案裁定的，当事人可以向上一级人民法院起诉。上一级人民法院认为符合起诉条件的，应当立案、审理，也可以指定其他下级人民法院立案、审理。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第五十三条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公民、法人或者其他组织认为行政行为所依据的国务院部门和地方人民政府及其部门制定的规范性文件不合法，在对行政行为提起诉讼时，可以一并请求对该规范性文件进行审查。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前款规定的规范性文件不含规章。</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第七章　审理和判决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一般规定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第五十四条</w:t>
      </w:r>
      <w:r>
        <w:rPr>
          <w:rFonts w:hint="eastAsia" w:ascii="方正仿宋简体" w:hAnsi="方正仿宋简体" w:eastAsia="方正仿宋简体" w:cs="方正仿宋简体"/>
          <w:b w:val="0"/>
          <w:bCs w:val="0"/>
          <w:color w:val="auto"/>
          <w:sz w:val="24"/>
          <w:szCs w:val="24"/>
          <w:lang w:val="en-US" w:eastAsia="zh-CN"/>
        </w:rPr>
        <w:t xml:space="preserve"> 人民法院公开审理行政案件，但涉及国家秘密、个人隐私和法律另有规定的除外。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涉及商业秘密的案件，当事人申请不公开审理的，可以不公开审理。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第五十五条</w:t>
      </w:r>
      <w:r>
        <w:rPr>
          <w:rFonts w:hint="eastAsia" w:ascii="方正仿宋简体" w:hAnsi="方正仿宋简体" w:eastAsia="方正仿宋简体" w:cs="方正仿宋简体"/>
          <w:b w:val="0"/>
          <w:bCs w:val="0"/>
          <w:color w:val="auto"/>
          <w:sz w:val="24"/>
          <w:szCs w:val="24"/>
          <w:lang w:val="en-US" w:eastAsia="zh-CN"/>
        </w:rPr>
        <w:t xml:space="preserve"> 当事人认为审判人员与本案有利害关系或者有其他关系可能影响公正审判，有权申请审判人员回避。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审判人员认为自己与本案有利害关系或者有其他关系，应当申请回避。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前两款规定，适用于书记员、翻译人员、鉴定人、勘验人。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院长担任审判长时的回避，由审判委员会决定；审判人员的回避，由院长决定；其他人员的回避，由审判长决定。当事人对决定不服的，可以申请复议一次。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第五十六条</w:t>
      </w:r>
      <w:r>
        <w:rPr>
          <w:rFonts w:hint="eastAsia" w:ascii="方正仿宋简体" w:hAnsi="方正仿宋简体" w:eastAsia="方正仿宋简体" w:cs="方正仿宋简体"/>
          <w:b w:val="0"/>
          <w:bCs w:val="0"/>
          <w:color w:val="auto"/>
          <w:sz w:val="24"/>
          <w:szCs w:val="24"/>
          <w:lang w:val="en-US" w:eastAsia="zh-CN"/>
        </w:rPr>
        <w:t xml:space="preserve"> 诉讼期间，不停止行政行为的执行。但有下列情形之一的，裁定停止执行：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（一）被告认为需要停止执行的；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（二）原告或者利害关系人申请停止执行，人民法院认为该行政行为的执行会造成难以弥补的损失，并且停止执行不损害国家利益、社会公共利益的；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（三）人民法院认为该行政行为的执行会给国家利益、社会公共利益造成重大损害的；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（四）法律、法规规定停止执行的。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当事人对停止执行或者不停止执行的裁定不服的，可以申请复议一次。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第五十七条</w:t>
      </w:r>
      <w:r>
        <w:rPr>
          <w:rFonts w:hint="eastAsia" w:ascii="方正仿宋简体" w:hAnsi="方正仿宋简体" w:eastAsia="方正仿宋简体" w:cs="方正仿宋简体"/>
          <w:b w:val="0"/>
          <w:bCs w:val="0"/>
          <w:color w:val="auto"/>
          <w:sz w:val="24"/>
          <w:szCs w:val="24"/>
          <w:lang w:val="en-US" w:eastAsia="zh-CN"/>
        </w:rPr>
        <w:t xml:space="preserve"> 人民法院对起诉行政机关没有依法支付抚恤金、最低生活保障金和工伤、医疗社会保险金的案件，权利义务关系明确、不先予执行将严重影响原告生活的，可以根据原告的申请，裁定先予执行。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当事人对先予执行裁定不服的，可以申请复议一次。复议期间不停止裁定的执行。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第五十八条</w:t>
      </w:r>
      <w:r>
        <w:rPr>
          <w:rFonts w:hint="eastAsia" w:ascii="方正仿宋简体" w:hAnsi="方正仿宋简体" w:eastAsia="方正仿宋简体" w:cs="方正仿宋简体"/>
          <w:b w:val="0"/>
          <w:bCs w:val="0"/>
          <w:color w:val="auto"/>
          <w:sz w:val="24"/>
          <w:szCs w:val="24"/>
          <w:lang w:val="en-US" w:eastAsia="zh-CN"/>
        </w:rPr>
        <w:t xml:space="preserve"> 经人民法院传票传唤，原告无正当理由拒不到庭，或者未经法庭许可中途退庭的，可以按照撤诉处理；被告无正当理由拒不到庭，或者未经法庭许可中途退庭的，可以缺席判决。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第五十九条</w:t>
      </w:r>
      <w:r>
        <w:rPr>
          <w:rFonts w:hint="eastAsia" w:ascii="方正仿宋简体" w:hAnsi="方正仿宋简体" w:eastAsia="方正仿宋简体" w:cs="方正仿宋简体"/>
          <w:b w:val="0"/>
          <w:bCs w:val="0"/>
          <w:color w:val="auto"/>
          <w:sz w:val="24"/>
          <w:szCs w:val="24"/>
          <w:lang w:val="en-US" w:eastAsia="zh-CN"/>
        </w:rPr>
        <w:t xml:space="preserve"> 诉讼参与人或者其他人有下列行为之一的，人民法院可以根据情节轻重，予以训诫、责令具结悔过或者处一万元以下的罚款、十五日以下的拘留；构成犯罪的，依法追究刑事责任：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（一）有义务协助调查、执行的人，对人民法院的协助调查决定、协助执行通知书，无故</w:t>
      </w:r>
      <w:r>
        <w:rPr>
          <w:rFonts w:hint="eastAsia" w:ascii="方正仿宋简体" w:hAnsi="方正仿宋简体" w:eastAsia="方正仿宋简体" w:cs="方正仿宋简体"/>
          <w:b w:val="0"/>
          <w:bCs w:val="0"/>
          <w:color w:val="auto"/>
          <w:sz w:val="24"/>
          <w:szCs w:val="24"/>
          <w:highlight w:val="none"/>
          <w:lang w:val="en-US" w:eastAsia="zh-CN"/>
        </w:rPr>
        <w:t>推拖</w:t>
      </w:r>
      <w:r>
        <w:rPr>
          <w:rFonts w:hint="eastAsia" w:ascii="方正仿宋简体" w:hAnsi="方正仿宋简体" w:eastAsia="方正仿宋简体" w:cs="方正仿宋简体"/>
          <w:b w:val="0"/>
          <w:bCs w:val="0"/>
          <w:color w:val="auto"/>
          <w:sz w:val="24"/>
          <w:szCs w:val="24"/>
          <w:lang w:val="en-US" w:eastAsia="zh-CN"/>
        </w:rPr>
        <w:t>、拒绝或者妨碍调查、执行的；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（二）伪造、隐藏、毁灭证据或者提供虚假证明材料，妨碍人民法院审理案件的；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（三）指使、贿买、胁迫他人作伪证或者威胁、阻止证人作证的；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（四）隐藏、转移、变卖、毁损已被查封、扣押、冻结的财产的；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（五）以欺骗、胁迫等非法手段使原告撤诉的；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（六）以暴力、威胁或者其他方法阻碍人民法院工作人员执行职务，或者以哄闹、冲击法庭等方法扰乱人民法院工作秩序的；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（七）对人民法院审判人员或者其他工作人员、诉讼参与人、协助调查和执行的人员恐吓、侮辱、诽谤、诬陷、殴打、围攻或者打击报复的。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人民法院对有前款规定的行为之一的单位，可以对其主要负责人或者直接责任人员依照前款规定予以罚款、拘留；构成犯罪的，依法追究刑事责任。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罚款、拘留须经人民法院院长批准。当事人不服的，可以向上一级人民法院申请复议一次。复议期间不停止执行。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人民法院审理行政案件，不适用调解。但是，行政赔偿、补偿以及行政机关行使法律、法规规定的自由裁量权的案件可以调解。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调解应当遵循自愿、合法原则，不得损害国家利益、社会公共利益和他人合法权益。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第六十一条</w:t>
      </w:r>
      <w:r>
        <w:rPr>
          <w:rFonts w:hint="eastAsia" w:ascii="方正仿宋简体" w:hAnsi="方正仿宋简体" w:eastAsia="方正仿宋简体" w:cs="方正仿宋简体"/>
          <w:b w:val="0"/>
          <w:bCs w:val="0"/>
          <w:color w:val="auto"/>
          <w:sz w:val="24"/>
          <w:szCs w:val="24"/>
          <w:lang w:val="en-US" w:eastAsia="zh-CN"/>
        </w:rPr>
        <w:t xml:space="preserve"> 在涉及行政许可、登记、征收、征用和行政机关对民事争议</w:t>
      </w:r>
      <w:r>
        <w:rPr>
          <w:rFonts w:hint="eastAsia" w:ascii="方正仿宋简体" w:hAnsi="方正仿宋简体" w:eastAsia="方正仿宋简体" w:cs="方正仿宋简体"/>
          <w:b w:val="0"/>
          <w:bCs w:val="0"/>
          <w:color w:val="auto"/>
          <w:sz w:val="24"/>
          <w:szCs w:val="24"/>
          <w:highlight w:val="none"/>
          <w:lang w:val="en-US" w:eastAsia="zh-CN"/>
        </w:rPr>
        <w:t>所作的</w:t>
      </w:r>
      <w:r>
        <w:rPr>
          <w:rFonts w:hint="eastAsia" w:ascii="方正仿宋简体" w:hAnsi="方正仿宋简体" w:eastAsia="方正仿宋简体" w:cs="方正仿宋简体"/>
          <w:b w:val="0"/>
          <w:bCs w:val="0"/>
          <w:color w:val="auto"/>
          <w:sz w:val="24"/>
          <w:szCs w:val="24"/>
          <w:lang w:val="en-US" w:eastAsia="zh-CN"/>
        </w:rPr>
        <w:t>裁决的行政诉讼中，当事人申请一并解决相关民事争议的，人民法院可以一并审理。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在行政诉讼中，人民法院认为行政案件的审理需以民事诉讼的裁判为依据的，可以裁定中止行政诉讼。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第六十二条</w:t>
      </w:r>
      <w:r>
        <w:rPr>
          <w:rFonts w:hint="eastAsia" w:ascii="方正仿宋简体" w:hAnsi="方正仿宋简体" w:eastAsia="方正仿宋简体" w:cs="方正仿宋简体"/>
          <w:b w:val="0"/>
          <w:bCs w:val="0"/>
          <w:color w:val="auto"/>
          <w:sz w:val="24"/>
          <w:szCs w:val="24"/>
          <w:lang w:val="en-US" w:eastAsia="zh-CN"/>
        </w:rPr>
        <w:t xml:space="preserve"> 人民法院对行政案件宣告判决或者裁定前，原告申请撤诉的，或者被告改变其</w:t>
      </w:r>
      <w:r>
        <w:rPr>
          <w:rFonts w:hint="eastAsia" w:ascii="方正仿宋简体" w:hAnsi="方正仿宋简体" w:eastAsia="方正仿宋简体" w:cs="方正仿宋简体"/>
          <w:b w:val="0"/>
          <w:bCs w:val="0"/>
          <w:color w:val="auto"/>
          <w:sz w:val="24"/>
          <w:szCs w:val="24"/>
          <w:highlight w:val="none"/>
          <w:lang w:val="en-US" w:eastAsia="zh-CN"/>
        </w:rPr>
        <w:t>所作的</w:t>
      </w:r>
      <w:r>
        <w:rPr>
          <w:rFonts w:hint="eastAsia" w:ascii="方正仿宋简体" w:hAnsi="方正仿宋简体" w:eastAsia="方正仿宋简体" w:cs="方正仿宋简体"/>
          <w:b w:val="0"/>
          <w:bCs w:val="0"/>
          <w:color w:val="auto"/>
          <w:sz w:val="24"/>
          <w:szCs w:val="24"/>
          <w:lang w:val="en-US" w:eastAsia="zh-CN"/>
        </w:rPr>
        <w:t>行政行为，原告同意并申请撤诉的，是否准许，由人民法院裁定。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第六十三条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人民法院审理行政案件，以法律和行政法规、地方性法规为依据。地方性法规适用于本行政区域内发生的行政案件。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人民法院审理民族自治地方的行政案件，并以该民族自治地方的自治条例和单行条例为依据。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人民法院审理行政案件，参照规章。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第六十四条</w:t>
      </w:r>
      <w:r>
        <w:rPr>
          <w:rFonts w:hint="eastAsia" w:ascii="方正仿宋简体" w:hAnsi="方正仿宋简体" w:eastAsia="方正仿宋简体" w:cs="方正仿宋简体"/>
          <w:b w:val="0"/>
          <w:bCs w:val="0"/>
          <w:color w:val="auto"/>
          <w:sz w:val="24"/>
          <w:szCs w:val="24"/>
          <w:lang w:val="en-US" w:eastAsia="zh-CN"/>
        </w:rPr>
        <w:t xml:space="preserve"> 人民法院在审理行政案件中，经审查认为本法第五十三条规定的规范性文件不合法的，不作为认定行政行为合法的依据，并向制定机关提出处理建议。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第六十五条</w:t>
      </w:r>
      <w:r>
        <w:rPr>
          <w:rFonts w:hint="eastAsia" w:ascii="方正仿宋简体" w:hAnsi="方正仿宋简体" w:eastAsia="方正仿宋简体" w:cs="方正仿宋简体"/>
          <w:b w:val="0"/>
          <w:bCs w:val="0"/>
          <w:color w:val="auto"/>
          <w:sz w:val="24"/>
          <w:szCs w:val="24"/>
          <w:lang w:val="en-US" w:eastAsia="zh-CN"/>
        </w:rPr>
        <w:t xml:space="preserve"> 人民法院应当公开发生法律效力的判决书、裁定书，供公众查阅，但涉及国家秘密、商业秘密和个人隐私的内容除外。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第六十六条</w:t>
      </w:r>
      <w:r>
        <w:rPr>
          <w:rFonts w:hint="eastAsia" w:ascii="方正仿宋简体" w:hAnsi="方正仿宋简体" w:eastAsia="方正仿宋简体" w:cs="方正仿宋简体"/>
          <w:b w:val="0"/>
          <w:bCs w:val="0"/>
          <w:color w:val="auto"/>
          <w:sz w:val="24"/>
          <w:szCs w:val="24"/>
          <w:lang w:val="en-US" w:eastAsia="zh-CN"/>
        </w:rPr>
        <w:t xml:space="preserve"> 人民法院在审理行政案件中，认为行政机关的主管人员、直接责任人员违法违纪的，应当将有关材料移送监察机关、该行政机关或者其上一级行政机关；认为有犯罪行为的，应当将有关材料移送公安、检察机关。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第一审普通程序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第六十七条</w:t>
      </w:r>
      <w:r>
        <w:rPr>
          <w:rFonts w:hint="eastAsia" w:ascii="方正仿宋简体" w:hAnsi="方正仿宋简体" w:eastAsia="方正仿宋简体" w:cs="方正仿宋简体"/>
          <w:b w:val="0"/>
          <w:bCs w:val="0"/>
          <w:color w:val="auto"/>
          <w:sz w:val="24"/>
          <w:szCs w:val="24"/>
          <w:lang w:val="en-US" w:eastAsia="zh-CN"/>
        </w:rPr>
        <w:t xml:space="preserve">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被告不提出答辩状的，不影响人民法院审理。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第六十八条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人民法院审理行政案件，由审判员组成合议庭，或者由审判员、陪审员组成合议庭。合议庭的成员，应当是三人以上的单数。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第六十九条</w:t>
      </w:r>
      <w:r>
        <w:rPr>
          <w:rFonts w:hint="eastAsia" w:ascii="方正仿宋简体" w:hAnsi="方正仿宋简体" w:eastAsia="方正仿宋简体" w:cs="方正仿宋简体"/>
          <w:b w:val="0"/>
          <w:bCs w:val="0"/>
          <w:color w:val="auto"/>
          <w:sz w:val="24"/>
          <w:szCs w:val="24"/>
          <w:lang w:val="en-US" w:eastAsia="zh-CN"/>
        </w:rPr>
        <w:t xml:space="preserve"> 行政行为证据确凿，适用法律、法规正确，符合法定程序的，或者原告申请被告履行法定职责或者给付义务理由不成立的，人民法院判决驳回原告的诉讼请求。</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第七十条</w:t>
      </w:r>
      <w:r>
        <w:rPr>
          <w:rFonts w:hint="eastAsia" w:ascii="方正仿宋简体" w:hAnsi="方正仿宋简体" w:eastAsia="方正仿宋简体" w:cs="方正仿宋简体"/>
          <w:b w:val="0"/>
          <w:bCs w:val="0"/>
          <w:color w:val="auto"/>
          <w:sz w:val="24"/>
          <w:szCs w:val="24"/>
          <w:lang w:val="en-US" w:eastAsia="zh-CN"/>
        </w:rPr>
        <w:t xml:space="preserve"> 行政行为有下列情形之一的，人民法院判决撤销或者部分撤销，并可以判决被告重新作出行政行为：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（一）主要证据不足的；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（二）适用法律、法规错误的；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（三）违反法定程序的；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（四）超越职权的；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（五）滥用职权的；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（六）明显不当的。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第七十一条</w:t>
      </w:r>
      <w:r>
        <w:rPr>
          <w:rFonts w:hint="eastAsia" w:ascii="方正仿宋简体" w:hAnsi="方正仿宋简体" w:eastAsia="方正仿宋简体" w:cs="方正仿宋简体"/>
          <w:b w:val="0"/>
          <w:bCs w:val="0"/>
          <w:color w:val="auto"/>
          <w:sz w:val="24"/>
          <w:szCs w:val="24"/>
          <w:lang w:val="en-US" w:eastAsia="zh-CN"/>
        </w:rPr>
        <w:t xml:space="preserve"> 人民法院判决被告重新作出行政行为的，被告不得以同一的事实和理由作出与原行政行为基本相同的行政行为。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第七十二条</w:t>
      </w:r>
      <w:r>
        <w:rPr>
          <w:rFonts w:hint="eastAsia" w:ascii="方正仿宋简体" w:hAnsi="方正仿宋简体" w:eastAsia="方正仿宋简体" w:cs="方正仿宋简体"/>
          <w:b w:val="0"/>
          <w:bCs w:val="0"/>
          <w:color w:val="auto"/>
          <w:sz w:val="24"/>
          <w:szCs w:val="24"/>
          <w:lang w:val="en-US" w:eastAsia="zh-CN"/>
        </w:rPr>
        <w:t xml:space="preserve"> 人民法院经过审理，查明被告不履行法定职责的，判决被告在一定期限内履行。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第七十三条</w:t>
      </w:r>
      <w:r>
        <w:rPr>
          <w:rFonts w:hint="eastAsia" w:ascii="方正仿宋简体" w:hAnsi="方正仿宋简体" w:eastAsia="方正仿宋简体" w:cs="方正仿宋简体"/>
          <w:b w:val="0"/>
          <w:bCs w:val="0"/>
          <w:color w:val="auto"/>
          <w:sz w:val="24"/>
          <w:szCs w:val="24"/>
          <w:lang w:val="en-US" w:eastAsia="zh-CN"/>
        </w:rPr>
        <w:t xml:space="preserve"> 人民法院经过审理，查明被告依法负有给付义务的，判决被告履行给付义务。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第七十四条</w:t>
      </w:r>
      <w:r>
        <w:rPr>
          <w:rFonts w:hint="eastAsia" w:ascii="方正仿宋简体" w:hAnsi="方正仿宋简体" w:eastAsia="方正仿宋简体" w:cs="方正仿宋简体"/>
          <w:b w:val="0"/>
          <w:bCs w:val="0"/>
          <w:color w:val="auto"/>
          <w:sz w:val="24"/>
          <w:szCs w:val="24"/>
          <w:lang w:val="en-US" w:eastAsia="zh-CN"/>
        </w:rPr>
        <w:t xml:space="preserve"> 行政行为有下列情形之一的，人民法院判决确认违法，但不撤销行政行为：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（一）行政行为依法应当撤销，但撤销会给国家利益、社会公共利益造成重大损害的；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（二）行政行为程序轻微违法，但对原告权利不产生实际影响的。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行政行为有下列情形之一，不需要撤销或者判决履行的，人民法院判决确认违法：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（一）行政行为违法，但不具有可撤销内容的；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（二）被告改变原违法行政行为，原告仍要求确认原行政行为违法的；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（三）被告不履行或者拖延履行法定职责，判决履行没有意义的。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第七十五条</w:t>
      </w:r>
      <w:r>
        <w:rPr>
          <w:rFonts w:hint="eastAsia" w:ascii="方正仿宋简体" w:hAnsi="方正仿宋简体" w:eastAsia="方正仿宋简体" w:cs="方正仿宋简体"/>
          <w:b w:val="0"/>
          <w:bCs w:val="0"/>
          <w:color w:val="auto"/>
          <w:sz w:val="24"/>
          <w:szCs w:val="24"/>
          <w:lang w:val="en-US" w:eastAsia="zh-CN"/>
        </w:rPr>
        <w:t>行政行为有实施主体不具有行政主体资格或者没有依据等重大且明显违法情形，原告申请确认行政行为无效的，人民法院判决确认无效。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第七十六条</w:t>
      </w:r>
      <w:r>
        <w:rPr>
          <w:rFonts w:hint="eastAsia" w:ascii="方正仿宋简体" w:hAnsi="方正仿宋简体" w:eastAsia="方正仿宋简体" w:cs="方正仿宋简体"/>
          <w:b w:val="0"/>
          <w:bCs w:val="0"/>
          <w:color w:val="auto"/>
          <w:sz w:val="24"/>
          <w:szCs w:val="24"/>
          <w:lang w:val="en-US" w:eastAsia="zh-CN"/>
        </w:rPr>
        <w:t xml:space="preserve"> 人民法院判决确认违法或者无效的，可以同时判决责令被告采取补救措施；给原告造成损失的，依法判决被告承担赔偿责任。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第七十七条</w:t>
      </w:r>
      <w:r>
        <w:rPr>
          <w:rFonts w:hint="eastAsia" w:ascii="方正仿宋简体" w:hAnsi="方正仿宋简体" w:eastAsia="方正仿宋简体" w:cs="方正仿宋简体"/>
          <w:b w:val="0"/>
          <w:bCs w:val="0"/>
          <w:color w:val="auto"/>
          <w:sz w:val="24"/>
          <w:szCs w:val="24"/>
          <w:lang w:val="en-US" w:eastAsia="zh-CN"/>
        </w:rPr>
        <w:t xml:space="preserve"> 行政处罚明显不当，或者其他行政行为涉及对款额的确定、认定确有错误的，人民法院可以判决变更。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人民法院判决变更，不得加重原告的义务或者减损原告的权益。但利害关系人同为原告，且诉讼请求相反的除外。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第七十八条</w:t>
      </w:r>
      <w:r>
        <w:rPr>
          <w:rFonts w:hint="eastAsia" w:ascii="方正仿宋简体" w:hAnsi="方正仿宋简体" w:eastAsia="方正仿宋简体" w:cs="方正仿宋简体"/>
          <w:b w:val="0"/>
          <w:bCs w:val="0"/>
          <w:color w:val="auto"/>
          <w:sz w:val="24"/>
          <w:szCs w:val="24"/>
          <w:lang w:val="en-US" w:eastAsia="zh-CN"/>
        </w:rPr>
        <w:t xml:space="preserve"> 被告不依法履行、未按照约定履行或者违法变更、解除本法第十二条第一款第十一项规定的协议的，人民法院判决被告承担继续履行、采取补救措施或者赔偿损失等责任。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被告变更、解除本法第十二条第一款第十一项规定的协议合法，但未依法给予补偿的，人民法院判决给予补偿。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第七十九条</w:t>
      </w:r>
      <w:r>
        <w:rPr>
          <w:rFonts w:hint="eastAsia" w:ascii="方正仿宋简体" w:hAnsi="方正仿宋简体" w:eastAsia="方正仿宋简体" w:cs="方正仿宋简体"/>
          <w:b w:val="0"/>
          <w:bCs w:val="0"/>
          <w:color w:val="auto"/>
          <w:sz w:val="24"/>
          <w:szCs w:val="24"/>
          <w:lang w:val="en-US" w:eastAsia="zh-CN"/>
        </w:rPr>
        <w:t xml:space="preserve"> 复议机关与作出原行政行为的行政机关为共同被告的案件，人民法院应当对复议决定和原行政行为一并作出裁判。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第八十条</w:t>
      </w:r>
      <w:r>
        <w:rPr>
          <w:rFonts w:hint="eastAsia" w:ascii="方正仿宋简体" w:hAnsi="方正仿宋简体" w:eastAsia="方正仿宋简体" w:cs="方正仿宋简体"/>
          <w:b w:val="0"/>
          <w:bCs w:val="0"/>
          <w:color w:val="auto"/>
          <w:sz w:val="24"/>
          <w:szCs w:val="24"/>
          <w:lang w:val="en-US" w:eastAsia="zh-CN"/>
        </w:rPr>
        <w:t xml:space="preserve"> 人民法院对公开审理和不公开审理的案件，一律公开宣告判决。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当庭宣判的，应当在十日内发送判决书；定期宣判的，宣判后立即发给判决书。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宣告判决时，必须告知当事人上诉权利、上诉期限和上诉的人民法院。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第八十一条</w:t>
      </w:r>
      <w:r>
        <w:rPr>
          <w:rFonts w:hint="eastAsia" w:ascii="方正仿宋简体" w:hAnsi="方正仿宋简体" w:eastAsia="方正仿宋简体" w:cs="方正仿宋简体"/>
          <w:b w:val="0"/>
          <w:bCs w:val="0"/>
          <w:color w:val="auto"/>
          <w:sz w:val="24"/>
          <w:szCs w:val="24"/>
          <w:lang w:val="en-US" w:eastAsia="zh-CN"/>
        </w:rPr>
        <w:t xml:space="preserve"> 人民法院应当在立案之日起六个月内作出第一审判决。有特殊情况需要延长的，由高级人民法院批准，高级人民法院审理第一审案件需要延长的，由最高人民法院批准。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简易程序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第八十二条</w:t>
      </w:r>
      <w:r>
        <w:rPr>
          <w:rFonts w:hint="eastAsia" w:ascii="方正仿宋简体" w:hAnsi="方正仿宋简体" w:eastAsia="方正仿宋简体" w:cs="方正仿宋简体"/>
          <w:b w:val="0"/>
          <w:bCs w:val="0"/>
          <w:color w:val="auto"/>
          <w:sz w:val="24"/>
          <w:szCs w:val="24"/>
          <w:lang w:val="en-US" w:eastAsia="zh-CN"/>
        </w:rPr>
        <w:t xml:space="preserve"> 人民法院审理下列第一审行政案件，认为事实清楚、权利义务关系明确、争议不大的，可以适用简易程序：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（一）被诉行政行为是依法当场作出的；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（二）案件涉及款额</w:t>
      </w:r>
      <w:r>
        <w:rPr>
          <w:rFonts w:hint="eastAsia" w:ascii="方正仿宋简体" w:hAnsi="方正仿宋简体" w:eastAsia="方正仿宋简体" w:cs="方正仿宋简体"/>
          <w:b w:val="0"/>
          <w:bCs w:val="0"/>
          <w:color w:val="auto"/>
          <w:sz w:val="24"/>
          <w:szCs w:val="24"/>
          <w:highlight w:val="none"/>
          <w:lang w:val="en-US" w:eastAsia="zh-CN"/>
        </w:rPr>
        <w:t>二千</w:t>
      </w:r>
      <w:r>
        <w:rPr>
          <w:rFonts w:hint="eastAsia" w:ascii="方正仿宋简体" w:hAnsi="方正仿宋简体" w:eastAsia="方正仿宋简体" w:cs="方正仿宋简体"/>
          <w:b w:val="0"/>
          <w:bCs w:val="0"/>
          <w:color w:val="auto"/>
          <w:sz w:val="24"/>
          <w:szCs w:val="24"/>
          <w:lang w:val="en-US" w:eastAsia="zh-CN"/>
        </w:rPr>
        <w:t>元以下的；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（三）属于政府信息公开案件的。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除前款规定以外的第一审行政案件，当事人各方同意适用简易程序的，可以适用简易程序。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发回重审、按照审判监督程序再审的案件不适用简易程序。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第八十三条</w:t>
      </w:r>
      <w:r>
        <w:rPr>
          <w:rFonts w:hint="eastAsia" w:ascii="方正仿宋简体" w:hAnsi="方正仿宋简体" w:eastAsia="方正仿宋简体" w:cs="方正仿宋简体"/>
          <w:b w:val="0"/>
          <w:bCs w:val="0"/>
          <w:color w:val="auto"/>
          <w:sz w:val="24"/>
          <w:szCs w:val="24"/>
          <w:lang w:val="en-US" w:eastAsia="zh-CN"/>
        </w:rPr>
        <w:t xml:space="preserve"> 适用简易程序审理的行政案件，由审判员一人独任审理，并应当在立案之日起四十五日内审结。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第八十四条</w:t>
      </w:r>
      <w:r>
        <w:rPr>
          <w:rFonts w:hint="eastAsia" w:ascii="方正仿宋简体" w:hAnsi="方正仿宋简体" w:eastAsia="方正仿宋简体" w:cs="方正仿宋简体"/>
          <w:b w:val="0"/>
          <w:bCs w:val="0"/>
          <w:color w:val="auto"/>
          <w:sz w:val="24"/>
          <w:szCs w:val="24"/>
          <w:lang w:val="en-US" w:eastAsia="zh-CN"/>
        </w:rPr>
        <w:t xml:space="preserve"> 人民法院在审理过程中，发现案件不宜适用简易程序的，裁定转为普通程序。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第四节　第二审程序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第八十五条</w:t>
      </w:r>
      <w:r>
        <w:rPr>
          <w:rFonts w:hint="eastAsia" w:ascii="方正仿宋简体" w:hAnsi="方正仿宋简体" w:eastAsia="方正仿宋简体" w:cs="方正仿宋简体"/>
          <w:b w:val="0"/>
          <w:bCs w:val="0"/>
          <w:color w:val="auto"/>
          <w:sz w:val="24"/>
          <w:szCs w:val="24"/>
          <w:lang w:val="en-US" w:eastAsia="zh-CN"/>
        </w:rPr>
        <w:t xml:space="preserve">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第八十六条</w:t>
      </w:r>
      <w:r>
        <w:rPr>
          <w:rFonts w:hint="eastAsia" w:ascii="方正仿宋简体" w:hAnsi="方正仿宋简体" w:eastAsia="方正仿宋简体" w:cs="方正仿宋简体"/>
          <w:b w:val="0"/>
          <w:bCs w:val="0"/>
          <w:color w:val="auto"/>
          <w:sz w:val="24"/>
          <w:szCs w:val="24"/>
          <w:lang w:val="en-US" w:eastAsia="zh-CN"/>
        </w:rPr>
        <w:t xml:space="preserve"> 人民法院对上诉案件，应当组成合议庭，开庭审理。经过阅卷、调查和询问当事人，对没有提出新的事实、证据或者理由，合议庭认为不需要开庭审理的，也可以不开庭审理。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第八十七条</w:t>
      </w:r>
      <w:r>
        <w:rPr>
          <w:rFonts w:hint="eastAsia" w:ascii="方正仿宋简体" w:hAnsi="方正仿宋简体" w:eastAsia="方正仿宋简体" w:cs="方正仿宋简体"/>
          <w:b w:val="0"/>
          <w:bCs w:val="0"/>
          <w:color w:val="auto"/>
          <w:sz w:val="24"/>
          <w:szCs w:val="24"/>
          <w:lang w:val="en-US" w:eastAsia="zh-CN"/>
        </w:rPr>
        <w:t xml:space="preserve"> 人民法院审理上诉案件，应当对原审人民法院的判决、裁定和被诉行政行为进行全面审查。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第八十八条</w:t>
      </w:r>
      <w:r>
        <w:rPr>
          <w:rFonts w:hint="eastAsia" w:ascii="方正仿宋简体" w:hAnsi="方正仿宋简体" w:eastAsia="方正仿宋简体" w:cs="方正仿宋简体"/>
          <w:b w:val="0"/>
          <w:bCs w:val="0"/>
          <w:color w:val="auto"/>
          <w:sz w:val="24"/>
          <w:szCs w:val="24"/>
          <w:lang w:val="en-US" w:eastAsia="zh-CN"/>
        </w:rPr>
        <w:t xml:space="preserve"> 人民法院审理上诉案件，应当在收到上诉状之日起三个月内作出终审判决。有特殊情况需要延长的，由高级人民法院批准，高级人民法院审理上诉案件需要延长的，由最高人民法院批准。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第八十九条</w:t>
      </w:r>
      <w:r>
        <w:rPr>
          <w:rFonts w:hint="eastAsia" w:ascii="方正仿宋简体" w:hAnsi="方正仿宋简体" w:eastAsia="方正仿宋简体" w:cs="方正仿宋简体"/>
          <w:b w:val="0"/>
          <w:bCs w:val="0"/>
          <w:color w:val="auto"/>
          <w:sz w:val="24"/>
          <w:szCs w:val="24"/>
          <w:lang w:val="en-US" w:eastAsia="zh-CN"/>
        </w:rPr>
        <w:t xml:space="preserve"> 人民法院审理上诉案件，按照下列情形，分别处理：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（一）原判决、裁定认定事实清楚，适用法律、法规正确的，判决或者裁定驳回上诉，维持原判决、裁定；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（二）原判决、裁定认定事实错误或者适用法律、法规错误的，依法改判、撤销或者变更；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（三）原判决认定基本事实不清、证据不足的，发回原审人民法院重审，或者查清事实后改判；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（四）原判决遗漏当事人或者违法缺席判决等严重违反法定程序的，裁定撤销原判决，发回原审人民法院重审。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原审人民法院对发回重审的案件作出判决后，当事人提起上诉的，第二审人民法院不得再次发回重审。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人民法院审理上诉案件，需要改变原审判决的，应当同时对被诉行政行为作出判决。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第五节　审判监督程序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第九十条</w:t>
      </w:r>
      <w:r>
        <w:rPr>
          <w:rFonts w:hint="eastAsia" w:ascii="方正仿宋简体" w:hAnsi="方正仿宋简体" w:eastAsia="方正仿宋简体" w:cs="方正仿宋简体"/>
          <w:b w:val="0"/>
          <w:bCs w:val="0"/>
          <w:color w:val="auto"/>
          <w:sz w:val="24"/>
          <w:szCs w:val="24"/>
          <w:lang w:val="en-US" w:eastAsia="zh-CN"/>
        </w:rPr>
        <w:t xml:space="preserve"> 当事人对已经发生法律效力的判决、裁定，认为确有错误的，可以向上一级人民法院申请再审，但判决、裁定不停止执行。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第九十一条</w:t>
      </w:r>
      <w:r>
        <w:rPr>
          <w:rFonts w:hint="eastAsia" w:ascii="方正仿宋简体" w:hAnsi="方正仿宋简体" w:eastAsia="方正仿宋简体" w:cs="方正仿宋简体"/>
          <w:b w:val="0"/>
          <w:bCs w:val="0"/>
          <w:color w:val="auto"/>
          <w:sz w:val="24"/>
          <w:szCs w:val="24"/>
          <w:lang w:val="en-US" w:eastAsia="zh-CN"/>
        </w:rPr>
        <w:t xml:space="preserve"> 当事人的申请符合下列情形之一的，人民法院应当再审：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（一）不予立案或者驳回起诉确有错误的；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（二）有新的证据，足以推翻原判决、裁定的；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（三）原判决、裁定认定事实的主要证据不足、未经质证或者系伪造的；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（四）原判决、裁定适用法律、法规确有错误的；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（五）违反法律规定的诉讼程序，可能影响公正审判的；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（六）原判决、裁定遗漏诉讼请求的；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（七）据以作出原判决、裁定的法律文书被撤销或者变更的；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（八）审判人员在审理该案件时有贪污受贿、徇私舞弊、枉法裁判行为的。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第九十二条</w:t>
      </w:r>
      <w:r>
        <w:rPr>
          <w:rFonts w:hint="eastAsia" w:ascii="方正仿宋简体" w:hAnsi="方正仿宋简体" w:eastAsia="方正仿宋简体" w:cs="方正仿宋简体"/>
          <w:b w:val="0"/>
          <w:bCs w:val="0"/>
          <w:color w:val="auto"/>
          <w:sz w:val="24"/>
          <w:szCs w:val="24"/>
          <w:lang w:val="en-US" w:eastAsia="zh-CN"/>
        </w:rPr>
        <w:t xml:space="preserve"> 各级人民法院院长对本院已经发生法律效力的判决、裁定，发现有本法第九十一条规定情形之一，或者发现调解违反自愿原则或者调解书内容违法，认为需要再审的，应当提交审判委员会讨论决定。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第九十三条</w:t>
      </w:r>
      <w:r>
        <w:rPr>
          <w:rFonts w:hint="eastAsia" w:ascii="方正仿宋简体" w:hAnsi="方正仿宋简体" w:eastAsia="方正仿宋简体" w:cs="方正仿宋简体"/>
          <w:b w:val="0"/>
          <w:bCs w:val="0"/>
          <w:color w:val="auto"/>
          <w:sz w:val="24"/>
          <w:szCs w:val="24"/>
          <w:lang w:val="en-US" w:eastAsia="zh-CN"/>
        </w:rPr>
        <w:t xml:space="preserve">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各级人民检察院对审判监督程序以外的其他审判程序中审判人员的违法行为，有权向同级人民法院提出检察建议。</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第八章　执　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第九十四条</w:t>
      </w:r>
      <w:r>
        <w:rPr>
          <w:rFonts w:hint="eastAsia" w:ascii="方正仿宋简体" w:hAnsi="方正仿宋简体" w:eastAsia="方正仿宋简体" w:cs="方正仿宋简体"/>
          <w:b w:val="0"/>
          <w:bCs w:val="0"/>
          <w:color w:val="auto"/>
          <w:sz w:val="24"/>
          <w:szCs w:val="24"/>
          <w:lang w:val="en-US" w:eastAsia="zh-CN"/>
        </w:rPr>
        <w:t xml:space="preserve"> 当事人必须履行人民法院发生法律效力的判决、裁定、调解书。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第九十五条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公民、法人或者其他组织拒绝履行判决、裁定、调解书的，行政机关或者第三人可以向第一审人民法院申请强制执行，或者由行政机关依法强制执行。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第九十六条</w:t>
      </w:r>
      <w:r>
        <w:rPr>
          <w:rFonts w:hint="eastAsia" w:ascii="方正仿宋简体" w:hAnsi="方正仿宋简体" w:eastAsia="方正仿宋简体" w:cs="方正仿宋简体"/>
          <w:b w:val="0"/>
          <w:bCs w:val="0"/>
          <w:color w:val="auto"/>
          <w:sz w:val="24"/>
          <w:szCs w:val="24"/>
          <w:lang w:val="en-US" w:eastAsia="zh-CN"/>
        </w:rPr>
        <w:t xml:space="preserve"> 行政机关拒绝履行判决、裁定、调解书的，第一审人民法院可以采取下列措施：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（一）对应当归还的罚款或者应当给付的款额，通知银行从该行政机关的账户内划拨；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（二）在规定期限内不履行的，从期满之日起，对该行政机关负责人按日处五十元至一百元的罚款；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（三）将行政机关拒绝履行的情况予以公告；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（四）向监察机关或者该行政机关的上一级行政机关提出司法建议。接受司法建议的机关，根据有关规定进行处理，并将处理情况告知人民法院；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（五）拒不履行判决、裁定、调解书，社会影响恶劣的，可以对该行政机关直接负责的主管人员和其他直接责任人员予以拘留；情节严重，构成犯罪的，依法追究刑事责任。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第九十七条</w:t>
      </w:r>
      <w:r>
        <w:rPr>
          <w:rFonts w:hint="eastAsia" w:ascii="方正仿宋简体" w:hAnsi="方正仿宋简体" w:eastAsia="方正仿宋简体" w:cs="方正仿宋简体"/>
          <w:b w:val="0"/>
          <w:bCs w:val="0"/>
          <w:color w:val="auto"/>
          <w:sz w:val="24"/>
          <w:szCs w:val="24"/>
          <w:lang w:val="en-US" w:eastAsia="zh-CN"/>
        </w:rPr>
        <w:t xml:space="preserve"> 公民、法人或者其他组织对行政行为在法定期限内不提起诉讼又不履行的，行政机关可以申请人民法院强制执行，或者依法强制执行。</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第九章　涉外行政诉讼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第九十八条</w:t>
      </w:r>
      <w:r>
        <w:rPr>
          <w:rFonts w:hint="eastAsia" w:ascii="方正仿宋简体" w:hAnsi="方正仿宋简体" w:eastAsia="方正仿宋简体" w:cs="方正仿宋简体"/>
          <w:b w:val="0"/>
          <w:bCs w:val="0"/>
          <w:color w:val="auto"/>
          <w:sz w:val="24"/>
          <w:szCs w:val="24"/>
          <w:lang w:val="en-US" w:eastAsia="zh-CN"/>
        </w:rPr>
        <w:t xml:space="preserve"> 外国人、无国籍人、外国组织在中华人民共和国进行行政诉讼，适用本法。法律另有规定的除外。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第九十九条</w:t>
      </w:r>
      <w:r>
        <w:rPr>
          <w:rFonts w:hint="eastAsia" w:ascii="方正仿宋简体" w:hAnsi="方正仿宋简体" w:eastAsia="方正仿宋简体" w:cs="方正仿宋简体"/>
          <w:b w:val="0"/>
          <w:bCs w:val="0"/>
          <w:color w:val="auto"/>
          <w:sz w:val="24"/>
          <w:szCs w:val="24"/>
          <w:lang w:val="en-US" w:eastAsia="zh-CN"/>
        </w:rPr>
        <w:t xml:space="preserve"> 外国人、无国籍人、外国组织在中华人民共和国进行行政诉讼，同中华人民共和国公民、组织有同等的诉讼权利和义务。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外国法院对中华人民共和国公民、组织的行政诉讼权利加以限制的，人民法院对该国公民、组织的行政诉讼权利，实行对等原则。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第一百条</w:t>
      </w:r>
      <w:r>
        <w:rPr>
          <w:rFonts w:hint="eastAsia" w:ascii="方正仿宋简体" w:hAnsi="方正仿宋简体" w:eastAsia="方正仿宋简体" w:cs="方正仿宋简体"/>
          <w:b w:val="0"/>
          <w:bCs w:val="0"/>
          <w:color w:val="auto"/>
          <w:sz w:val="24"/>
          <w:szCs w:val="24"/>
          <w:lang w:val="en-US" w:eastAsia="zh-CN"/>
        </w:rPr>
        <w:t xml:space="preserve"> 外国人、无国籍人、外国组织在中华人民共和国进行行政诉讼，委托律师代理诉讼的，应当委托中华人民共和国律师机构的律师。</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第十章　附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第一百零一条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第一百零二条</w:t>
      </w:r>
      <w:r>
        <w:rPr>
          <w:rFonts w:hint="eastAsia" w:ascii="方正仿宋简体" w:hAnsi="方正仿宋简体" w:eastAsia="方正仿宋简体" w:cs="方正仿宋简体"/>
          <w:b w:val="0"/>
          <w:bCs w:val="0"/>
          <w:color w:val="auto"/>
          <w:sz w:val="24"/>
          <w:szCs w:val="24"/>
          <w:lang w:val="en-US" w:eastAsia="zh-CN"/>
        </w:rPr>
        <w:t xml:space="preserve"> 人民法院审理行政案件，应当收取诉讼费用。诉讼费用由败诉方承担，双方都有责任的由双方分担。收取诉讼费用的具体办法另行规定。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 xml:space="preserve">第一百零三条 </w:t>
      </w:r>
      <w:r>
        <w:rPr>
          <w:rFonts w:hint="eastAsia" w:ascii="方正仿宋简体" w:hAnsi="方正仿宋简体" w:eastAsia="方正仿宋简体" w:cs="方正仿宋简体"/>
          <w:b w:val="0"/>
          <w:bCs w:val="0"/>
          <w:color w:val="auto"/>
          <w:sz w:val="24"/>
          <w:szCs w:val="24"/>
          <w:lang w:val="en-US" w:eastAsia="zh-CN"/>
        </w:rPr>
        <w:t>本法自1990年10月1日起施行。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中华人民共和国国家赔偿法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1994年5月12日第八届全国人民代表大会常务委员会第七次会议通过  根据2010年4月29日第十一届全国人民代表大会常务委员会第十四次会议《关于修改〈中华人民共和国国家赔偿法〉的决定》第一次修正  根据2012年10月26日第十一届全国人民代表大会常务委员会第二十九次会议《关于修改〈中华人民共和国国家赔偿法〉的决定》第二次修正</w:t>
      </w:r>
      <w:r>
        <w:rPr>
          <w:rFonts w:hint="eastAsia" w:ascii="方正仿宋简体" w:hAnsi="方正仿宋简体" w:eastAsia="方正仿宋简体" w:cs="方正仿宋简体"/>
          <w:b w:val="0"/>
          <w:bCs w:val="0"/>
          <w:color w:val="auto"/>
          <w:sz w:val="24"/>
          <w:szCs w:val="24"/>
          <w:highlight w:val="none"/>
          <w:lang w:val="en-US" w:eastAsia="zh-CN"/>
        </w:rPr>
        <w:t>）</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为保障公民、法人和其他组织享有依法取得国家赔偿的权利，促进国家机关依法行使职权，根据宪法，制定本法。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国家机关和国家机关工作人员违法行使职权侵犯公民、法人和其他组织的合法权益造成损害的，受害人有依照本法取得国家赔偿的权利。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国家赔偿由本法规定的赔偿义务机关履行赔偿义务。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第二章  行政赔偿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赔偿范围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行政机关及其工作人员在行使行政职权时有下列侵犯人身权情形之一的，受害人有取得赔偿的权利：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（一）违法拘留或者违法采取限制公民人身自由的行政强制措施的；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（二）非法拘禁或者以其他方法非法剥夺公民人身自由的；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（三）以殴打等暴力行为或者唆使他人以殴打等暴力行为造成公民身体伤害或者死亡的；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（四）违法使用武器、警械造成公民身体伤害或者死亡的；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（五）造成公民身体伤害或者死亡的其他违法行为。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行政机关及其工作人员在行使行政职权时有下列侵犯财产权情形之一的，受害人有取得赔偿的权利：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（一）违法实施罚款、吊销许可证和执照、责令停产停业、没收财物等行政处罚的；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（二）违法对财产采取查封、扣押、冻结等行政强制措施的；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（三）违反国家规定征收财物、摊派费用的；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（四）造成财产损害的其他违法行为。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属于下列情形之一的，国家不承担赔偿责任：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（一）行政机关工作人员与行使职权无关的个人行为；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（二）因公民、法人和其他组织自己的行为致使损害发生的；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（三）法律规定的其他情形。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赔偿请求人和赔偿义务机关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受害的公民、法人或者其他组织有权要求赔偿。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受害的公民死亡，其继承人和其他有扶养关系的亲属有权要求赔偿。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受害的法人或者其他组织终止，承受其权利的法人或者其他组织有权要求赔偿。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行政机关及其工作人员行使行政职权侵犯公民、法人和其他组织的合法权益造成损害的，该行政机关为赔偿义务机关。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两个以上行政机关共同行使行政职权时侵犯公民、法人和其他组织的合法权益造成损害的，共同行使行政职权的行政机关为共同赔偿义务机关。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法律、法规授权的组织在行使授予的行政权力时侵犯公民、法人和其他组织的合法权益造成损害的，被授权的组织为赔偿义务机关。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受行政机关委托的组织或者个人在行使受委托的行政权力时侵犯公民、法人和其他组织的合法权益造成损害的，委托的行政机关为赔偿义务机关。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赔偿义务机关被撤销的，继续行使其职权的行政机关为赔偿义务机关；没有继续行使其职权的行政机关的，撤销该赔偿义务机关的行政机关为赔偿义务机关。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经复议机关复议的，最初造成侵权行为的行政机关为赔偿义务机关，但复议机关的复议决定加重损害的，复议机关对加重的部分履行赔偿义务。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赔偿程序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赔偿义务机关对依法确认有本法第三条、第四条规定的情形之一的，应当给予赔偿。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赔偿请求人要求赔偿应当先向赔偿义务机关提出，也可以在申请行政复议和提起行政诉讼时一并提出。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赔偿请求人可以向共同赔偿义务机关中的任何一个赔偿义务机关要求赔偿，该赔偿义务机关应当先予赔偿。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赔偿请求人根据受到的不同损害，可以同时提出数项赔偿要求。</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要求赔偿应当递交申请书，申请书应当载明下列事项：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（一）受害人的姓名、性别、年龄、工作单位和住所，法人或者其他组织的名称、住所和法定代表人或者主要负责人的姓名、职务；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（二）具体的要求、事实根据和理由；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（三）申请的年、月、日。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赔偿请求人书写申请书确有困难的，可以委托他人代书；也可以口头申请，由赔偿义务机关记入笔录。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赔偿义务机关应当自收到申请之日起两个月内依照本法第四章的规定给予赔偿；逾期不予赔偿或者赔偿请求人对赔偿数额有异议的，赔偿请求人可以自期间届满之日起三个月内向人民法院提起诉讼。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赔偿义务机关赔偿损失后，应当责令有故意或者重大过失的工作人员或者受委托的组织或者个人承担部分或者全部赔偿费用。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对有故意或者重大过失的责任人员，有关机关应当依法给予行政处分；构成犯罪的，应当依法追究刑事责任。</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第三章　刑事赔偿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第一节　赔偿范围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行使侦查、检察、审判、监狱管理职权的机关及其工作人员在行使职权时有下列侵犯人身权情形之一的，受害人有取得赔偿的权利：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（一）对没有犯罪事实或者没有事实证明有犯罪重大嫌疑的人错误拘留的；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（二）对没有犯罪事实的人错误逮捕的；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（三）依照审判监督程序再审改判无罪，原判刑罚已经执行的；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（四）刑讯逼供或者以殴打等暴力行为或者唆使他人以殴打等暴力行为造成公民身体伤害或者死亡的；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（五）违法使用武器、警械造成公民身体伤害或者死亡的。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行使侦查、检察、审判、监狱管理职权的机关及其工作人员在行使职权时有下列侵犯财产权情形之一的，受害人有取得赔偿的权利：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（一）违法对财产采取查封、扣押、冻结、追缴等措施的；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（二）依照审判监督程序再审改判无罪，原判罚金、没收财产已经执行的。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属于下列情形之一的，国家不承担赔偿责任：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（一）因公民自己故意作虚伪供述，或者伪造其他有罪证据被羁押或者被判处刑罚的；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（二）依照刑法第十四条、第十五条规定不负刑事责任的人被羁押的；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（三）依照刑事诉讼法第十一条规定不追究刑事责任的人被羁押的；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（四）行使国家侦查、检察、审判、监狱管理职权的机关的工作人员与行使职权无关的个人行为；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（五）因公民自伤、自残等故意行为致使损害发生的；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（六）法律规定的其他情形。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第二节　赔偿请求人和赔偿义务机关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赔偿请求人的确定依照本法第六条的规定。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行使国家侦查、检察、审判、监狱管理职权的机关及其工作人员在行使职权时侵犯公民、法人和其他组织的合法权益造成损害的，该机关为赔偿义务机关。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对没有犯罪事实或者没有事实证明有犯罪重大嫌疑的人错误拘留的，作出拘留决定的机关为赔偿义务机关。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对没有犯罪事实的人错误逮捕的，作出逮捕决定的机关为赔偿义务机关。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再审改判无罪的，作出原生效判决的人民法院为赔偿义务机关。二审改判无罪的，作出一审判决的人民法院和作出逮捕决定的机关为共同赔偿义务机关。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楷体_GB2312" w:hAnsi="楷体_GB2312" w:eastAsia="楷体_GB2312" w:cs="楷体_GB2312"/>
          <w:b w:val="0"/>
          <w:bCs w:val="0"/>
          <w:color w:val="auto"/>
          <w:sz w:val="24"/>
          <w:szCs w:val="24"/>
          <w:lang w:val="en-US" w:eastAsia="zh-CN"/>
        </w:rPr>
      </w:pPr>
      <w:r>
        <w:rPr>
          <w:rFonts w:hint="eastAsia" w:ascii="楷体_GB2312" w:hAnsi="楷体_GB2312" w:eastAsia="楷体_GB2312" w:cs="楷体_GB2312"/>
          <w:b w:val="0"/>
          <w:bCs w:val="0"/>
          <w:color w:val="auto"/>
          <w:sz w:val="24"/>
          <w:szCs w:val="24"/>
          <w:lang w:val="en-US" w:eastAsia="zh-CN"/>
        </w:rPr>
        <w:t>第三节　赔偿程序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赔偿义务机关对依法确认有本法第十五条、第十六条规定的情形之一的，应当给予赔偿。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赔偿请求人要求确认有本法第十五条、第十六条规定情形之一的，被要求的机关不予确认的，赔偿请求人有权申诉。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赔偿请求人要求赔偿，应当先向赔偿义务机关提出。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赔偿程序适用本法第十条、第十一条、第十二条的规定。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赔偿义务机关应当自收到申请之日起两个月内依照本法第四章的规定给予赔偿；逾期不予赔偿或者赔偿请求人对赔偿数额有异议的，赔偿请求人可以自期间届满之日起三十日内向其上一级机关申请复议。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赔偿义务机关是人民法院的，赔偿请求人可以依照前款规定向其上一级人民法院赔偿委员会申请作出赔偿决定。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复议机关应当自收到申请之日起两个月内作出决定。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赔偿请求人不服复议决定的，可以在收到复议决定之日起三十日内向复议机关所在地的同级人民法院赔偿委员会申请作出赔偿决定；复议机关逾期</w:t>
      </w:r>
      <w:r>
        <w:rPr>
          <w:rFonts w:hint="eastAsia" w:ascii="方正仿宋简体" w:hAnsi="方正仿宋简体" w:eastAsia="方正仿宋简体" w:cs="方正仿宋简体"/>
          <w:b w:val="0"/>
          <w:bCs w:val="0"/>
          <w:color w:val="auto"/>
          <w:sz w:val="24"/>
          <w:szCs w:val="24"/>
          <w:highlight w:val="none"/>
          <w:lang w:val="en-US" w:eastAsia="zh-CN"/>
        </w:rPr>
        <w:t>不作</w:t>
      </w:r>
      <w:r>
        <w:rPr>
          <w:rFonts w:hint="eastAsia" w:ascii="方正仿宋简体" w:hAnsi="方正仿宋简体" w:eastAsia="方正仿宋简体" w:cs="方正仿宋简体"/>
          <w:b w:val="0"/>
          <w:bCs w:val="0"/>
          <w:color w:val="auto"/>
          <w:sz w:val="24"/>
          <w:szCs w:val="24"/>
          <w:lang w:val="en-US" w:eastAsia="zh-CN"/>
        </w:rPr>
        <w:t>决定的，赔偿请求人可以自期间届满之日起三十日内向复议机关所在地的同级人民法院赔偿委员会申请作出赔偿决定。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中级以上的人民法院设立赔偿委员会，由人民法院三名至七名审判员组成。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赔偿委员会作赔偿决定，实行少数服从多数的原则。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赔偿委员会作出的赔偿决定，是发生法律效力的决定，必须执行。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第二十四条</w:t>
      </w:r>
      <w:r>
        <w:rPr>
          <w:rFonts w:hint="eastAsia" w:ascii="方正仿宋简体" w:hAnsi="方正仿宋简体" w:eastAsia="方正仿宋简体" w:cs="方正仿宋简体"/>
          <w:b w:val="0"/>
          <w:bCs w:val="0"/>
          <w:color w:val="auto"/>
          <w:sz w:val="24"/>
          <w:szCs w:val="24"/>
          <w:lang w:val="en-US" w:eastAsia="zh-CN"/>
        </w:rPr>
        <w:t>　赔偿义务机关赔偿损失后，应当向有下列情形之一的工作人员追偿部分或者全部赔偿费用：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（一）有本法第十五条第（四）、（五）项规定情形的；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（二）在处理案件中有贪污受贿，徇私舞弊，枉法裁判行为的。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对有前款</w:t>
      </w:r>
      <w:r>
        <w:rPr>
          <w:rFonts w:hint="eastAsia" w:ascii="方正仿宋简体" w:hAnsi="方正仿宋简体" w:eastAsia="方正仿宋简体" w:cs="方正仿宋简体"/>
          <w:b w:val="0"/>
          <w:bCs w:val="0"/>
          <w:color w:val="auto"/>
          <w:sz w:val="24"/>
          <w:szCs w:val="24"/>
          <w:highlight w:val="none"/>
          <w:lang w:val="en-US" w:eastAsia="zh-CN"/>
        </w:rPr>
        <w:t>（一）、</w:t>
      </w:r>
      <w:r>
        <w:rPr>
          <w:rFonts w:hint="eastAsia" w:ascii="方正仿宋简体" w:hAnsi="方正仿宋简体" w:eastAsia="方正仿宋简体" w:cs="方正仿宋简体"/>
          <w:b w:val="0"/>
          <w:bCs w:val="0"/>
          <w:color w:val="auto"/>
          <w:sz w:val="24"/>
          <w:szCs w:val="24"/>
          <w:lang w:val="en-US" w:eastAsia="zh-CN"/>
        </w:rPr>
        <w:t>（二）项规定情形的责任人员，有关机关应当依法给予行政处分；构成犯罪的，应当依法追究刑事责任。</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第四章　赔偿方式和计算标准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第二十五条</w:t>
      </w:r>
      <w:r>
        <w:rPr>
          <w:rFonts w:hint="eastAsia" w:ascii="方正仿宋简体" w:hAnsi="方正仿宋简体" w:eastAsia="方正仿宋简体" w:cs="方正仿宋简体"/>
          <w:b w:val="0"/>
          <w:bCs w:val="0"/>
          <w:color w:val="auto"/>
          <w:sz w:val="24"/>
          <w:szCs w:val="24"/>
          <w:lang w:val="en-US" w:eastAsia="zh-CN"/>
        </w:rPr>
        <w:t>　国家赔偿以支付赔偿金为主要方式。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能够返还财产或者恢复原状的，予以返还财产或者恢复原状。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侵犯公民人身自由的，每日的赔偿金按照国家上年度职工日平均工资计算。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侵犯公民生命健康权的，赔偿金按照下列规定计算：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（一）造成身体伤害的，应当支付医疗费，以及赔偿因误工减少的收入。减少的收入每日的赔偿金按照国家上年度职工日平均工资计算，最高额为国家上年度职工年平均工资的五倍；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造成部分或者全部丧失劳动能力的，应当支付医疗费，以及残疾赔偿金，残疾赔偿金根据丧失劳动能力的程度确定，部分丧失劳动能力的最高额为国家上年度职工年平均工资的十倍，全部丧失劳动能力的为国家上年度职工年平均工资的二十倍。造成全部丧失劳动能力的，对其扶养的无劳动能力的人，还应当支付生活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（三）造成死亡的，应当支付死亡赔偿金、丧葬费，总额为国家上年度职工年平均工资的二十倍。对死者生前扶养的无劳动能力的人，还应当支付生活费。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前款第</w:t>
      </w:r>
      <w:r>
        <w:rPr>
          <w:rFonts w:hint="eastAsia" w:ascii="方正仿宋简体" w:hAnsi="方正仿宋简体" w:eastAsia="方正仿宋简体" w:cs="方正仿宋简体"/>
          <w:b w:val="0"/>
          <w:bCs w:val="0"/>
          <w:color w:val="auto"/>
          <w:sz w:val="24"/>
          <w:szCs w:val="24"/>
          <w:highlight w:val="none"/>
          <w:lang w:val="en-US" w:eastAsia="zh-CN"/>
        </w:rPr>
        <w:t>（二）、</w:t>
      </w:r>
      <w:r>
        <w:rPr>
          <w:rFonts w:hint="eastAsia" w:ascii="方正仿宋简体" w:hAnsi="方正仿宋简体" w:eastAsia="方正仿宋简体" w:cs="方正仿宋简体"/>
          <w:b w:val="0"/>
          <w:bCs w:val="0"/>
          <w:color w:val="auto"/>
          <w:sz w:val="24"/>
          <w:szCs w:val="24"/>
          <w:lang w:val="en-US" w:eastAsia="zh-CN"/>
        </w:rPr>
        <w:t>（三）项规定的生活费的发放标准参照当地民政部门有关生活救济的规定办理。被扶养的人是未成年人的，生活费给付至十八周岁止；其他无劳动能力的人，生活费给付至死亡时止。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第二十八条</w:t>
      </w:r>
      <w:r>
        <w:rPr>
          <w:rFonts w:hint="eastAsia" w:ascii="方正仿宋简体" w:hAnsi="方正仿宋简体" w:eastAsia="方正仿宋简体" w:cs="方正仿宋简体"/>
          <w:b w:val="0"/>
          <w:bCs w:val="0"/>
          <w:color w:val="auto"/>
          <w:sz w:val="24"/>
          <w:szCs w:val="24"/>
          <w:lang w:val="en-US" w:eastAsia="zh-CN"/>
        </w:rPr>
        <w:t>　侵犯公民、法人和其他组织的财产权造成损害的，按照下列规定处理：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（一）处罚款、罚金、追缴、没收财产或者违反国家规定征收财物、摊派费用的，返还财产；</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（二）查封、扣押、冻结财产的，解除对财产的查封、扣押、冻结，造成财产损坏或者灭失的，依照本条第</w:t>
      </w:r>
      <w:r>
        <w:rPr>
          <w:rFonts w:hint="eastAsia" w:ascii="方正仿宋简体" w:hAnsi="方正仿宋简体" w:eastAsia="方正仿宋简体" w:cs="方正仿宋简体"/>
          <w:b w:val="0"/>
          <w:bCs w:val="0"/>
          <w:color w:val="auto"/>
          <w:sz w:val="24"/>
          <w:szCs w:val="24"/>
          <w:highlight w:val="none"/>
          <w:lang w:val="en-US" w:eastAsia="zh-CN"/>
        </w:rPr>
        <w:t>（三）、</w:t>
      </w:r>
      <w:r>
        <w:rPr>
          <w:rFonts w:hint="eastAsia" w:ascii="方正仿宋简体" w:hAnsi="方正仿宋简体" w:eastAsia="方正仿宋简体" w:cs="方正仿宋简体"/>
          <w:b w:val="0"/>
          <w:bCs w:val="0"/>
          <w:color w:val="auto"/>
          <w:sz w:val="24"/>
          <w:szCs w:val="24"/>
          <w:lang w:val="en-US" w:eastAsia="zh-CN"/>
        </w:rPr>
        <w:t>（四）项的规定赔偿；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（三）应当返还的财产损坏的，能够恢复原状的恢复原状，不能恢复原状的，按照损害程度给付相应的赔偿金；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（四）应当返还的财产灭失的，给付相应的赔偿金；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（五）财产已经拍卖的，给付拍卖所得的价款；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（六）吊销许可证和执照、责令停产停业的，赔偿停产停业期间必要的经常性费用开支；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（七）对财产权造成其他损害的，按照直接损失给予赔偿。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赔偿费用，列入各级财政预算，具体办法由国务院规定。</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第五章　其他规定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第三十条</w:t>
      </w:r>
      <w:r>
        <w:rPr>
          <w:rFonts w:hint="eastAsia" w:ascii="方正仿宋简体" w:hAnsi="方正仿宋简体" w:eastAsia="方正仿宋简体" w:cs="方正仿宋简体"/>
          <w:b w:val="0"/>
          <w:bCs w:val="0"/>
          <w:color w:val="auto"/>
          <w:sz w:val="24"/>
          <w:szCs w:val="24"/>
          <w:lang w:val="en-US" w:eastAsia="zh-CN"/>
        </w:rPr>
        <w:t>　赔偿义务机关对依法确认有本法第三条第（一）、（二）项、第十五条第（一）、（二）、（三）项情形之一，并造成受害人名誉权、荣誉权损害的，应当在侵权行为影响的范围内，为受害人消除影响，恢复名誉，赔礼道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人民法院在民事诉讼、行政诉讼过程中，违法采取对妨害诉讼的强制措施、保全措施或者对判决、裁定及其他生效法律文书执行错误，造成损害的，赔偿请求人要求赔偿的程序，适用本法刑事赔偿程序的规定。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赔偿请求人请求国家赔偿的时效为两年，自国家机关及其工作人员行使职权时的行为被依法确认为违法之日起计算，但被羁押期间不计算在内。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赔偿请求人在赔偿请求时效的最后六个月内，因不可抗力或者其他障碍不能行使请求权的，时效中止。从中止时效的原因消除之日起，赔偿请求时效期间继续计算。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第三十三条</w:t>
      </w:r>
      <w:r>
        <w:rPr>
          <w:rFonts w:hint="eastAsia" w:ascii="方正仿宋简体" w:hAnsi="方正仿宋简体" w:eastAsia="方正仿宋简体" w:cs="方正仿宋简体"/>
          <w:b w:val="0"/>
          <w:bCs w:val="0"/>
          <w:color w:val="auto"/>
          <w:sz w:val="24"/>
          <w:szCs w:val="24"/>
          <w:lang w:val="en-US" w:eastAsia="zh-CN"/>
        </w:rPr>
        <w:t>　外国人、外国企业和组织在中华人民共和国领域内要求中华人民共和国国家赔偿的，适用本法。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外国人、外国企业和组织的所属国对中华人民共和国公民、法人和其他组织要求该国国家赔偿的权利不予保护或者限制的，中华人民共和国与该外国人、外国企业和组织的所属国实行对等原则。</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第六章　附  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第三十四条</w:t>
      </w:r>
      <w:r>
        <w:rPr>
          <w:rFonts w:hint="eastAsia" w:ascii="方正仿宋简体" w:hAnsi="方正仿宋简体" w:eastAsia="方正仿宋简体" w:cs="方正仿宋简体"/>
          <w:b w:val="0"/>
          <w:bCs w:val="0"/>
          <w:color w:val="auto"/>
          <w:sz w:val="24"/>
          <w:szCs w:val="24"/>
          <w:lang w:val="en-US" w:eastAsia="zh-CN"/>
        </w:rPr>
        <w:t>　赔偿请求人要求国家赔偿的，赔偿义务机关、复议机关和人民法院不得向赔偿请求人收取任何费用。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对赔偿请求人取得的赔偿金不予征税。</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第三十五条</w:t>
      </w:r>
      <w:r>
        <w:rPr>
          <w:rFonts w:hint="eastAsia" w:ascii="方正仿宋简体" w:hAnsi="方正仿宋简体" w:eastAsia="方正仿宋简体" w:cs="方正仿宋简体"/>
          <w:b w:val="0"/>
          <w:bCs w:val="0"/>
          <w:color w:val="auto"/>
          <w:sz w:val="24"/>
          <w:szCs w:val="24"/>
          <w:lang w:val="en-US" w:eastAsia="zh-CN"/>
        </w:rPr>
        <w:t>　本法自1995年1月1日起施行。</w:t>
      </w:r>
    </w:p>
    <w:p>
      <w:pPr>
        <w:pStyle w:val="2"/>
        <w:bidi w:val="0"/>
        <w:rPr>
          <w:rFonts w:hint="eastAsia"/>
          <w:lang w:val="en-US" w:eastAsia="zh-CN"/>
        </w:rPr>
      </w:pPr>
    </w:p>
    <w:p>
      <w:pPr>
        <w:pStyle w:val="2"/>
        <w:bidi w:val="0"/>
        <w:rPr>
          <w:rFonts w:hint="eastAsia"/>
          <w:lang w:val="en-US" w:eastAsia="zh-CN"/>
        </w:rPr>
      </w:pPr>
      <w:r>
        <w:rPr>
          <w:rFonts w:hint="eastAsia"/>
          <w:lang w:val="en-US" w:eastAsia="zh-CN"/>
        </w:rPr>
        <w:t>中华人民共和国政府信息公开条例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2007年4月5日中华人民共和国国务院令第492号公布 2019年4月3日中华人民共和国国务院令第711号修订 自2019年5月15日起施行</w:t>
      </w:r>
      <w:r>
        <w:rPr>
          <w:rFonts w:hint="eastAsia" w:ascii="方正仿宋简体" w:hAnsi="方正仿宋简体" w:eastAsia="方正仿宋简体" w:cs="方正仿宋简体"/>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为了保障公民、法人和其他组织依法获取政府信息，提高政府工作的透明度，建设法治政府，充分发挥政府信息对人民群众生产、生活和经济社会活动的服务作用，制定本条例。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本条例所称政府信息，是指行政机关在履行行政管理职能过程中制作或者获取的，以一定形式记录、保存的信息。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各级人民政府应当加强对政府信息公开工作的组织领导。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国务院办公厅是全国政府信息公开工作的主管部门，负责推进、指导、协调、监督全国的政府信息公开工作。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县级以上地方人民政府办公厅</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室</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是本行政区域的政府信息公开工作主管部门，负责推进、指导、协调、监督本行政区域的政府信息公开工作。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实行垂直领导的部门的办公厅</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室</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主管本系统的政府信息公开工作。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各级人民政府及县级以上人民政府部门应当建立健全本行政机关的政府信息公开工作制度，并指定机构</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以下统称政府信息公开工作机构</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负责本行政机关政府信息公开的日常工作。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政府信息公开工作机构的具体职能是：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办理本行政机关的政府信息公开事宜；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维护和更新本行政机关公开的政府信息；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组织编制本行政机关的政府信息公开指南、政府信息公开目录和政府信息公开工作年度报告；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组织开展对拟公开政府信息的审查；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本行政机关规定的与政府信息公开有关的其他职能。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行政机关公开政府信息，应当坚持以公开为常态、不公开为例外，遵循公正、公平、合法、便民的原则。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行政机关应当及时、准确地公开政府信息。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行政机关发现影响或者可能影响社会稳定、扰乱社会和经济管理秩序的虚假或者不完整信息的，应当发布准确的政府信息予以澄清。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各级人民政府应当积极推进政府信息公开工作，逐步增加政府信息公开的内容。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各级人民政府应当加强政府信息资源的规范化、标准化、信息化管理，加强互联网政府信息公开平台建设，推进政府信息公开平台与政务服务平台融合，提高政府信息公开在线办理水平。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公民、法人和其他组织有权对行政机关的政府信息公开工作进行监督，并提出批评和建议。</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第二章　公开的主体和范围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行政机关设立的派出机构、内设机构依照法律、法规对外以自己名义履行行政管理职能的，可以由该派出机构、内设机构负责与所履行行政管理职能有关的政府信息公开工作。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两个以上行政机关共同制作的政府信息，由牵头制作的行政机关负责公开。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行政机关应当建立健全政府信息公开协调机制。行政机关公开政府信息涉及其他机关的，应当与有关机关协商、确认，保证行政机关公开的政府信息准确一致。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行政机关公开政府信息依照法律、行政法规和国家有关规定需要批准的，经批准予以公开。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行政机关编制、公布的政府信息公开指南和政府信息公开目录应当及时更新。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政府信息公开指南包括政府信息的分类、编排体系、获取方式和政府信息公开工作机构的名称、办公地址、办公时间、联系电话、传真号码、互联网联系方式等内容。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政府信息公开目录包括政府信息的索引、名称、内容概述、生成日期等内容。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除本条例第十四条、第十五条、第十六条规定的政府信息外，政府信息应当公开。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行政机关公开政府信息，采取主动公开和依申请公开的方式。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依法确定为国家秘密的政府信息，法律、行政法规禁止公开的政府信息，以及公开后可能危及国家安全、公共安全、经济安全、社会稳定的政府信息，不予公开。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涉及商业秘密、个人隐私等公开会对第三方合法权益造成损害的政府信息，行政机关不得公开。但是，第三方同意公开或者行政机关认为不公开会对公共利益造成重大影响的，予以公开。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行政机关的内部事务信息，包括人事管理、后勤管理、内部工作流程等方面的信息，可以不予公开。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行政机关在履行行政管理职能过程中形成的讨论记录、过程稿、磋商信函、请示报告等过程性信息以及行政执法案卷信息，可以不予公开。法律、法规、规章规定上述信息应当公开的，从其规定。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行政机关应当建立健全政府信息公开审查机制，明确审查的程序和责任。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行政机关应当依照《中华人民共和国保守国家秘密法》以及其他法律、法规和国家有关规定对拟公开的政府信息进行审查。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行政机关不能确定政府信息是否可以公开的，应当依照法律、法规和国家有关规定报有关主管部门或者保密行政管理部门确定。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行政机关应当建立健全政府信息管理动态调整机制，对本行政机关不予公开的政府信息进行定期评估审查，对因情势变化可以公开的政府信息应当公开。</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第三章　主动公开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对涉及公众利益调整、需要公众广泛知晓或者需要公众参与决策的政府信息，行政机关应当主动公开。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行政机关应当依照本条例第十九条的规定，主动公开本行政机关的下列政府信息：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（一）行政法规、规章和规范性文件；</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机关职能、机构设置、办公地址、办公时间、联系方式、负责人姓名；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国民经济和社会发展规划、专项规划、区域规划及相关政策；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国民经济和社会发展统计信息；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办理行政许可和其他对外管理服务事项的依据、条件、程序以及办理结果；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六</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实施行政处罚、行政强制的依据、条件、程序以及本行政机关认为具有一定社会影响的行政处罚决定；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七</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财政预算、决算信息；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八</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行政事业性收费项目及其依据、标准；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九</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政府集中采购项目的目录、标准及实施情况；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重大建设项目的批准和实施情况；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扶贫、教育、医疗、社会保障、促进就业等方面的政策、措施及其实施情况；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突发公共事件的应急预案、预警信息及应对情况；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环境保护、公共卫生、安全生产、食品药品、产品质量的监督检查情况；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公务员招考的职位、名额、报考条件等事项以及录用结果；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十五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法律、法规、规章和国家有关规定规定应当主动公开的其他政府信息。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除本条例第二十条规定的政府信息外，设区的市级、县级人民政府及其部门还应当根据本地方的具体情况，主动公开涉及市政建设、公共服务、公益事业、土地征收、房屋征收、治安管理、社会救助等方面的政府信息；乡</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镇</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人民政府还应当根据本地方的具体情况，主动公开贯彻落实农业农村政策、农田水利工程建设运营、农村土地承包经营权流转、宅基地使用情况审核、土地征收、房屋征收、筹资筹劳、社会救助等方面的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行政机关应当依照本条例第二十条、第二十一条的规定，确定主动公开政府信息的具体内容，并按照上级行政机关的部署，不断增加主动公开的内容。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行政机关应当建立健全政府信息发布机制，将主动公开的政府信息通过政府公报、政府网站或者其他互联网政务媒体、新闻发布会以及报刊、广播、电视等途径予以公开。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第二十四条</w:t>
      </w:r>
      <w:r>
        <w:rPr>
          <w:rFonts w:hint="eastAsia" w:ascii="方正仿宋简体" w:hAnsi="方正仿宋简体" w:eastAsia="方正仿宋简体" w:cs="方正仿宋简体"/>
          <w:b w:val="0"/>
          <w:bCs w:val="0"/>
          <w:color w:val="auto"/>
          <w:sz w:val="24"/>
          <w:szCs w:val="24"/>
          <w:lang w:val="en-US" w:eastAsia="zh-CN"/>
        </w:rPr>
        <w:t>　各级人民政府应当加强依托政府门户网站公开政府信息的工作，利用统一的政府信息公开平台集中发布主动公开的政府信息。政府信息公开平台应当具备信息检索、查阅、下载等功能。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第二十五条</w:t>
      </w:r>
      <w:r>
        <w:rPr>
          <w:rFonts w:hint="eastAsia" w:ascii="方正仿宋简体" w:hAnsi="方正仿宋简体" w:eastAsia="方正仿宋简体" w:cs="方正仿宋简体"/>
          <w:b w:val="0"/>
          <w:bCs w:val="0"/>
          <w:color w:val="auto"/>
          <w:sz w:val="24"/>
          <w:szCs w:val="24"/>
          <w:lang w:val="en-US" w:eastAsia="zh-CN"/>
        </w:rPr>
        <w:t>　各级人民政府应当在国家档案馆、公共图书馆、政务服务场所设置政府信息查阅场所，并配备相应</w:t>
      </w:r>
      <w:r>
        <w:rPr>
          <w:rFonts w:hint="eastAsia" w:ascii="方正仿宋简体" w:hAnsi="方正仿宋简体" w:eastAsia="方正仿宋简体" w:cs="方正仿宋简体"/>
          <w:b w:val="0"/>
          <w:bCs w:val="0"/>
          <w:color w:val="auto"/>
          <w:sz w:val="24"/>
          <w:szCs w:val="24"/>
          <w:highlight w:val="none"/>
          <w:lang w:val="en-US" w:eastAsia="zh-CN"/>
        </w:rPr>
        <w:t>地设施</w:t>
      </w:r>
      <w:r>
        <w:rPr>
          <w:rFonts w:hint="eastAsia" w:ascii="方正仿宋简体" w:hAnsi="方正仿宋简体" w:eastAsia="方正仿宋简体" w:cs="方正仿宋简体"/>
          <w:b w:val="0"/>
          <w:bCs w:val="0"/>
          <w:color w:val="auto"/>
          <w:sz w:val="24"/>
          <w:szCs w:val="24"/>
          <w:lang w:val="en-US" w:eastAsia="zh-CN"/>
        </w:rPr>
        <w:t>、设备，为公民、法人和其他组织获取政府信息提供便利。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行政机关可以根据需要设立公共查阅室、资料索取点、信息公告栏、电子信息屏等场所、设施，公开政府信息。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行政机关应当及时向国家档案馆、公共图书馆提供主动公开的政府信息。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第二十六条</w:t>
      </w:r>
      <w:r>
        <w:rPr>
          <w:rFonts w:hint="eastAsia" w:ascii="方正仿宋简体" w:hAnsi="方正仿宋简体" w:eastAsia="方正仿宋简体" w:cs="方正仿宋简体"/>
          <w:b w:val="0"/>
          <w:bCs w:val="0"/>
          <w:color w:val="auto"/>
          <w:sz w:val="24"/>
          <w:szCs w:val="24"/>
          <w:lang w:val="en-US" w:eastAsia="zh-CN"/>
        </w:rPr>
        <w:t>　属于主动公开范围的政府信息，应当自该政府信息形成或者变更之日起20个工作日内及时公开。法律、法规对政府信息公开的期限另有规定的，从其规定。</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第四章　依申请公开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第二十七条</w:t>
      </w:r>
      <w:r>
        <w:rPr>
          <w:rFonts w:hint="eastAsia" w:ascii="方正仿宋简体" w:hAnsi="方正仿宋简体" w:eastAsia="方正仿宋简体" w:cs="方正仿宋简体"/>
          <w:b w:val="0"/>
          <w:bCs w:val="0"/>
          <w:color w:val="auto"/>
          <w:sz w:val="24"/>
          <w:szCs w:val="24"/>
          <w:lang w:val="en-US" w:eastAsia="zh-CN"/>
        </w:rPr>
        <w:t>　除行政机关主动公开的政府信息外，公民、法人或者其他组织可以向地方各级人民政府、对外以自己名义履行行政管理职能的县级以上人民政府部门（含本条例第十条第二款规定的派出机构、内设机构）申请获取相关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第二十八条</w:t>
      </w:r>
      <w:r>
        <w:rPr>
          <w:rFonts w:hint="eastAsia" w:ascii="方正仿宋简体" w:hAnsi="方正仿宋简体" w:eastAsia="方正仿宋简体" w:cs="方正仿宋简体"/>
          <w:b w:val="0"/>
          <w:bCs w:val="0"/>
          <w:color w:val="auto"/>
          <w:sz w:val="24"/>
          <w:szCs w:val="24"/>
          <w:lang w:val="en-US" w:eastAsia="zh-CN"/>
        </w:rPr>
        <w:t>　本条例第二十七条规定的行政机关应当建立完善政府信息公开申请渠道，为申请人依法申请获取政府信息提供便利。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第二十九条</w:t>
      </w:r>
      <w:r>
        <w:rPr>
          <w:rFonts w:hint="eastAsia" w:ascii="方正仿宋简体" w:hAnsi="方正仿宋简体" w:eastAsia="方正仿宋简体" w:cs="方正仿宋简体"/>
          <w:b w:val="0"/>
          <w:bCs w:val="0"/>
          <w:color w:val="auto"/>
          <w:sz w:val="24"/>
          <w:szCs w:val="24"/>
          <w:lang w:val="en-US" w:eastAsia="zh-CN"/>
        </w:rPr>
        <w:t>　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政府信息公开申请应当包括下列内容：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申请人的姓名或者名称、身份证明、联系方式；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申请公开的政府信息的名称、文号或者便于行政机关查询的其他特征性描述；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申请公开的政府信息的形式要求，包括获取信息的方式、途径。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第三十条</w:t>
      </w:r>
      <w:r>
        <w:rPr>
          <w:rFonts w:hint="eastAsia" w:ascii="方正仿宋简体" w:hAnsi="方正仿宋简体" w:eastAsia="方正仿宋简体" w:cs="方正仿宋简体"/>
          <w:b w:val="0"/>
          <w:bCs w:val="0"/>
          <w:color w:val="auto"/>
          <w:sz w:val="24"/>
          <w:szCs w:val="24"/>
          <w:lang w:val="en-US" w:eastAsia="zh-CN"/>
        </w:rPr>
        <w:t>　政府信息公开申请内容不明确的，行政机关应当给予指导和释明，并自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第三十一条</w:t>
      </w:r>
      <w:r>
        <w:rPr>
          <w:rFonts w:hint="eastAsia" w:ascii="方正仿宋简体" w:hAnsi="方正仿宋简体" w:eastAsia="方正仿宋简体" w:cs="方正仿宋简体"/>
          <w:b w:val="0"/>
          <w:bCs w:val="0"/>
          <w:color w:val="auto"/>
          <w:sz w:val="24"/>
          <w:szCs w:val="24"/>
          <w:lang w:val="en-US" w:eastAsia="zh-CN"/>
        </w:rPr>
        <w:t>　行政机关收到政府信息公开申请的时间，按照下列规定确定：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申请人当面提交政府信息公开申请的，以提交之日为收到申请之日；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申请人以邮寄方式提交政府信息公开申请的，以行政机关签收之日为收到申请之日；以平常信函等</w:t>
      </w:r>
      <w:r>
        <w:rPr>
          <w:rFonts w:hint="eastAsia" w:ascii="方正仿宋简体" w:hAnsi="方正仿宋简体" w:eastAsia="方正仿宋简体" w:cs="方正仿宋简体"/>
          <w:b w:val="0"/>
          <w:bCs w:val="0"/>
          <w:color w:val="auto"/>
          <w:sz w:val="24"/>
          <w:szCs w:val="24"/>
          <w:highlight w:val="none"/>
          <w:lang w:val="en-US" w:eastAsia="zh-CN"/>
        </w:rPr>
        <w:t>无需</w:t>
      </w:r>
      <w:r>
        <w:rPr>
          <w:rFonts w:hint="eastAsia" w:ascii="方正仿宋简体" w:hAnsi="方正仿宋简体" w:eastAsia="方正仿宋简体" w:cs="方正仿宋简体"/>
          <w:b w:val="0"/>
          <w:bCs w:val="0"/>
          <w:color w:val="auto"/>
          <w:sz w:val="24"/>
          <w:szCs w:val="24"/>
          <w:lang w:val="en-US" w:eastAsia="zh-CN"/>
        </w:rPr>
        <w:t>签收的邮寄方式提交政府信息公开申请的，政府信息公开工作机构应当于收到申请的当日与申请人确认，确认之日为收到申请之日；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申请人通过互联网渠道或者政府信息公开工作机构的传真提交政府信息公开申请的，以双方确认之日为收到申请之日。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第三十二条</w:t>
      </w:r>
      <w:r>
        <w:rPr>
          <w:rFonts w:hint="eastAsia" w:ascii="方正仿宋简体" w:hAnsi="方正仿宋简体" w:eastAsia="方正仿宋简体" w:cs="方正仿宋简体"/>
          <w:b w:val="0"/>
          <w:bCs w:val="0"/>
          <w:color w:val="auto"/>
          <w:sz w:val="24"/>
          <w:szCs w:val="24"/>
          <w:lang w:val="en-US" w:eastAsia="zh-CN"/>
        </w:rPr>
        <w:t>　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第三十三条</w:t>
      </w:r>
      <w:r>
        <w:rPr>
          <w:rFonts w:hint="eastAsia" w:ascii="方正仿宋简体" w:hAnsi="方正仿宋简体" w:eastAsia="方正仿宋简体" w:cs="方正仿宋简体"/>
          <w:b w:val="0"/>
          <w:bCs w:val="0"/>
          <w:color w:val="auto"/>
          <w:sz w:val="24"/>
          <w:szCs w:val="24"/>
          <w:lang w:val="en-US" w:eastAsia="zh-CN"/>
        </w:rPr>
        <w:t>　行政机关收到政府信息公开申请，能够当场答复的，应当当场予以答复。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行政机关不能当场答复的，应当自收到申请之日起20个工作日内予以答复；需要延长答复期限的，应当经政府信息公开工作机构负责人同意并告知申请人，延长的期限最长不得超过20个工作日。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行政机关征求第三方和其他机关意见所需时间不计算在前款规定的期限内。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第三十四条</w:t>
      </w:r>
      <w:r>
        <w:rPr>
          <w:rFonts w:hint="eastAsia" w:ascii="方正仿宋简体" w:hAnsi="方正仿宋简体" w:eastAsia="方正仿宋简体" w:cs="方正仿宋简体"/>
          <w:b w:val="0"/>
          <w:bCs w:val="0"/>
          <w:color w:val="auto"/>
          <w:sz w:val="24"/>
          <w:szCs w:val="24"/>
          <w:lang w:val="en-US" w:eastAsia="zh-CN"/>
        </w:rPr>
        <w:t>　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第三十五条</w:t>
      </w:r>
      <w:r>
        <w:rPr>
          <w:rFonts w:hint="eastAsia" w:ascii="方正仿宋简体" w:hAnsi="方正仿宋简体" w:eastAsia="方正仿宋简体" w:cs="方正仿宋简体"/>
          <w:b w:val="0"/>
          <w:bCs w:val="0"/>
          <w:color w:val="auto"/>
          <w:sz w:val="24"/>
          <w:szCs w:val="24"/>
          <w:lang w:val="en-US" w:eastAsia="zh-CN"/>
        </w:rPr>
        <w:t>　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第三十六条</w:t>
      </w:r>
      <w:r>
        <w:rPr>
          <w:rFonts w:hint="eastAsia" w:ascii="方正仿宋简体" w:hAnsi="方正仿宋简体" w:eastAsia="方正仿宋简体" w:cs="方正仿宋简体"/>
          <w:b w:val="0"/>
          <w:bCs w:val="0"/>
          <w:color w:val="auto"/>
          <w:sz w:val="24"/>
          <w:szCs w:val="24"/>
          <w:lang w:val="en-US" w:eastAsia="zh-CN"/>
        </w:rPr>
        <w:t>　对政府信息公开申请，行政机关根据下列情况分别</w:t>
      </w:r>
      <w:r>
        <w:rPr>
          <w:rFonts w:hint="eastAsia" w:ascii="方正仿宋简体" w:hAnsi="方正仿宋简体" w:eastAsia="方正仿宋简体" w:cs="方正仿宋简体"/>
          <w:b w:val="0"/>
          <w:bCs w:val="0"/>
          <w:color w:val="auto"/>
          <w:sz w:val="24"/>
          <w:szCs w:val="24"/>
          <w:highlight w:val="none"/>
          <w:lang w:val="en-US" w:eastAsia="zh-CN"/>
        </w:rPr>
        <w:t>作出答复</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所申请公开信息已经主动公开的，告知申请人获取该政府信息的方式、途径；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所申请公开信息可以公开的，向申请人提供该政府信息，或者告知申请人获取该政府信息的方式、途径和时间；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行政机关依据本条例的规定决定不予公开的，告知申请人不予公开并说明理由；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经检索没有所申请公开信息的，告知申请人该政府信息不存在；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所申请公开信息不属于本行政机关负责公开的，告知申请人并说明理由；能够确定负责公开该政府信息的行政机关的，告知申请人该行政机关的名称、联系方式；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六</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行政机关已就申请人提出的政府信息公开申请</w:t>
      </w:r>
      <w:r>
        <w:rPr>
          <w:rFonts w:hint="eastAsia" w:ascii="方正仿宋简体" w:hAnsi="方正仿宋简体" w:eastAsia="方正仿宋简体" w:cs="方正仿宋简体"/>
          <w:b w:val="0"/>
          <w:bCs w:val="0"/>
          <w:color w:val="auto"/>
          <w:sz w:val="24"/>
          <w:szCs w:val="24"/>
          <w:highlight w:val="none"/>
          <w:lang w:val="en-US" w:eastAsia="zh-CN"/>
        </w:rPr>
        <w:t>作出答复</w:t>
      </w:r>
      <w:r>
        <w:rPr>
          <w:rFonts w:hint="eastAsia" w:ascii="方正仿宋简体" w:hAnsi="方正仿宋简体" w:eastAsia="方正仿宋简体" w:cs="方正仿宋简体"/>
          <w:b w:val="0"/>
          <w:bCs w:val="0"/>
          <w:color w:val="auto"/>
          <w:sz w:val="24"/>
          <w:szCs w:val="24"/>
          <w:lang w:val="en-US" w:eastAsia="zh-CN"/>
        </w:rPr>
        <w:t>、申请人重复申请公开相同政府信息的，告知申请人不予重复处理；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七</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所申请公开信息属于工商、不动产登记资料等信息，有关法律、行政法规对信息的获取有特别规定的，告知申请人依照有关法律、行政法规的规定办理。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第三十七条</w:t>
      </w:r>
      <w:r>
        <w:rPr>
          <w:rFonts w:hint="eastAsia" w:ascii="方正仿宋简体" w:hAnsi="方正仿宋简体" w:eastAsia="方正仿宋简体" w:cs="方正仿宋简体"/>
          <w:b w:val="0"/>
          <w:bCs w:val="0"/>
          <w:color w:val="auto"/>
          <w:sz w:val="24"/>
          <w:szCs w:val="24"/>
          <w:lang w:val="en-US" w:eastAsia="zh-CN"/>
        </w:rPr>
        <w:t>　申请公开的信息中含有不应当公开或者不属于政府信息的内容，但是能够作区分处理的，行政机关应当向申请人提供可以公开的政府信息内容，并对不予公开的内容说明理由。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第三十八条</w:t>
      </w:r>
      <w:r>
        <w:rPr>
          <w:rFonts w:hint="eastAsia" w:ascii="方正仿宋简体" w:hAnsi="方正仿宋简体" w:eastAsia="方正仿宋简体" w:cs="方正仿宋简体"/>
          <w:b w:val="0"/>
          <w:bCs w:val="0"/>
          <w:color w:val="auto"/>
          <w:sz w:val="24"/>
          <w:szCs w:val="24"/>
          <w:lang w:val="en-US" w:eastAsia="zh-CN"/>
        </w:rPr>
        <w:t>　行政机关向申请人提供的信息，应当是已制作或者获取的政府信息。除依照本条例第三十七条的规定能够作区分处理的外，需要行政机关对现有政府信息进行加工、分析的，行政机关可以不予提供。</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第三十九条</w:t>
      </w:r>
      <w:r>
        <w:rPr>
          <w:rFonts w:hint="eastAsia" w:ascii="方正仿宋简体" w:hAnsi="方正仿宋简体" w:eastAsia="方正仿宋简体" w:cs="方正仿宋简体"/>
          <w:b w:val="0"/>
          <w:bCs w:val="0"/>
          <w:color w:val="auto"/>
          <w:sz w:val="24"/>
          <w:szCs w:val="24"/>
          <w:lang w:val="en-US" w:eastAsia="zh-CN"/>
        </w:rPr>
        <w:t>　申请人以政府信息公开申请的形式进行信访、投诉、举报等活动，行政机关应当告知申请人不作为政府信息公开申请处理并可以告知通过相应渠道提出。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申请人提出的申请内容为要求行政机关提供政府公报、报刊、书籍等公开出版物的，行政机关可以告知获取的途径。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第四十条</w:t>
      </w:r>
      <w:r>
        <w:rPr>
          <w:rFonts w:hint="eastAsia" w:ascii="方正仿宋简体" w:hAnsi="方正仿宋简体" w:eastAsia="方正仿宋简体" w:cs="方正仿宋简体"/>
          <w:b w:val="0"/>
          <w:bCs w:val="0"/>
          <w:color w:val="auto"/>
          <w:sz w:val="24"/>
          <w:szCs w:val="24"/>
          <w:lang w:val="en-US" w:eastAsia="zh-CN"/>
        </w:rPr>
        <w:t>　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第四十一条</w:t>
      </w:r>
      <w:r>
        <w:rPr>
          <w:rFonts w:hint="eastAsia" w:ascii="方正仿宋简体" w:hAnsi="方正仿宋简体" w:eastAsia="方正仿宋简体" w:cs="方正仿宋简体"/>
          <w:b w:val="0"/>
          <w:bCs w:val="0"/>
          <w:color w:val="auto"/>
          <w:sz w:val="24"/>
          <w:szCs w:val="24"/>
          <w:lang w:val="en-US" w:eastAsia="zh-CN"/>
        </w:rPr>
        <w:t>　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第四十二条</w:t>
      </w:r>
      <w:r>
        <w:rPr>
          <w:rFonts w:hint="eastAsia" w:ascii="方正仿宋简体" w:hAnsi="方正仿宋简体" w:eastAsia="方正仿宋简体" w:cs="方正仿宋简体"/>
          <w:b w:val="0"/>
          <w:bCs w:val="0"/>
          <w:color w:val="auto"/>
          <w:sz w:val="24"/>
          <w:szCs w:val="24"/>
          <w:lang w:val="en-US" w:eastAsia="zh-CN"/>
        </w:rPr>
        <w:t>　行政机关依申请提供政府信息，不收取费用。但是，申请人申请公开政府信息的数量、频次明显超过合理范围的，行政机关可以收取信息处理费。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行政机关收取信息处理费的具体办法由国务院价格主管部门会同国务院财政部门、全国政府信息公开工作主管部门制定。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第四十三条</w:t>
      </w:r>
      <w:r>
        <w:rPr>
          <w:rFonts w:hint="eastAsia" w:ascii="方正仿宋简体" w:hAnsi="方正仿宋简体" w:eastAsia="方正仿宋简体" w:cs="方正仿宋简体"/>
          <w:b w:val="0"/>
          <w:bCs w:val="0"/>
          <w:color w:val="auto"/>
          <w:sz w:val="24"/>
          <w:szCs w:val="24"/>
          <w:lang w:val="en-US" w:eastAsia="zh-CN"/>
        </w:rPr>
        <w:t>　申请公开政府信息的公民存在阅读困难或者视听障碍的，行政机关应当为其提供必要的帮助。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第四十四条</w:t>
      </w:r>
      <w:r>
        <w:rPr>
          <w:rFonts w:hint="eastAsia" w:ascii="方正仿宋简体" w:hAnsi="方正仿宋简体" w:eastAsia="方正仿宋简体" w:cs="方正仿宋简体"/>
          <w:b w:val="0"/>
          <w:bCs w:val="0"/>
          <w:color w:val="auto"/>
          <w:sz w:val="24"/>
          <w:szCs w:val="24"/>
          <w:lang w:val="en-US" w:eastAsia="zh-CN"/>
        </w:rPr>
        <w:t>　多个申请人就相同政府信息向同一行政机关提出公开申请，且该政府信息属于可以公开的，行政机关可以纳入主动公开的范围。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行政机关依申请公开的政府信息，申请人认为涉及公众利益调整、需要公众广泛知晓或者需要公众参与决策的，可以建议行政机关将该信息纳入主动公开的范围。行政机关经审核认为属于主动公开范围的，应当及时主动公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第四十五条</w:t>
      </w:r>
      <w:r>
        <w:rPr>
          <w:rFonts w:hint="eastAsia" w:ascii="方正仿宋简体" w:hAnsi="方正仿宋简体" w:eastAsia="方正仿宋简体" w:cs="方正仿宋简体"/>
          <w:b w:val="0"/>
          <w:bCs w:val="0"/>
          <w:color w:val="auto"/>
          <w:sz w:val="24"/>
          <w:szCs w:val="24"/>
          <w:lang w:val="en-US" w:eastAsia="zh-CN"/>
        </w:rPr>
        <w:t>　行政机关应当建立健全政府信息公开申请登记、审核、办理、答复、归档的工作制度，加强工作规范。</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第五章　监督和保障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第四十六条</w:t>
      </w:r>
      <w:r>
        <w:rPr>
          <w:rFonts w:hint="eastAsia" w:ascii="方正仿宋简体" w:hAnsi="方正仿宋简体" w:eastAsia="方正仿宋简体" w:cs="方正仿宋简体"/>
          <w:b w:val="0"/>
          <w:bCs w:val="0"/>
          <w:color w:val="auto"/>
          <w:sz w:val="24"/>
          <w:szCs w:val="24"/>
          <w:lang w:val="en-US" w:eastAsia="zh-CN"/>
        </w:rPr>
        <w:t>　各级人民政府应当建立健全政府信息公开工作考核制度、社会评议制度和责任追究制度，定期对政府信息公开工作进行考核、评议。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第四十七条</w:t>
      </w:r>
      <w:r>
        <w:rPr>
          <w:rFonts w:hint="eastAsia" w:ascii="方正仿宋简体" w:hAnsi="方正仿宋简体" w:eastAsia="方正仿宋简体" w:cs="方正仿宋简体"/>
          <w:b w:val="0"/>
          <w:bCs w:val="0"/>
          <w:color w:val="auto"/>
          <w:sz w:val="24"/>
          <w:szCs w:val="24"/>
          <w:lang w:val="en-US" w:eastAsia="zh-CN"/>
        </w:rPr>
        <w:t>　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第四十八条</w:t>
      </w:r>
      <w:r>
        <w:rPr>
          <w:rFonts w:hint="eastAsia" w:ascii="方正仿宋简体" w:hAnsi="方正仿宋简体" w:eastAsia="方正仿宋简体" w:cs="方正仿宋简体"/>
          <w:b w:val="0"/>
          <w:bCs w:val="0"/>
          <w:color w:val="auto"/>
          <w:sz w:val="24"/>
          <w:szCs w:val="24"/>
          <w:lang w:val="en-US" w:eastAsia="zh-CN"/>
        </w:rPr>
        <w:t>　政府信息公开工作主管部门应当对行政机关的政府信息公开工作人员定期进行培训。</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第四十九条</w:t>
      </w:r>
      <w:r>
        <w:rPr>
          <w:rFonts w:hint="eastAsia" w:ascii="方正仿宋简体" w:hAnsi="方正仿宋简体" w:eastAsia="方正仿宋简体" w:cs="方正仿宋简体"/>
          <w:b w:val="0"/>
          <w:bCs w:val="0"/>
          <w:color w:val="auto"/>
          <w:sz w:val="24"/>
          <w:szCs w:val="24"/>
          <w:lang w:val="en-US" w:eastAsia="zh-CN"/>
        </w:rPr>
        <w:t>　县级以上人民政府部门应当在每年1月31日前向本级政府信息公开工作主管部门提交本行政机关上一年度政府信息公开工作年度报告并向社会公布。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县级以上地方人民政府的政府信息公开工作主管部门应当在每年3月31日前向社会公布本级政府上一年度政府信息公开工作年度报告。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第五十条</w:t>
      </w:r>
      <w:r>
        <w:rPr>
          <w:rFonts w:hint="eastAsia" w:ascii="方正仿宋简体" w:hAnsi="方正仿宋简体" w:eastAsia="方正仿宋简体" w:cs="方正仿宋简体"/>
          <w:b w:val="0"/>
          <w:bCs w:val="0"/>
          <w:color w:val="auto"/>
          <w:sz w:val="24"/>
          <w:szCs w:val="24"/>
          <w:lang w:val="en-US" w:eastAsia="zh-CN"/>
        </w:rPr>
        <w:t>　政府信息公开工作年度报告应当包括下列内容：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行政机关主动公开政府信息的情况；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行政机关收到和处理政府信息公开申请的情况；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因政府信息公开工作被申请行政复议、提起行政诉讼的情况；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政府信息公开工作存在的主要问题及改进情况，各级人民政府的政府信息公开工作年度报告还应当包括工作考核、社会评议和责任追究结果情况；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其他需要报告的事项。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全国政府信息公开工作主管部门应当公布政府信息公开工作年度报告统一格式，并适时更新。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第五十一条</w:t>
      </w:r>
      <w:r>
        <w:rPr>
          <w:rFonts w:hint="eastAsia" w:ascii="方正仿宋简体" w:hAnsi="方正仿宋简体" w:eastAsia="方正仿宋简体" w:cs="方正仿宋简体"/>
          <w:b w:val="0"/>
          <w:bCs w:val="0"/>
          <w:color w:val="auto"/>
          <w:sz w:val="24"/>
          <w:szCs w:val="24"/>
          <w:lang w:val="en-US" w:eastAsia="zh-CN"/>
        </w:rPr>
        <w:t>　公民、法人或者其他组织认为行政机关在政府信息公开工作中侵犯其合法权益的，可以向上一级行政机关或者政府信息公开工作主管部门投诉、举报，也可以依法申请行政复议或者提起行政诉讼。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第五十二条</w:t>
      </w:r>
      <w:r>
        <w:rPr>
          <w:rFonts w:hint="eastAsia" w:ascii="方正仿宋简体" w:hAnsi="方正仿宋简体" w:eastAsia="方正仿宋简体" w:cs="方正仿宋简体"/>
          <w:b w:val="0"/>
          <w:bCs w:val="0"/>
          <w:color w:val="auto"/>
          <w:sz w:val="24"/>
          <w:szCs w:val="24"/>
          <w:lang w:val="en-US" w:eastAsia="zh-CN"/>
        </w:rPr>
        <w:t>　行政机关违反本条例的规定，未建立健全政府信息公开有关制度、机制的，由上一级行政机关责令改正；情节严重的，对负有责任的领导人员和直接责任人员依法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第五十三条</w:t>
      </w:r>
      <w:r>
        <w:rPr>
          <w:rFonts w:hint="eastAsia" w:ascii="方正仿宋简体" w:hAnsi="方正仿宋简体" w:eastAsia="方正仿宋简体" w:cs="方正仿宋简体"/>
          <w:b w:val="0"/>
          <w:bCs w:val="0"/>
          <w:color w:val="auto"/>
          <w:sz w:val="24"/>
          <w:szCs w:val="24"/>
          <w:lang w:val="en-US" w:eastAsia="zh-CN"/>
        </w:rPr>
        <w:t>　行政机关违反本条例的规定，有下列情形之一的，由上一级行政机关责令改正；情节严重的，对负有责任的领导人员和直接责任人员依法</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不依法履行政府信息公开职能；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不及时更新公开的政府信息内容、政府信息公开指南和政府信息公开目录；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违反本条例规定的其他情形。</w:t>
      </w: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sz w:val="24"/>
          <w:szCs w:val="24"/>
          <w:lang w:val="en-US" w:eastAsia="zh-CN"/>
        </w:rPr>
      </w:pPr>
      <w:r>
        <w:rPr>
          <w:rFonts w:hint="eastAsia"/>
          <w:sz w:val="24"/>
          <w:szCs w:val="24"/>
          <w:lang w:val="en-US" w:eastAsia="zh-CN"/>
        </w:rPr>
        <w:t>第六章　附则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第五十四条</w:t>
      </w:r>
      <w:r>
        <w:rPr>
          <w:rFonts w:hint="eastAsia" w:ascii="方正仿宋简体" w:hAnsi="方正仿宋简体" w:eastAsia="方正仿宋简体" w:cs="方正仿宋简体"/>
          <w:b w:val="0"/>
          <w:bCs w:val="0"/>
          <w:color w:val="auto"/>
          <w:sz w:val="24"/>
          <w:szCs w:val="24"/>
          <w:lang w:val="en-US" w:eastAsia="zh-CN"/>
        </w:rPr>
        <w:t>　法律、法规授权的具有管理公共事务职能的组织公开政府信息的活动，适用本条例。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第五十五条</w:t>
      </w:r>
      <w:r>
        <w:rPr>
          <w:rFonts w:hint="eastAsia" w:ascii="方正仿宋简体" w:hAnsi="方正仿宋简体" w:eastAsia="方正仿宋简体" w:cs="方正仿宋简体"/>
          <w:b w:val="0"/>
          <w:bCs w:val="0"/>
          <w:color w:val="auto"/>
          <w:sz w:val="24"/>
          <w:szCs w:val="24"/>
          <w:lang w:val="en-US" w:eastAsia="zh-CN"/>
        </w:rPr>
        <w:t>　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第五十六条</w:t>
      </w:r>
      <w:r>
        <w:rPr>
          <w:rFonts w:hint="eastAsia" w:ascii="方正仿宋简体" w:hAnsi="方正仿宋简体" w:eastAsia="方正仿宋简体" w:cs="方正仿宋简体"/>
          <w:b w:val="0"/>
          <w:bCs w:val="0"/>
          <w:color w:val="auto"/>
          <w:sz w:val="24"/>
          <w:szCs w:val="24"/>
          <w:lang w:val="en-US" w:eastAsia="zh-CN"/>
        </w:rPr>
        <w:t>　本条例自2019年5月15日起施行。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罚款决定与罚款收缴分离实施办法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 xml:space="preserve">1997年11月17日中华人民共和国国务院令第235号发布 </w:t>
      </w:r>
      <w:r>
        <w:rPr>
          <w:rFonts w:hint="eastAsia" w:ascii="方正仿宋简体" w:hAnsi="方正仿宋简体" w:eastAsia="方正仿宋简体" w:cs="方正仿宋简体"/>
          <w:b w:val="0"/>
          <w:bCs w:val="0"/>
          <w:color w:val="auto"/>
          <w:sz w:val="24"/>
          <w:szCs w:val="24"/>
          <w:lang w:val="en-US" w:eastAsia="zh-CN"/>
        </w:rPr>
        <w:br w:type="textWrapping"/>
      </w:r>
      <w:r>
        <w:rPr>
          <w:rFonts w:hint="eastAsia" w:ascii="方正仿宋简体" w:hAnsi="方正仿宋简体" w:eastAsia="方正仿宋简体" w:cs="方正仿宋简体"/>
          <w:b w:val="0"/>
          <w:bCs w:val="0"/>
          <w:color w:val="auto"/>
          <w:sz w:val="24"/>
          <w:szCs w:val="24"/>
          <w:lang w:val="en-US" w:eastAsia="zh-CN"/>
        </w:rPr>
        <w:t>自1998年1月1日起施行</w:t>
      </w:r>
      <w:r>
        <w:rPr>
          <w:rFonts w:hint="eastAsia" w:ascii="方正仿宋简体" w:hAnsi="方正仿宋简体" w:eastAsia="方正仿宋简体" w:cs="方正仿宋简体"/>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为了实施罚款决定与罚款收缴分离，加强对罚款收缴活动的监督，保证罚款及时上缴国库，根据《中华人民共和国行政处罚法》</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以下简称行政处罚法</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的规定，制定本办法。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罚款的收取、缴纳及相关活动，适用本办法。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作出罚款决定的行政机关应当与收缴罚款的机构分离；但是，依照行政处罚法的规定可以当场收缴罚款的除外。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罚款必须全部上缴国库，任何行政机关、组织或者个人不得以任何形式截留、私分或者变相私分。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行政机关执法所需经费的拨付，按照国家有关规定执行。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经中国人民银行批准有代理收付款项业务的商业银行、信用合作社</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以下简称代收机构</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，可以开办代收罚款的业务。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具体代收机构由县级以上地方人民政府组织本级财政部门、中国人民银行当地分支机构和依法具有行政处罚权的行政机关共同研究，统一确定。海关、外汇管理等实行垂直领导的依法具有行政处罚权的行政机关作出罚款决定的，具体代收机构由财政部、中国人民银行会同国务院有关部门确定。依法具有行政处罚权的国务院有关部门作出罚款决定的，具体代收机构由财政部、中国人民银行确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代收机构应当具备足够的代收网点，以方便当事人缴纳罚款。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行政机关应当依照本办法和国家有关规定，同代收机构签订代收罚款协议。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代收罚款协议应当包括下列事项：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行政机关、代收机构名称；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具体代收网点；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代收机构上缴罚款的预算科目、预算级次；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代收机构告知行政机关代收罚款情况的方式、期限；</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需要明确的其他事项。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自代收罚款协议签订之日起15日内，行政机关应当将代收罚款协议报上一级行政机关和同级财政部门备案；代收机构应当将代收罚款协议报中国人民银行或者其当地分支机构备案。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行政机关作出罚款决定的行政处罚决定书应当载明代收机构的名称、地址和当事人应当缴纳罚款的数额、期限等，并明确对当事人逾期缴纳罚款是否加处罚款。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当事人应当按照行政处罚决定书确定的罚款数额、期限，到指定的代收机构缴纳罚款。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代收机构代收罚款，应当向当事人出具罚款收据。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罚款收据的格式和印制，由财政部规定。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当事人逾期缴纳罚款，行政处罚决定书明确需要加处罚款的，代收机构应当按照行政处罚决定书加收罚款。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当事人对加收罚款有异议的，应当先缴纳罚款和加收的罚款，再依法向</w:t>
      </w:r>
      <w:r>
        <w:rPr>
          <w:rFonts w:hint="eastAsia" w:ascii="方正仿宋简体" w:hAnsi="方正仿宋简体" w:eastAsia="方正仿宋简体" w:cs="方正仿宋简体"/>
          <w:b w:val="0"/>
          <w:bCs w:val="0"/>
          <w:color w:val="auto"/>
          <w:sz w:val="24"/>
          <w:szCs w:val="24"/>
          <w:highlight w:val="none"/>
          <w:lang w:val="en-US" w:eastAsia="zh-CN"/>
        </w:rPr>
        <w:t>作出行政处罚</w:t>
      </w:r>
      <w:r>
        <w:rPr>
          <w:rFonts w:hint="eastAsia" w:ascii="方正仿宋简体" w:hAnsi="方正仿宋简体" w:eastAsia="方正仿宋简体" w:cs="方正仿宋简体"/>
          <w:b w:val="0"/>
          <w:bCs w:val="0"/>
          <w:color w:val="auto"/>
          <w:sz w:val="24"/>
          <w:szCs w:val="24"/>
          <w:lang w:val="en-US" w:eastAsia="zh-CN"/>
        </w:rPr>
        <w:t>决定的行政机关申请复议。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代收机构应当按照代收罚款协议规定的方式、期限，将当事人的姓名或者名称、缴纳罚款的数额、时间等情况书面告知</w:t>
      </w:r>
      <w:r>
        <w:rPr>
          <w:rFonts w:hint="eastAsia" w:ascii="方正仿宋简体" w:hAnsi="方正仿宋简体" w:eastAsia="方正仿宋简体" w:cs="方正仿宋简体"/>
          <w:b w:val="0"/>
          <w:bCs w:val="0"/>
          <w:color w:val="auto"/>
          <w:sz w:val="24"/>
          <w:szCs w:val="24"/>
          <w:highlight w:val="none"/>
          <w:lang w:val="en-US" w:eastAsia="zh-CN"/>
        </w:rPr>
        <w:t>作出行政处罚</w:t>
      </w:r>
      <w:r>
        <w:rPr>
          <w:rFonts w:hint="eastAsia" w:ascii="方正仿宋简体" w:hAnsi="方正仿宋简体" w:eastAsia="方正仿宋简体" w:cs="方正仿宋简体"/>
          <w:b w:val="0"/>
          <w:bCs w:val="0"/>
          <w:color w:val="auto"/>
          <w:sz w:val="24"/>
          <w:szCs w:val="24"/>
          <w:lang w:val="en-US" w:eastAsia="zh-CN"/>
        </w:rPr>
        <w:t>决定的行政机关。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代收机构应当按照行政处罚法和国家有关规定，将代收的罚款直接上缴国库。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国库应当按照《中华人民共和国国家金库条例》的规定，定期同财政部门和行政机关</w:t>
      </w:r>
      <w:r>
        <w:rPr>
          <w:rFonts w:hint="eastAsia" w:ascii="方正仿宋简体" w:hAnsi="方正仿宋简体" w:eastAsia="方正仿宋简体" w:cs="方正仿宋简体"/>
          <w:b w:val="0"/>
          <w:bCs w:val="0"/>
          <w:color w:val="auto"/>
          <w:sz w:val="24"/>
          <w:szCs w:val="24"/>
          <w:highlight w:val="none"/>
          <w:lang w:val="en-US" w:eastAsia="zh-CN"/>
        </w:rPr>
        <w:t>对账</w:t>
      </w:r>
      <w:r>
        <w:rPr>
          <w:rFonts w:hint="eastAsia" w:ascii="方正仿宋简体" w:hAnsi="方正仿宋简体" w:eastAsia="方正仿宋简体" w:cs="方正仿宋简体"/>
          <w:b w:val="0"/>
          <w:bCs w:val="0"/>
          <w:color w:val="auto"/>
          <w:sz w:val="24"/>
          <w:szCs w:val="24"/>
          <w:lang w:val="en-US" w:eastAsia="zh-CN"/>
        </w:rPr>
        <w:t>，以保证收受的罚款和上缴国库的罚款数额一致。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代收机构应当在代收网点、营业时间、服务设施、缴款手续等方面为当事人缴纳罚款提供方便。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财政部门应当向代收机构支付手续费，具体标准由财政部制定。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法律、法规授权的具有管理公共事务职能的组织和依法受委托的组织依法作出的罚款决定与罚款收缴，适用本办法。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本办法由财政部会同中国人民银行组织实施。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本办法自1998年1月1日起施行。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rPr>
          <w:rFonts w:hint="eastAsia"/>
          <w:lang w:val="en-US" w:eastAsia="zh-CN"/>
        </w:rPr>
      </w:pPr>
    </w:p>
    <w:p>
      <w:pPr>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违反行政事业性收费和罚没收入收支</w:t>
      </w: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两条线管理规定行政处分暂行规定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2000年2月1日国务院第26次常务会议通过2000年2月12日中华人民共和国国务院令第281号发布  自发布之日起施行</w:t>
      </w:r>
      <w:r>
        <w:rPr>
          <w:rFonts w:hint="eastAsia" w:ascii="方正仿宋简体" w:hAnsi="方正仿宋简体" w:eastAsia="方正仿宋简体" w:cs="方正仿宋简体"/>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为了严肃财经纪律，加强廉政建设，落实行政事业性收费和罚没收入“收支两条线”管理，促进依法行政，根据法律、行政法规和国家有关规定，制定本规定。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国家公务员和法律、行政法规授权行使行政事业性收费或者罚没职能的事业单位的工作人员有违反“收支两条线”管理规定行为的，依照本规定给予行政处分。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本规定所称“行政事业性收费”，是指下列属于财政性资金的收入：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依据法律、行政法规、国务院有关规定、国务院财政部门与计划部门共同发布的规章或者规定以及省、自治区、直辖市的地方性法规、政府规章或者规定和省、自治区、直辖市人民政府财政部门与计划</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物价</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部门共同发布的规定所收取的各项收费；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法律、行政法规和国务院规定的以及国务院财政部门按照国家有关规定批准的政府性基金、附加。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事业单位因提供服务收取的经营服务性收费不属于行政事业性收费。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本规定所称“罚没收入”，是指法律、行政法规授权的执行处罚的部门依法实施处罚取得的罚没款和没收物品的折价收入。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pacing w:val="-11"/>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w:t>
      </w:r>
      <w:r>
        <w:rPr>
          <w:rFonts w:hint="eastAsia" w:ascii="方正仿宋简体" w:hAnsi="方正仿宋简体" w:eastAsia="方正仿宋简体" w:cs="方正仿宋简体"/>
          <w:b w:val="0"/>
          <w:bCs w:val="0"/>
          <w:color w:val="auto"/>
          <w:spacing w:val="-11"/>
          <w:sz w:val="24"/>
          <w:szCs w:val="24"/>
          <w:lang w:val="en-US" w:eastAsia="zh-CN"/>
        </w:rPr>
        <w:t>违反规定，擅自设立行政事业性收费项目或者设置罚没处罚的，对直接负责的主管人员和其他直接责任人员给予降级或者撤职处分。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违反规定，擅自变更行政事业性收费或者罚没范围、标准的，对直接负责的主管人员和其他直接责任人员给予记大过处分；情节严重的，给予降级或者撤职处分。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对行政事业性收费项目审批机关已经明令取消或者降低标准的收费项目，仍按原定项目或者标准收费的，对直接负责的主管人员和其他直接责任人员给予记大过处分；情节严重的，给予降级或者撤职处分。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下达或者变相下达罚没指标的，对直接负责的主管人员和其他直接责任人员给予降级或者撤职处分。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违反《收费许可证》规定实施行政事业性收费的，对直接负责的主管人员和其他直接责任人员给予警告处分；情节严重的，给予记过或者记大过处分。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违反财政票据管理规定实施行政事业性收费、罚没的，对直接负责的主管人员和其他直接责任人员给予降级或者撤职处分；以实施行政事业性收费、罚没的名义收取钱物，不出具任何票据的，给予开除处分。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违反罚款决定与罚款收缴分离的规定收缴罚款的，对直接负责的主管人员和其他直接责任人员给予记大过或者降级处分。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不履行行政事业性收费、罚没职责，应收不收、应罚不罚，经批评教育仍不改正的，对直接负责的主管人员和其他直接责任人员给予警告处分；情节严重的，给予记过或者记大过处分。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不按照规定将行政事业性收费纳入单位财务统一核算、管理的，对直接负责的主管人员和其他直接责任人员给予记过处分；情节严重的，给予记大过或者降级处分。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不按照规定将行政事业性收费缴入国库或者预算外资金财政专户的，对直接负责的主管人员和其他直接责任人员给予记大过处分；情节严重的，给予降级或者撤职处分。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不按照规定将罚没收入上缴国库的，依照前款规定</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违反规定，擅自开设</w:t>
      </w:r>
      <w:r>
        <w:rPr>
          <w:rFonts w:hint="eastAsia" w:ascii="方正仿宋简体" w:hAnsi="方正仿宋简体" w:eastAsia="方正仿宋简体" w:cs="方正仿宋简体"/>
          <w:b w:val="0"/>
          <w:bCs w:val="0"/>
          <w:color w:val="auto"/>
          <w:sz w:val="24"/>
          <w:szCs w:val="24"/>
          <w:highlight w:val="none"/>
          <w:lang w:val="en-US" w:eastAsia="zh-CN"/>
        </w:rPr>
        <w:t>银行账户</w:t>
      </w:r>
      <w:r>
        <w:rPr>
          <w:rFonts w:hint="eastAsia" w:ascii="方正仿宋简体" w:hAnsi="方正仿宋简体" w:eastAsia="方正仿宋简体" w:cs="方正仿宋简体"/>
          <w:b w:val="0"/>
          <w:bCs w:val="0"/>
          <w:color w:val="auto"/>
          <w:sz w:val="24"/>
          <w:szCs w:val="24"/>
          <w:lang w:val="en-US" w:eastAsia="zh-CN"/>
        </w:rPr>
        <w:t>的，对直接负责的主管人员和其他直接责任人员给予降级处分；情节严重的，给予撤职或者开除处分。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截留、挪用、坐收坐支行政事业性收费、罚没收入的，对直接负责的主管人员和其他直接责任人员给予降级处分；情节严重的，给予撤职或者开除处分。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违反规定，将行政事业性收费、罚没收入用于提高福利补贴标准或者扩大福利补贴范围、滥发奖金实物、挥霍浪费或者有其他超标准支出行为的，对直接负责的主管人员和其他直接责任人员给予记大过处分；情节严重的，给予降级或者撤职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不按照规定编制预算外资金收支计划、单位财务收支计划和收支决算的，对直接负责的主管人员和其他直接责任人员给予记过处分；情节严重的，给予记大过或者降级处分。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不按照预算和批准的收支计划核拨财政资金，贻误核拨对象正常工作的，对直接负责的主管人员和其他直接责任人员给予记过处分；情节严重的，给予记大过或者降级处分。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对坚持原则抵制违法违纪的行政事业性收费、罚没行为的单位或者个人打击报复的，给予降级处分；情节严重的，给予撤职或者开除处分。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第二十一条</w:t>
      </w:r>
      <w:r>
        <w:rPr>
          <w:rFonts w:hint="eastAsia" w:ascii="方正仿宋简体" w:hAnsi="方正仿宋简体" w:eastAsia="方正仿宋简体" w:cs="方正仿宋简体"/>
          <w:b w:val="0"/>
          <w:bCs w:val="0"/>
          <w:color w:val="auto"/>
          <w:sz w:val="24"/>
          <w:szCs w:val="24"/>
          <w:lang w:val="en-US" w:eastAsia="zh-CN"/>
        </w:rPr>
        <w:t>　实施行政处分的权限以及不服行政处分的申诉，按照国家有关规定办理。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第二十二条</w:t>
      </w:r>
      <w:r>
        <w:rPr>
          <w:rFonts w:hint="eastAsia" w:ascii="方正仿宋简体" w:hAnsi="方正仿宋简体" w:eastAsia="方正仿宋简体" w:cs="方正仿宋简体"/>
          <w:b w:val="0"/>
          <w:bCs w:val="0"/>
          <w:color w:val="auto"/>
          <w:sz w:val="24"/>
          <w:szCs w:val="24"/>
          <w:lang w:val="en-US" w:eastAsia="zh-CN"/>
        </w:rPr>
        <w:t>　违反本规定，构成犯罪的，依法追究刑事责任。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第二十三条</w:t>
      </w:r>
      <w:r>
        <w:rPr>
          <w:rFonts w:hint="eastAsia" w:ascii="方正仿宋简体" w:hAnsi="方正仿宋简体" w:eastAsia="方正仿宋简体" w:cs="方正仿宋简体"/>
          <w:b w:val="0"/>
          <w:bCs w:val="0"/>
          <w:color w:val="auto"/>
          <w:sz w:val="24"/>
          <w:szCs w:val="24"/>
          <w:lang w:val="en-US" w:eastAsia="zh-CN"/>
        </w:rPr>
        <w:t>　本规定自发布之日起施行。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行政执法机关移送涉嫌犯罪案件的规定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2001年7月9日中华人民共和国国务院令第310号公布 根据2020年8月7日《国务院关于修改〈行政执法机关移送涉嫌犯罪案件的规定〉的决定》修订</w:t>
      </w:r>
      <w:r>
        <w:rPr>
          <w:rFonts w:hint="eastAsia" w:ascii="方正仿宋简体" w:hAnsi="方正仿宋简体" w:eastAsia="方正仿宋简体" w:cs="方正仿宋简体"/>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第一条</w:t>
      </w:r>
      <w:r>
        <w:rPr>
          <w:rFonts w:hint="eastAsia" w:ascii="方正仿宋简体" w:hAnsi="方正仿宋简体" w:eastAsia="方正仿宋简体" w:cs="方正仿宋简体"/>
          <w:b w:val="0"/>
          <w:bCs w:val="0"/>
          <w:color w:val="auto"/>
          <w:sz w:val="24"/>
          <w:szCs w:val="24"/>
          <w:lang w:val="en-US" w:eastAsia="zh-CN"/>
        </w:rPr>
        <w:t>　为了保证行政执法机关向公安机关及时移送涉嫌犯罪案件，依法惩罚破坏社会主义市场经济秩序罪、妨害社会管理秩序罪以及其他罪，保障社会主义建设事业顺利进行，制定本规定。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第二条</w:t>
      </w:r>
      <w:r>
        <w:rPr>
          <w:rFonts w:hint="eastAsia" w:ascii="方正仿宋简体" w:hAnsi="方正仿宋简体" w:eastAsia="方正仿宋简体" w:cs="方正仿宋简体"/>
          <w:b w:val="0"/>
          <w:bCs w:val="0"/>
          <w:color w:val="auto"/>
          <w:sz w:val="24"/>
          <w:szCs w:val="24"/>
          <w:lang w:val="en-US" w:eastAsia="zh-CN"/>
        </w:rPr>
        <w:t>　本规定所称行政执法机关，是指依照法律、法规或者规章的规定，对破坏社会主义市场经济秩序、妨害社会管理秩序以及其他违法行为具有行政处罚权的行政机关，以及法律、法规授权的具有管理公共事务职能、在法定授权范围内实施行政处罚的组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第三条</w:t>
      </w:r>
      <w:r>
        <w:rPr>
          <w:rFonts w:hint="eastAsia" w:ascii="方正仿宋简体" w:hAnsi="方正仿宋简体" w:eastAsia="方正仿宋简体" w:cs="方正仿宋简体"/>
          <w:b w:val="0"/>
          <w:bCs w:val="0"/>
          <w:color w:val="auto"/>
          <w:sz w:val="24"/>
          <w:szCs w:val="24"/>
          <w:lang w:val="en-US" w:eastAsia="zh-CN"/>
        </w:rPr>
        <w:t>　行政执法机关在依法查处违法行为过程中，发现违法事实涉及的金额、违法事实的情节、违法事实造成的后果等，根据刑法关于破坏社会主义市场经济秩序罪、妨害社会管理秩序罪等罪的规定和最高人民法院、最高人民检察院关于破坏社会主义市场经济秩序罪、妨害社会管理秩序罪等罪的司法解释以及最高人民检察院、公安部关于经济犯罪案件的追诉标准等规定，涉嫌构成犯罪，依法需要追究刑事责任的，必须依照本规定向公安机关移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知识产权领域的违法案件，行政执法机关根据调查收集的证据和查明的案件事实，认为存在犯罪的合理嫌疑，需要公安机关采取措施进一步获取证据以判断是否达到刑事案件立案追诉标准的，应当向公安机关移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第四条</w:t>
      </w:r>
      <w:r>
        <w:rPr>
          <w:rFonts w:hint="eastAsia" w:ascii="方正仿宋简体" w:hAnsi="方正仿宋简体" w:eastAsia="方正仿宋简体" w:cs="方正仿宋简体"/>
          <w:b w:val="0"/>
          <w:bCs w:val="0"/>
          <w:color w:val="auto"/>
          <w:sz w:val="24"/>
          <w:szCs w:val="24"/>
          <w:lang w:val="en-US" w:eastAsia="zh-CN"/>
        </w:rPr>
        <w:t>　行政执法机关在查处违法行为过程中，必须妥善保存所收集的与违法行为有关的证据。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机关对查获的涉案物品，应当如实填写涉案物品清单，并按照国家有关规定予以处理。对易腐烂、变质等不宜或者不易保管的涉案物品，应当采取必要措施，留取证据；对需要进行检验、鉴定的涉案物品，应当由法定检验、鉴定机构进行检验、鉴定，并出具检验报告或者鉴定结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第五条</w:t>
      </w:r>
      <w:r>
        <w:rPr>
          <w:rFonts w:hint="eastAsia" w:ascii="方正仿宋简体" w:hAnsi="方正仿宋简体" w:eastAsia="方正仿宋简体" w:cs="方正仿宋简体"/>
          <w:b w:val="0"/>
          <w:bCs w:val="0"/>
          <w:color w:val="auto"/>
          <w:sz w:val="24"/>
          <w:szCs w:val="24"/>
          <w:lang w:val="en-US" w:eastAsia="zh-CN"/>
        </w:rPr>
        <w:t>　行政执法机关对应当向公安机关移送的涉嫌犯罪案件，应当立即指定2名或者2名以上行政执法人员组成专案组专门负责，核实情况后提出移送涉嫌犯罪案件的书面报告，报经本机关正职负责人或者主持工作的负责人审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机关正职负责人或者主持工作的负责人应当自接到报告之日起3日内作出批准移送或者不批准移送的决定。决定批准的，应当在24小时内向同级公安机关移送；决定不批准的，应当将不予批准的理由记录在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第六条</w:t>
      </w:r>
      <w:r>
        <w:rPr>
          <w:rFonts w:hint="eastAsia" w:ascii="方正仿宋简体" w:hAnsi="方正仿宋简体" w:eastAsia="方正仿宋简体" w:cs="方正仿宋简体"/>
          <w:b w:val="0"/>
          <w:bCs w:val="0"/>
          <w:color w:val="auto"/>
          <w:sz w:val="24"/>
          <w:szCs w:val="24"/>
          <w:lang w:val="en-US" w:eastAsia="zh-CN"/>
        </w:rPr>
        <w:t>　行政执法机关向公安机关移送涉嫌犯罪案件，应当附有下列材料：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一</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涉嫌犯罪案件移送书；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涉嫌犯罪案件情况的调查报告；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三</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涉案物品清单；</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四</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有关检验报告或者鉴定结论；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五</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其他有关涉嫌犯罪的材料。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第七条</w:t>
      </w:r>
      <w:r>
        <w:rPr>
          <w:rFonts w:hint="eastAsia" w:ascii="方正仿宋简体" w:hAnsi="方正仿宋简体" w:eastAsia="方正仿宋简体" w:cs="方正仿宋简体"/>
          <w:b w:val="0"/>
          <w:bCs w:val="0"/>
          <w:color w:val="auto"/>
          <w:sz w:val="24"/>
          <w:szCs w:val="24"/>
          <w:lang w:val="en-US" w:eastAsia="zh-CN"/>
        </w:rPr>
        <w:t>　公安机关对行政执法机关移送的涉嫌犯罪案件，应当在涉嫌犯罪案件移送书的回执上签字；其中，不属于本机关管辖的，应当在24小时内转送有管辖权的机关，并书面告知移送案件的行政执法机关。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第八条</w:t>
      </w:r>
      <w:r>
        <w:rPr>
          <w:rFonts w:hint="eastAsia" w:ascii="方正仿宋简体" w:hAnsi="方正仿宋简体" w:eastAsia="方正仿宋简体" w:cs="方正仿宋简体"/>
          <w:b w:val="0"/>
          <w:bCs w:val="0"/>
          <w:color w:val="auto"/>
          <w:sz w:val="24"/>
          <w:szCs w:val="24"/>
          <w:lang w:val="en-US" w:eastAsia="zh-CN"/>
        </w:rPr>
        <w:t>　公安机关应当自接受行政执法机关移送的涉嫌犯罪案件之日起3日内，依照刑法、刑事诉讼法以及最高人民法院、最高人民检察院关于立案标准和公安部关于公安机关办理刑事案件程序的规定，对所移送的案件进行审查。认为有犯罪事实，需要追究刑事责任，依法决定立案的，应当书面通知移送案件的行政执法机关；认为没有犯罪事实，或者犯罪事实显著轻微，不需要追究刑事责任，依法不予立案的，应当说明理由，并书面通知移送案件的行政执法机关，相应退回案卷材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第九条</w:t>
      </w:r>
      <w:r>
        <w:rPr>
          <w:rFonts w:hint="eastAsia" w:ascii="方正仿宋简体" w:hAnsi="方正仿宋简体" w:eastAsia="方正仿宋简体" w:cs="方正仿宋简体"/>
          <w:b w:val="0"/>
          <w:bCs w:val="0"/>
          <w:color w:val="auto"/>
          <w:sz w:val="24"/>
          <w:szCs w:val="24"/>
          <w:lang w:val="en-US" w:eastAsia="zh-CN"/>
        </w:rPr>
        <w:t>　行政执法机关接到公安机关不予立案的通知书后，认为依法应当由公安机关决定立案的，可以自接到不予立案通知书之日起3日内，提请作出不予立案决定的公安机关复议，也可以建议人民检察院依法进行立案监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作出不予立案决定的公安机关应当自收到行政执法机关提请复议的文件之日起3日内作出立案或者不予立案的决定，并书面通知移送案件的行政执法机关。移送案件的行政执法机关对公安机关不予立案的复议决定仍有异议的，应当自收到复议决定通知书之日起3日内建议人民检察院依法进行立案监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公安机关应当接受人民检察院依法进行的立案监督。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第十条</w:t>
      </w:r>
      <w:r>
        <w:rPr>
          <w:rFonts w:hint="eastAsia" w:ascii="方正仿宋简体" w:hAnsi="方正仿宋简体" w:eastAsia="方正仿宋简体" w:cs="方正仿宋简体"/>
          <w:b w:val="0"/>
          <w:bCs w:val="0"/>
          <w:color w:val="auto"/>
          <w:sz w:val="24"/>
          <w:szCs w:val="24"/>
          <w:lang w:val="en-US" w:eastAsia="zh-CN"/>
        </w:rPr>
        <w:t>　行政执法机关对公安机关决定不予立案的案件，应当依法</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；其中，依照有关法律、法规或者规章的规定应当给予行政处罚的，应当依法实施行政处罚。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第十一条</w:t>
      </w:r>
      <w:r>
        <w:rPr>
          <w:rFonts w:hint="eastAsia" w:ascii="方正仿宋简体" w:hAnsi="方正仿宋简体" w:eastAsia="方正仿宋简体" w:cs="方正仿宋简体"/>
          <w:b w:val="0"/>
          <w:bCs w:val="0"/>
          <w:color w:val="auto"/>
          <w:sz w:val="24"/>
          <w:szCs w:val="24"/>
          <w:lang w:val="en-US" w:eastAsia="zh-CN"/>
        </w:rPr>
        <w:t>　行政执法机关对应当向公安机关移送的涉嫌犯罪案件，不得以行政处罚代替移送。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行政执法机关向公安机关移送涉嫌犯罪案件前已经作出的警告，责令停产停业，暂扣或者吊销许可证、暂扣或者吊销执照的行政处罚决定，不停止执行。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依照行政处罚法的规定，行政执法机关向公安机关移送涉嫌犯罪案件前，已经依法给予当事人罚款的，人民法院判处罚金时，依法折抵相应罚金。</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第十二条</w:t>
      </w:r>
      <w:r>
        <w:rPr>
          <w:rFonts w:hint="eastAsia" w:ascii="方正仿宋简体" w:hAnsi="方正仿宋简体" w:eastAsia="方正仿宋简体" w:cs="方正仿宋简体"/>
          <w:b w:val="0"/>
          <w:bCs w:val="0"/>
          <w:color w:val="auto"/>
          <w:sz w:val="24"/>
          <w:szCs w:val="24"/>
          <w:lang w:val="en-US" w:eastAsia="zh-CN"/>
        </w:rPr>
        <w:t>　行政执法机关对公安机关决定立案的案件，应当自接到立案通知书之日起3日内将涉案物品以及与案件有关的其他材料移交公安机关，并办结交接手续；法律、行政法规另有规定的，依照其规定。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第十三条</w:t>
      </w:r>
      <w:r>
        <w:rPr>
          <w:rFonts w:hint="eastAsia" w:ascii="方正仿宋简体" w:hAnsi="方正仿宋简体" w:eastAsia="方正仿宋简体" w:cs="方正仿宋简体"/>
          <w:b w:val="0"/>
          <w:bCs w:val="0"/>
          <w:color w:val="auto"/>
          <w:sz w:val="24"/>
          <w:szCs w:val="24"/>
          <w:lang w:val="en-US" w:eastAsia="zh-CN"/>
        </w:rPr>
        <w:t>　公安机关对发现的违法行为，经审查，没有犯罪事实，或者立案侦查后认为犯罪事实显著轻微，不需要追究刑事责任，但依法应当追究行政责任的，应当及时将案件移送同级行政执法机关，有关行政执法机关应当依法</w:t>
      </w:r>
      <w:r>
        <w:rPr>
          <w:rFonts w:hint="eastAsia" w:ascii="方正仿宋简体" w:hAnsi="方正仿宋简体" w:eastAsia="方正仿宋简体" w:cs="方正仿宋简体"/>
          <w:b w:val="0"/>
          <w:bCs w:val="0"/>
          <w:color w:val="auto"/>
          <w:sz w:val="24"/>
          <w:szCs w:val="24"/>
          <w:highlight w:val="none"/>
          <w:lang w:val="en-US" w:eastAsia="zh-CN"/>
        </w:rPr>
        <w:t>作出处理</w:t>
      </w:r>
      <w:r>
        <w:rPr>
          <w:rFonts w:hint="eastAsia" w:ascii="方正仿宋简体" w:hAnsi="方正仿宋简体" w:eastAsia="方正仿宋简体" w:cs="方正仿宋简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第十四条</w:t>
      </w:r>
      <w:r>
        <w:rPr>
          <w:rFonts w:hint="eastAsia" w:ascii="方正仿宋简体" w:hAnsi="方正仿宋简体" w:eastAsia="方正仿宋简体" w:cs="方正仿宋简体"/>
          <w:b w:val="0"/>
          <w:bCs w:val="0"/>
          <w:color w:val="auto"/>
          <w:sz w:val="24"/>
          <w:szCs w:val="24"/>
          <w:lang w:val="en-US" w:eastAsia="zh-CN"/>
        </w:rPr>
        <w:t>　行政执法机关移送涉嫌犯罪案件，应当接受人民检察院和监察机关依法实施的监督。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任何单位和个人对行政执法机关违反本规定，应当向公安机关移送涉嫌犯罪案件而不移送的，有权向人民检察院、监察机关或者上级行政执法机关举报。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第十五条</w:t>
      </w:r>
      <w:r>
        <w:rPr>
          <w:rFonts w:hint="eastAsia" w:ascii="方正仿宋简体" w:hAnsi="方正仿宋简体" w:eastAsia="方正仿宋简体" w:cs="方正仿宋简体"/>
          <w:b w:val="0"/>
          <w:bCs w:val="0"/>
          <w:color w:val="auto"/>
          <w:sz w:val="24"/>
          <w:szCs w:val="24"/>
          <w:lang w:val="en-US" w:eastAsia="zh-CN"/>
        </w:rPr>
        <w:t>　行政执法机关违反本规定，隐匿、私分、销毁涉案物品的，由本级或者上级人民政府，或者实行垂直管理的上级行政执法机关，对其正职负责人根据情节轻重，给予降级以上的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对前款所列行为直接负责的主管人员和其他直接责任人员，比照前款的规定</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第十六条</w:t>
      </w:r>
      <w:r>
        <w:rPr>
          <w:rFonts w:hint="eastAsia" w:ascii="方正仿宋简体" w:hAnsi="方正仿宋简体" w:eastAsia="方正仿宋简体" w:cs="方正仿宋简体"/>
          <w:b w:val="0"/>
          <w:bCs w:val="0"/>
          <w:color w:val="auto"/>
          <w:sz w:val="24"/>
          <w:szCs w:val="24"/>
          <w:lang w:val="en-US" w:eastAsia="zh-CN"/>
        </w:rPr>
        <w:t>　行政执法机关违反本规定，逾期不将案件移送公安机关的，由本级或者上级人民政府，或者实行垂直管理的上级行政执法机关，责令限期移送，并对其正职负责人或者主持工作的负责人根据情节轻重，给予记过以上的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机关违反本规定，对应当向公安机关移送的案件不移送，或者以行政处罚代替移送的，由本级或者上级人民政府，或者实行垂直管理的上级行政执法机关，责令改正，给予通报；拒不改正的，对其正职负责人或者主持工作的负责人给予记过以上的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对本条第一款、第二款所列行为直接负责的主管人员和其他直接责任人员，分别比照前两款的规定</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第十七条</w:t>
      </w:r>
      <w:r>
        <w:rPr>
          <w:rFonts w:hint="eastAsia" w:ascii="方正仿宋简体" w:hAnsi="方正仿宋简体" w:eastAsia="方正仿宋简体" w:cs="方正仿宋简体"/>
          <w:b w:val="0"/>
          <w:bCs w:val="0"/>
          <w:color w:val="auto"/>
          <w:sz w:val="24"/>
          <w:szCs w:val="24"/>
          <w:lang w:val="en-US" w:eastAsia="zh-CN"/>
        </w:rPr>
        <w:t>　公安机关违反本规定，不接受行政执法机关移送的涉嫌犯罪案件，或者逾期不作出立案或者不予立案的决定的，除由人民检察院依法实施立案监督外，由本级或者上级人民政府责令改正，对其正职负责人根据情节轻重，给予记过以上的处分；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对前款所列行为直接负责的主管人员和其他直接责任人员，比照前款的规定</w:t>
      </w:r>
      <w:r>
        <w:rPr>
          <w:rFonts w:hint="eastAsia" w:ascii="方正仿宋简体" w:hAnsi="方正仿宋简体" w:eastAsia="方正仿宋简体" w:cs="方正仿宋简体"/>
          <w:b w:val="0"/>
          <w:bCs w:val="0"/>
          <w:color w:val="auto"/>
          <w:sz w:val="24"/>
          <w:szCs w:val="24"/>
          <w:highlight w:val="none"/>
          <w:lang w:val="en-US" w:eastAsia="zh-CN"/>
        </w:rPr>
        <w:t>给予处分</w:t>
      </w:r>
      <w:r>
        <w:rPr>
          <w:rFonts w:hint="eastAsia" w:ascii="方正仿宋简体" w:hAnsi="方正仿宋简体" w:eastAsia="方正仿宋简体" w:cs="方正仿宋简体"/>
          <w:b w:val="0"/>
          <w:bCs w:val="0"/>
          <w:color w:val="auto"/>
          <w:sz w:val="24"/>
          <w:szCs w:val="24"/>
          <w:lang w:val="en-US" w:eastAsia="zh-CN"/>
        </w:rPr>
        <w:t>；构成犯罪的，依法追究刑事责任。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第十八条</w:t>
      </w:r>
      <w:r>
        <w:rPr>
          <w:rFonts w:hint="eastAsia" w:ascii="方正仿宋简体" w:hAnsi="方正仿宋简体" w:eastAsia="方正仿宋简体" w:cs="方正仿宋简体"/>
          <w:b w:val="0"/>
          <w:bCs w:val="0"/>
          <w:color w:val="auto"/>
          <w:sz w:val="24"/>
          <w:szCs w:val="24"/>
          <w:lang w:val="en-US" w:eastAsia="zh-CN"/>
        </w:rPr>
        <w:t>　有关机关存在本规定第十五条、第十六条、第十七条所列违法行为，需要由监察机关依法给予违法的公职人员政务处分的，该机关及其上级主管机关或者有关人民政府应当依照有关规定将相关案件线索移送监察机关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第十九条</w:t>
      </w:r>
      <w:r>
        <w:rPr>
          <w:rFonts w:hint="eastAsia" w:ascii="方正仿宋简体" w:hAnsi="方正仿宋简体" w:eastAsia="方正仿宋简体" w:cs="方正仿宋简体"/>
          <w:b w:val="0"/>
          <w:bCs w:val="0"/>
          <w:color w:val="auto"/>
          <w:sz w:val="24"/>
          <w:szCs w:val="24"/>
          <w:lang w:val="en-US" w:eastAsia="zh-CN"/>
        </w:rPr>
        <w:t>　行政执法机关在依法查处违法行为过程中，发现公职人员有贪污贿赂、失职渎职或者利用职权侵犯公民人身权利和民主权利等违法行为，涉嫌构成职务犯罪的，应当依照刑法、刑事诉讼法、监察法等法律规定及时将案件线索移送监察机关或者人民检察院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黑体" w:cs="方正仿宋简体"/>
          <w:b w:val="0"/>
          <w:bCs w:val="0"/>
          <w:color w:val="auto"/>
          <w:sz w:val="24"/>
          <w:szCs w:val="24"/>
          <w:lang w:val="en-US" w:eastAsia="zh-CN"/>
        </w:rPr>
        <w:t>第二十条</w:t>
      </w:r>
      <w:r>
        <w:rPr>
          <w:rFonts w:hint="eastAsia" w:ascii="方正仿宋简体" w:hAnsi="方正仿宋简体" w:eastAsia="方正仿宋简体" w:cs="方正仿宋简体"/>
          <w:b w:val="0"/>
          <w:bCs w:val="0"/>
          <w:color w:val="auto"/>
          <w:sz w:val="24"/>
          <w:szCs w:val="24"/>
          <w:lang w:val="en-US" w:eastAsia="zh-CN"/>
        </w:rPr>
        <w:t>　本规定自公布之日起施行。</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国务院关于进一步推进相对集中</w:t>
      </w:r>
    </w:p>
    <w:p>
      <w:pPr>
        <w:pStyle w:val="2"/>
        <w:bidi w:val="0"/>
        <w:rPr>
          <w:rFonts w:hint="eastAsia"/>
          <w:lang w:val="en-US" w:eastAsia="zh-CN"/>
        </w:rPr>
      </w:pPr>
      <w:r>
        <w:rPr>
          <w:rFonts w:hint="eastAsia"/>
          <w:lang w:val="en-US" w:eastAsia="zh-CN"/>
        </w:rPr>
        <w:t>行政处罚权工作的决定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（2002年8月22日  国发〔2002〕17号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《中华人民共和国行政处罚法》</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以下简称行政处罚法）第十六条规定：“国务院或者经国务院授权的省、自治区、直辖市人民政府可以决定一个行政机关行使有关行政机关的行政处罚权，但限制人身自由的行政处罚权只能由公安机关行使。”国务院对贯彻实施行政处罚法确立的相对集中行政处罚权制度十分重视，多次下发文件作出具体部署。自1997年以来，按照国务院有关文件的规定，23个省、自治区的79个城市和3个直辖市经批准开展了相对集中行政处罚权试点工作，并取得了显著成效，对深化行政管理体制改革、加强行政执法队伍建设、改进行政执法状况、提高依法行政水平，起到了积极的作用。实践证明，国务院确定试点工作的阶段性目标已经实现，进一步在全国推进相对集中行政处罚权工作的时机基本成熟。为此，依照行政处罚法的规定，国务院授权省、自治区、直辖市人民政府可以决定在本行政区域内有计划、有步骤地开展相对集中行政处罚权工作。为了进一步推进这项工作，特</w:t>
      </w:r>
      <w:r>
        <w:rPr>
          <w:rFonts w:hint="eastAsia" w:ascii="方正仿宋简体" w:hAnsi="方正仿宋简体" w:eastAsia="方正仿宋简体" w:cs="方正仿宋简体"/>
          <w:b w:val="0"/>
          <w:bCs w:val="0"/>
          <w:color w:val="auto"/>
          <w:sz w:val="24"/>
          <w:szCs w:val="24"/>
          <w:highlight w:val="none"/>
          <w:lang w:val="en-US" w:eastAsia="zh-CN"/>
        </w:rPr>
        <w:t>作如下</w:t>
      </w:r>
      <w:r>
        <w:rPr>
          <w:rFonts w:hint="eastAsia" w:ascii="方正仿宋简体" w:hAnsi="方正仿宋简体" w:eastAsia="方正仿宋简体" w:cs="方正仿宋简体"/>
          <w:b w:val="0"/>
          <w:bCs w:val="0"/>
          <w:color w:val="auto"/>
          <w:sz w:val="24"/>
          <w:szCs w:val="24"/>
          <w:lang w:val="en-US" w:eastAsia="zh-CN"/>
        </w:rPr>
        <w:t>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一、开展相对集中行政处罚权工作的指导思想</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（一）要以 “三个代表 ”重要思想为指导，做好相对集中行政处罚权工作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三个代表”重要思想，是对马克思列宁主义、毛泽东思想、邓小平理论的新的发展，是新时期党的建设的指导方针，也是全面推进建设有中国特色社会主义伟大事业的行动指南。全面贯彻“三个代表”重要思想，关键在坚持与时俱进，核心在保持党的先进性，本质在坚持执政为民。行政处罚法确立相对集中行政处罚权制度的目的，是要解决多头执法、职责交叉、重复处罚、执法扰民和行政执法机构膨胀等问题，深化行政管理体制改革，探索建立与社会主义市场经济体制相适应的</w:t>
      </w:r>
      <w:r>
        <w:rPr>
          <w:rFonts w:hint="eastAsia" w:ascii="方正仿宋简体" w:hAnsi="方正仿宋简体" w:eastAsia="方正仿宋简体" w:cs="方正仿宋简体"/>
          <w:b w:val="0"/>
          <w:bCs w:val="0"/>
          <w:color w:val="auto"/>
          <w:sz w:val="24"/>
          <w:szCs w:val="24"/>
          <w:highlight w:val="none"/>
          <w:lang w:val="en-US" w:eastAsia="zh-CN"/>
        </w:rPr>
        <w:t>行政管理体制</w:t>
      </w:r>
      <w:r>
        <w:rPr>
          <w:rFonts w:hint="eastAsia" w:ascii="方正仿宋简体" w:hAnsi="方正仿宋简体" w:eastAsia="方正仿宋简体" w:cs="方正仿宋简体"/>
          <w:b w:val="0"/>
          <w:bCs w:val="0"/>
          <w:color w:val="auto"/>
          <w:sz w:val="24"/>
          <w:szCs w:val="24"/>
          <w:lang w:val="en-US" w:eastAsia="zh-CN"/>
        </w:rPr>
        <w:t>和行政执法机制，提高行政执法的效率和水平，保护公民、法人和其他组织的合法权益，保障和促进社会生产力的发展。要以“三个代表”重要思想为指导，做好相对集中行政处罚权工作。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各地区、各部门要从讲政治、讲大局的高度，按照“三个代表”重要思想的要求，进一步提高对做好相对集中行政处罚权工作重要性的认识，认真贯彻执行行政处罚法和国务院有关文件，研究解决相对集中行政处罚权工作中存在的问题，认真做好这项涉及广大人民群众切身利益的工作。</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（二）严格依照行政处罚法的规定，开展相对集中行政处罚权工作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相对集中行政处罚权是行政处罚法确立的一项重要制度。各省、自治区、直辖市人民政府开展相对集中行政处罚权工作，要严格执行行政处罚法的各项规定，保证全面、正确地实施行政处罚法，促进政府和政府各部门严格依法行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开展相对集中行政处罚权工作，要结合实施行政处罚法规定的行政处罚设定权制度、行政处罚主体资格制度、听证制度、罚款决定与罚款收缴相分离制度、政府对行政处罚的监督制度等，进一步规范行政执法行为，提高依法办事的能力和水平。</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（三）把开展相对集中行政处罚权工作与继续深化行政管理体制改革有机地结合起来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相对集中行政处罚权是深化行政管理体制改革的重要途径之一，最终目的是要建立符合社会主义市场经济发展要求的行政执法体制。必须把开展相对集中行政处罚权工作同继续深化行政管理体制改革紧密结合。要精简机构、精简人员，按照社会主义市场经济规律，进一步转变政府职能。要按照权力和利益彻底脱钩、权力和责任密切挂钩的原则，调整市、区政府有关执法部门的职责权限，明确划分有关部门之间的职能分工，推行行政执法责任制、评议考核制，防止政出多门、多头执法、执法扰民。</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二、相对集中行政处罚权的范围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实行相对集中行政处罚权的领域，是多头执法、职责交叉、重复处罚、执法扰民等问题比较突出，严重影响执法效率和政府形象的领域，目前主要是城市管理领域。根据试点工作的经验，省、自治区、直辖市人民政府在城市管理领域可以集中行政处罚权的范围，主要包括：市容环境卫生管理方面法律、法规、规章规定的行政处罚权，强制拆除不符合城市容貌标准、环境卫生标准的建筑物或者设施；城市规划管理方面法律、法规、规章规定的全部或者部分行政处罚权；城市绿化管理方面法律、法规、规章规定的行政处罚权；市政管理方面法律、法规、规章规定的行政处罚权；环境保护管理方面法律、法规、规章规定的部分行政处罚权；工商行政管理方面法律、法规、规章规定</w:t>
      </w:r>
      <w:r>
        <w:rPr>
          <w:rFonts w:hint="eastAsia" w:ascii="方正仿宋简体" w:hAnsi="方正仿宋简体" w:eastAsia="方正仿宋简体" w:cs="方正仿宋简体"/>
          <w:b w:val="0"/>
          <w:bCs w:val="0"/>
          <w:color w:val="auto"/>
          <w:sz w:val="24"/>
          <w:szCs w:val="24"/>
          <w:highlight w:val="none"/>
          <w:lang w:val="en-US" w:eastAsia="zh-CN"/>
        </w:rPr>
        <w:t>的对</w:t>
      </w:r>
      <w:r>
        <w:rPr>
          <w:rFonts w:hint="eastAsia" w:ascii="方正仿宋简体" w:hAnsi="方正仿宋简体" w:eastAsia="方正仿宋简体" w:cs="方正仿宋简体"/>
          <w:b w:val="0"/>
          <w:bCs w:val="0"/>
          <w:color w:val="auto"/>
          <w:sz w:val="24"/>
          <w:szCs w:val="24"/>
          <w:lang w:val="en-US" w:eastAsia="zh-CN"/>
        </w:rPr>
        <w:t>无照商贩的行政处罚权；公安交通管理方面法律、法规、规章规定</w:t>
      </w:r>
      <w:r>
        <w:rPr>
          <w:rFonts w:hint="eastAsia" w:ascii="方正仿宋简体" w:hAnsi="方正仿宋简体" w:eastAsia="方正仿宋简体" w:cs="方正仿宋简体"/>
          <w:b w:val="0"/>
          <w:bCs w:val="0"/>
          <w:color w:val="auto"/>
          <w:sz w:val="24"/>
          <w:szCs w:val="24"/>
          <w:highlight w:val="none"/>
          <w:lang w:val="en-US" w:eastAsia="zh-CN"/>
        </w:rPr>
        <w:t>的对</w:t>
      </w:r>
      <w:r>
        <w:rPr>
          <w:rFonts w:hint="eastAsia" w:ascii="方正仿宋简体" w:hAnsi="方正仿宋简体" w:eastAsia="方正仿宋简体" w:cs="方正仿宋简体"/>
          <w:b w:val="0"/>
          <w:bCs w:val="0"/>
          <w:color w:val="auto"/>
          <w:sz w:val="24"/>
          <w:szCs w:val="24"/>
          <w:lang w:val="en-US" w:eastAsia="zh-CN"/>
        </w:rPr>
        <w:t>侵占城市道路行为的行政处罚权；省、自治区、直辖市人民政府决定调整的城市管理领域的其他行政处罚权。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需要在城市管理领域以外的其他行政管理领域相对集中行政处罚权的，省、自治区、直辖市人民政府依照行政处罚法第十六条的规定，也可以决定在有条件的地方开展这项工作。</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对省、自治区、直辖市人民政府决定依法开展的相对集中行政处罚权工作，国务院有关业务主管部门和省、自治区、直辖市人民政府有关业务主管部门都要按照《中共中央办公厅国务院办公厅关于市县乡人员编制精简的意见》</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中办发〔2000〕30号</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和国务院有关文件的要求，切实予以支持，不得以任何借口进行干预、阻挠。</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三、进一步做好相对集中行政处罚权工作的要求</w:t>
      </w:r>
    </w:p>
    <w:p>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4"/>
          <w:lang w:val="en-US" w:eastAsia="zh-CN"/>
        </w:rPr>
      </w:pPr>
      <w:r>
        <w:rPr>
          <w:rFonts w:hint="eastAsia"/>
          <w:sz w:val="24"/>
          <w:szCs w:val="24"/>
          <w:lang w:val="en-US" w:eastAsia="zh-CN"/>
        </w:rPr>
        <w:t>（一）加强相对集中行政处罚权制度的宣传</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行政处罚法确立的相对集中行政处罚权制度，与行政机关关系重大，对行政管理体制改革和政府职能转变以及政府法制建设影响深远。各省、自治区、直辖市人民政府要按照本决定的要求，广泛、深入地宣传与相对集中行政处罚权工作有关的法律法规、方针政策、程序步骤，做到阶段性宣传和经常性宣传相结合，正面宣传和典型教育相结合，一般性宣传和疑难问题解答相结合，把思想认识真正统一到行政处罚法上来，统一到党和国家的有关方针政策上来，保证相对集中行政处罚权工作健康、有序进行。</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各地区、各部门要加强宣传相对集中行政处罚权制度，各有关行政执法机关和执法人员要充分认识开展相对集中行政处罚权工作的重要性，熟悉相对集中行政处罚权制度和开展相对集中行政处罚权工作的原则、要求，特别要教育和督促被集中行政处罚权的有关部门增强政治意识、大局意识和责任意识，积极支持相对集中行政处罚权工作。</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（二）抓紧建立省、自治区、直辖市人民政府决定开展相对集中行政处罚权工作的具体程序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相对集中行政处罚权工作涉及有关部门行政处罚职权的调整和重新配置，各省、自治区、直辖市人民政府要抓紧建立决定开展相对集中行政处罚权工作的具体程序。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省、自治区的有关城市人民政府在开展相对集中行政处罚权工作前，要深入研究本地区特定领域行政执法中的情况和问题，广泛听取各方面意见和建议，依法提出调整行政处罚权的具体方案</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其中有关机构、编制方面的事宜，由编制部门按照国家有关法规的规定和程序办理</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相对集中行政处罚权工作方案必须由本级人民政府常务会议讨论决定，并形成会议纪要，以政府名义上报所在的省、自治区人民政府审批。有关城市政府法制工作机构要按照《国务院办公厅关于继续做好相对集中行政处罚权试点工作的通知》</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国办发〔2000〕63号</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的要求，发挥在法制工作方面的参谋和助手作用，协助本级人民政府依法积极稳妥地做好相对集中行政处罚权工作。省、自治区人民政府对有关城市人民政府报送的相对集中行政处罚权工作方案，要依照行政处罚法和本决定以及国务院其他有关文件的规定严格审查，对借机增设机构、增加行政编制或者有其他不符合规定情形的，一律不予批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直辖市人民政府决定开展相对集中行政处罚权工作，参照上述规定办理。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经省、自治区、直辖市人民政府批准的相对集中行政处罚权工作方案，自批准之日起30日内，由省、自治区、直辖市人民政府报送国务院法制办公室备案。</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（三）总结经验，不断完善开展相对集中行政处罚权工作的配套制度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省、自治区、直辖市人民政府开展相对集中行政处罚权工作，要注意总结本地区实行相对集中行政处罚权制度的经验，加强配套制度建设，巩固行政管理体制改革的成果。省、自治区、直辖市和有立法权的其他地方政府，可以按照规定程序适时制定地方政府规章；没有立法权的地方政府根据需要可以制定规范性文件。要通过各层次的配套制度建设，明确集中行使行政处罚权的行政机关与其他有关部门之间的职责权限，完善集中行使行政处罚权的行政机关与其他有关部门之间的协调配合机制。要结合相对集中行使行政处罚权的实践，推进电子政务的制度建设，实现集中行使行政处罚权的行政机关与有关部门之间行政管理信息的互通与共享，促进行政执法手段的现代化。</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要明确市、区两级集中行使行政处罚权的行政机关的职能和责任，探索同一系统上下级部门之间合理分工、协调运作的新机制，解决目前行政执法中同一件事多头管理和各级执法部门职权大体相同，多层执法、重复管理问题。要按照行政职能配置科学化的要求，从制度上重新配置上下级部门职能，原则上层级较高的部门主要侧重于政策研究、监督指导和重大执法活动的协调，具体的执法活动主要由基层执法队伍承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在开展相对集中行政处罚权工作的同时，有关地方人民政府对原由有关行政机关行使的管理权，要根据需要进行调整和重新配置，防止职责重叠、权力交叉，实现政企分开、政事分开；对有关行政机关行使的审批权，要按照国务院行政审批制度改革的要求，该取消的要坚决取消，该归并的要坚决归并，以方便基层、方便群众。要理顺行政机关与专业服务组织的关系，对于目前行政机关内设或者下设的各类技术检测、检验、检疫机构，要创造条件将这类机构从有关行政机关中逐步剥离出来，面向社会广泛提供技术服务，成为依法独立从事技术检测、检验、检疫活动，并对其技术结论独立承担法律责任的专业服务组织。</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（四）加强行政执法队伍建设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各省、自治区、直辖市人民政府要按照《国务院办公厅关于继续做好相对集中行政处罚权试点工作的通知》的规定，规范集中行使行政处罚权的行政机关的设置，不得将集中行使行政处罚权的行政机关作为政府一个部门的内设机构或者下设机构，也不得将某个部门的上级业务主管部门确定为集中行使行政处罚权的行政机关的上级主管部门。集中行使行政处罚权的行政机关应作为本级政府直接领导的一个独立的行政执法部门，依法独立履行规定的职权，并承担相应的法律责任。行政处罚权相对集中后，有关部门如果仍然行使已被调整出的行政处罚权，所作出的行政处罚决定一律无效，还要依法追究该部门直接负责的主管人员和其他直接责任人员的法律责任。集中行使行政处罚权的行政机关所需经费，一律由财政予以保障，所有收费、罚没收入全部上缴财政，不得作为经费来源。对以暴力、威胁方法阻碍集中行使行政处罚权的执法人员依法执行职务的行为，公安机关要及时依法作出处理，直至依法追究刑事责任，不得作为民事纠纷进行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集中行使行政处罚权的行政机关履行原由多个部门行使的职权，权力大，责任重，必须加强队伍建设，加强监督管理。集中行使行政处罚权的行政机关的执法人员，要按照《国家公务员暂行条例》和其他有关规定，采取考试、考核等办法从有关部门和社会符合条件的人员中择优录用。有关地方人民政府要采取有效措施，加强对集中行使行政处罚权的行政机关的领导和管理，推行执法责任制和评议考核制，强化对有关行政执法人员的政治教育和法律培训，努力提高依法行政水平。要健全对集中行使行政处罚权的行政机关以及执法人员的检查监督机制和纪律约束制度，教育、督促集中行使行政处罚权的行政机关自觉接受权力机关的监督、人民法院的司法监督以及行政机关的层级监督。对集中行使行政处罚权的行政机关作出的具体行政行为不服提出的行政复议申请，由本级人民政府依法受理；上一级人民政府设立集中行使行政处罚权的行政机关的，申请人也可以选择向上一级人民政府设立</w:t>
      </w:r>
      <w:r>
        <w:rPr>
          <w:rFonts w:hint="eastAsia" w:ascii="方正仿宋简体" w:hAnsi="方正仿宋简体" w:eastAsia="方正仿宋简体" w:cs="方正仿宋简体"/>
          <w:b w:val="0"/>
          <w:bCs w:val="0"/>
          <w:color w:val="auto"/>
          <w:sz w:val="24"/>
          <w:szCs w:val="24"/>
          <w:highlight w:val="none"/>
          <w:lang w:val="en-US" w:eastAsia="zh-CN"/>
        </w:rPr>
        <w:t>的集中</w:t>
      </w:r>
      <w:r>
        <w:rPr>
          <w:rFonts w:hint="eastAsia" w:ascii="方正仿宋简体" w:hAnsi="方正仿宋简体" w:eastAsia="方正仿宋简体" w:cs="方正仿宋简体"/>
          <w:b w:val="0"/>
          <w:bCs w:val="0"/>
          <w:color w:val="auto"/>
          <w:sz w:val="24"/>
          <w:szCs w:val="24"/>
          <w:lang w:val="en-US" w:eastAsia="zh-CN"/>
        </w:rPr>
        <w:t>行使行政处罚权的行政机关提出行政复议申请，由该行政机关依法受理。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各级行政执法机关和执法人员要高度重视作风建设，按照党的十五届六中全会的精神，切实加强和改进执法作风，确保严格执法、秉公执法、文明执法。</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（五）切实加强对相对集中行政处罚权工作的组织领导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 xml:space="preserve"> 相对集中行政处罚权，必然要求对有关部门的行政处罚权进行重新配置，涉及现行</w:t>
      </w:r>
      <w:r>
        <w:rPr>
          <w:rFonts w:hint="eastAsia" w:ascii="方正仿宋简体" w:hAnsi="方正仿宋简体" w:eastAsia="方正仿宋简体" w:cs="方正仿宋简体"/>
          <w:b w:val="0"/>
          <w:bCs w:val="0"/>
          <w:color w:val="auto"/>
          <w:sz w:val="24"/>
          <w:szCs w:val="24"/>
          <w:highlight w:val="none"/>
          <w:lang w:val="en-US" w:eastAsia="zh-CN"/>
        </w:rPr>
        <w:t>行政管理体制</w:t>
      </w:r>
      <w:r>
        <w:rPr>
          <w:rFonts w:hint="eastAsia" w:ascii="方正仿宋简体" w:hAnsi="方正仿宋简体" w:eastAsia="方正仿宋简体" w:cs="方正仿宋简体"/>
          <w:b w:val="0"/>
          <w:bCs w:val="0"/>
          <w:color w:val="auto"/>
          <w:sz w:val="24"/>
          <w:szCs w:val="24"/>
          <w:lang w:val="en-US" w:eastAsia="zh-CN"/>
        </w:rPr>
        <w:t>的改革。从试点工作的情况看，多数部门对相对集中行政处罚权制度认识明确，积极支持。但是有的部门原则上赞成相对集中行政处罚权，到涉及本部门的职权调整时就以种种理由表示反对；有的部门对集中行使行政处罚权的行政机关的执法活动不支持、不配合，甚至设置障碍，这是不符合行政处罚法规定和国务院文件要求的。各省、自治区、直辖市人民政府都要切实负起责任，加强对相对集中行政处罚权工作的领导，主要领导同志要亲自抓，把这项工作列入重要议事日程。各省、自治区、直辖市人民政府法制工作机构要按照国务院关于贯彻实施《中华人民共和国行政处罚法》的通知</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国发〔1996〕13号</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和《国务院办公厅关于继续做好相对集中行政处罚权试点工作的通知》 的规定，继续加强对相对集中行政处罚权工作的协调和监督，密切关注开展相对集中行政处罚权工作的情况和问题，及时研究提出依法解决问题的意见和建议，协助本级人民政府做好相关工作，保证相对集中行政处罚权制度的顺利实施。国务院法制办公室要按照本决定的要求，加强对各省、自治区、直辖市开展相对集中行政处罚权工作的指导和监督，进一步加强和完善相对集中行政处罚权的制度建设，积极推进</w:t>
      </w:r>
      <w:r>
        <w:rPr>
          <w:rFonts w:hint="eastAsia" w:ascii="方正仿宋简体" w:hAnsi="方正仿宋简体" w:eastAsia="方正仿宋简体" w:cs="方正仿宋简体"/>
          <w:b w:val="0"/>
          <w:bCs w:val="0"/>
          <w:color w:val="auto"/>
          <w:sz w:val="24"/>
          <w:szCs w:val="24"/>
          <w:highlight w:val="none"/>
          <w:lang w:val="en-US" w:eastAsia="zh-CN"/>
        </w:rPr>
        <w:t>行政管理体制</w:t>
      </w:r>
      <w:r>
        <w:rPr>
          <w:rFonts w:hint="eastAsia" w:ascii="方正仿宋简体" w:hAnsi="方正仿宋简体" w:eastAsia="方正仿宋简体" w:cs="方正仿宋简体"/>
          <w:b w:val="0"/>
          <w:bCs w:val="0"/>
          <w:color w:val="auto"/>
          <w:sz w:val="24"/>
          <w:szCs w:val="24"/>
          <w:lang w:val="en-US" w:eastAsia="zh-CN"/>
        </w:rPr>
        <w:t>的改革。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各地区、各部门要按照本决定的规定，结合本地区、本部门的实际情况，认真研究、落实。有关开展相对集中行政处罚权工作的重要情况和问题，请及时报告国务院法制办公室，由国务院法制办公室汇总向国务院报告。</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r>
        <w:rPr>
          <w:rFonts w:hint="eastAsia" w:ascii="方正仿宋简体" w:hAnsi="方正仿宋简体" w:eastAsia="方正仿宋简体" w:cs="方正仿宋简体"/>
          <w:b w:val="0"/>
          <w:bCs w:val="0"/>
          <w:color w:val="auto"/>
          <w:sz w:val="32"/>
          <w:szCs w:val="32"/>
          <w:lang w:val="en-US" w:eastAsia="zh-CN"/>
        </w:rPr>
        <w:t xml:space="preserve"> </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pStyle w:val="2"/>
        <w:bidi w:val="0"/>
        <w:rPr>
          <w:rFonts w:hint="eastAsia"/>
          <w:lang w:val="en-US" w:eastAsia="zh-CN"/>
        </w:rPr>
      </w:pPr>
      <w:r>
        <w:rPr>
          <w:rFonts w:hint="eastAsia"/>
          <w:lang w:val="en-US" w:eastAsia="zh-CN"/>
        </w:rPr>
        <w:t>国务院办公厅关于全面推行</w:t>
      </w:r>
    </w:p>
    <w:p>
      <w:pPr>
        <w:pStyle w:val="2"/>
        <w:bidi w:val="0"/>
        <w:rPr>
          <w:rFonts w:hint="eastAsia"/>
          <w:lang w:val="en-US" w:eastAsia="zh-CN"/>
        </w:rPr>
      </w:pPr>
      <w:r>
        <w:rPr>
          <w:rFonts w:hint="eastAsia"/>
          <w:lang w:val="en-US" w:eastAsia="zh-CN"/>
        </w:rPr>
        <w:t>行政执法公示制度执法全过程记录制度</w:t>
      </w:r>
    </w:p>
    <w:p>
      <w:pPr>
        <w:pStyle w:val="2"/>
        <w:bidi w:val="0"/>
        <w:rPr>
          <w:rFonts w:hint="eastAsia"/>
          <w:lang w:val="en-US" w:eastAsia="zh-CN"/>
        </w:rPr>
      </w:pPr>
      <w:r>
        <w:rPr>
          <w:rFonts w:hint="eastAsia"/>
          <w:lang w:val="en-US" w:eastAsia="zh-CN"/>
        </w:rPr>
        <w:t>重大执法决定法制审核制度的指导意见</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(2018年12月5日  国办发〔2018〕118号)</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是行政机关履行政府职能、管理经济社会事务的重要方式。近年来，各地区、各部门不断加强行政执法规范化建设，执法能力和水平有了较大提高，但执法中不严格、不规范、不文明、不透明等问题仍然较为突出，损害人民群众利益和政府公信力。《中共中央关于全面推进依法治国若干重大问题的决定》和《法治政府建设实施纲要（2015—2020年）》对全面推行行政执法公示制度、执法全过程记录制度、重大执法决定法制审核制度（以下统称“三项制度”）作出了具体部署、提出了明确要求。聚焦行政执法的源头、过程、结果等关键环节，全面推行“三项制度”，对促进严格规范公正文明执法具有基础性、整体性、突破性作用，对切实保障人民群众合法权益，维护政府公信力，营造更加公开透明、规范有序、公平高效的法治环境具有重要意义。为指导各地区、各部门全面推行“三项制度”，经党中央、国务院同意，现提出如下意见。</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一、总体要求</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（一）指导思想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以习近平新时代中国特色社会主义思想为指导，全面贯彻党的十九大和十九届二中、三中全会精神，着力推进行政执法透明、规范、合法、公正，不断健全执法制度、完善执法程序、创新执法方式、加强执法监督，全面提高执法效能，推动形成权责统一、权威高效的行政执法体系和职责明确、依法行政的政府治理体系，确保行政机关依法履行法定职责，切实维护人民群众合法权益，为落实全面依法治国基本方略、推进法治政府建设奠定坚实基础。</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（二）基本原则</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坚持依法规范。全面履行法定职责，规范办事流程，明确岗位责任，确保法律法规规章严格实施，保障公民、法人和其他组织依法行使权利，不得违法增加办事的条件、环节等负担，防止执法不作为、乱作为。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坚持执法为民。牢固树立以人民为中心的发展思想，贴近群众、服务群众，方便群众及时获取执法信息、便捷办理各种手续、有效监督执法活动，防止执法扰民、执法不公。</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坚持务实高效。聚焦基层执法实践需要，着力解决实际问题，注重措施的有效性和针对性，便于执法人员操作，切实提高执法效率，防止程序繁琐、不切实际。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坚持改革创新。在确保统一、规范的基础上，鼓励、支持、指导各地区、各部门因地制宜、更新理念、大胆实践，不断探索创新工作机制，</w:t>
      </w:r>
      <w:r>
        <w:rPr>
          <w:rFonts w:hint="eastAsia" w:ascii="方正仿宋简体" w:hAnsi="方正仿宋简体" w:eastAsia="方正仿宋简体" w:cs="方正仿宋简体"/>
          <w:b w:val="0"/>
          <w:bCs w:val="0"/>
          <w:color w:val="auto"/>
          <w:sz w:val="24"/>
          <w:szCs w:val="24"/>
          <w:highlight w:val="none"/>
          <w:lang w:val="en-US" w:eastAsia="zh-CN"/>
        </w:rPr>
        <w:t>更好服务</w:t>
      </w:r>
      <w:r>
        <w:rPr>
          <w:rFonts w:hint="eastAsia" w:ascii="方正仿宋简体" w:hAnsi="方正仿宋简体" w:eastAsia="方正仿宋简体" w:cs="方正仿宋简体"/>
          <w:b w:val="0"/>
          <w:bCs w:val="0"/>
          <w:color w:val="auto"/>
          <w:sz w:val="24"/>
          <w:szCs w:val="24"/>
          <w:lang w:val="en-US" w:eastAsia="zh-CN"/>
        </w:rPr>
        <w:t>保障经济社会发展，防止因循守旧、照搬照抄。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坚持统筹协调。统筹推进行政执法各项制度建设，加强资源整合、信息共享，做到各项制度有机衔接、高度融合，防止各行其是、重复建设。</w:t>
      </w:r>
    </w:p>
    <w:p>
      <w:pPr>
        <w:pStyle w:val="4"/>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（三）工作目标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项制度”在各级行政执法机关全面推行，行政处罚、行政强制、行政检查、行政征收征用、行政许可等行为得到有效规范，行政执法公示制度机制不断健全，做到执法行为过程信息全程记载、执法全过程可回溯管理、重大执法决定法制审核全覆盖，全面实现执法信息公开透明、执法全过程留痕、执法决定合法有效，行政执法能力和水平整体大幅提升，行政执法行为被纠错率明显下降，行政执法的社会满意度显著提高。</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二、全面推行行政执法公示制度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公示是保障行政相对人和社会公众知情权、参与权、表达权、监督权的重要措施。行政执法机关要按照“谁执法谁公示”的原则，明确公示内容的采集、传递、审核、发布职责，规范信息公示内容的标准、格式。建立统一的执法信息公示平台，及时通过政府网站及政务新媒体、办事大厅公示栏、服务窗口等平台向社会公开行政执法基本信息、结果信息。涉及国家秘密、商业秘密、个人隐私等不宜公开的信息，依法确需公开的，要作适当处理后公开。发现公开的行政执法信息不准确的，要及时予以更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（四）强化事前公开。</w:t>
      </w:r>
      <w:r>
        <w:rPr>
          <w:rFonts w:hint="eastAsia" w:ascii="方正仿宋简体" w:hAnsi="方正仿宋简体" w:eastAsia="方正仿宋简体" w:cs="方正仿宋简体"/>
          <w:b w:val="0"/>
          <w:bCs w:val="0"/>
          <w:color w:val="auto"/>
          <w:sz w:val="24"/>
          <w:szCs w:val="24"/>
          <w:lang w:val="en-US" w:eastAsia="zh-CN"/>
        </w:rPr>
        <w:t>行政执法机关要统筹推进行政执法事前公开与政府信息公开、权责清单公布、“双随机、一公开”监管等工作。全面准确及时主动公开行政执法主体、人员、职责、权限、依据、程序、救济渠道和随机抽查事项清单等信息。根据有关法律法规，结合自身职权职责，编制并公开本机关的服务指南、执法流程图，明确执法事项名称、受理机构、审批机构、受理条件、办理时限等内容。公开的信息要简明扼要、通俗易懂，并及时根据法律法规及机构职能变化情况进行动态调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（五）规范事中公示。</w:t>
      </w:r>
      <w:r>
        <w:rPr>
          <w:rFonts w:hint="eastAsia" w:ascii="方正仿宋简体" w:hAnsi="方正仿宋简体" w:eastAsia="方正仿宋简体" w:cs="方正仿宋简体"/>
          <w:b w:val="0"/>
          <w:bCs w:val="0"/>
          <w:color w:val="auto"/>
          <w:sz w:val="24"/>
          <w:szCs w:val="24"/>
          <w:lang w:val="en-US" w:eastAsia="zh-CN"/>
        </w:rPr>
        <w:t>行政执法人员在进行监督检查、调查取证、采取强制措施和强制执行、送达执法文书等执法活动时，必须主动出示执法证件，向当事人和相关人员表明身份，鼓励采取佩戴执法证件的方式，执法全程公示执法身份；要出具行政执法文书，主动告知当事人执法事由、执法依据、权利义务等内容。国家规定统一着执法服装、佩戴执法标识的，执法时要按规定着装、佩戴标识。政务服务窗口要设置岗位信息公示牌，明示工作人员岗位职责、申请材料示范文本、办理进度查询、咨询服务、投诉举报等信息。</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（六）加强事后公开。</w:t>
      </w:r>
      <w:r>
        <w:rPr>
          <w:rFonts w:hint="eastAsia" w:ascii="方正仿宋简体" w:hAnsi="方正仿宋简体" w:eastAsia="方正仿宋简体" w:cs="方正仿宋简体"/>
          <w:b w:val="0"/>
          <w:bCs w:val="0"/>
          <w:color w:val="auto"/>
          <w:sz w:val="24"/>
          <w:szCs w:val="24"/>
          <w:lang w:val="en-US" w:eastAsia="zh-CN"/>
        </w:rPr>
        <w:t>行政执法机关要在执法决定作出之日起20个工作日内，向社会公布执法机关、执法对象、执法类别、执法结论等信息，接受社会监督，行政许可、行政处罚的执法决定信息要在执法决定作出之日起7个工作日内公开，但法律、行政法规另有规定的除外。建立健全执法决定信息公开发布、撤销和更新机制。已公开的行政执法决定被依法撤销、确认违法或者要求重新作出的，应当及时从信息公示平台撤下原行政执法决定信息。建立行政执法统计年报制度，地方各级行政执法机关应当于每年1月31日前公开本机关上年度行政执法总体情况有关数据，并报本级人民政府和上级主管部门。</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三、全面推行执法全过程记录制度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全过程记录是行政执法活动合法有效的重要保证。行政执法机关要通过文字、音像等记录形式，对行政执法的启动、调查取证、审核决定、送达执行等全部过程进行记录，并全面系统归档保存，做到执法全过程留痕和可回溯管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（七）完善文字记录。</w:t>
      </w:r>
      <w:r>
        <w:rPr>
          <w:rFonts w:hint="eastAsia" w:ascii="方正仿宋简体" w:hAnsi="方正仿宋简体" w:eastAsia="方正仿宋简体" w:cs="方正仿宋简体"/>
          <w:b w:val="0"/>
          <w:bCs w:val="0"/>
          <w:color w:val="auto"/>
          <w:sz w:val="24"/>
          <w:szCs w:val="24"/>
          <w:lang w:val="en-US" w:eastAsia="zh-CN"/>
        </w:rPr>
        <w:t>文字记录是以纸质文件或电子文件形式对行政执法活动进行全过程记录的方式。要研究制定执法规范用语和执法文书制作指引，规范行政执法的重要事项和关键环节，做到文字记录合法规范、客观全面、及时准确。司法部负责制定统一的行政执法文书基本格式标准，国务院有关部门可以参照该标准，结合本部门执法实际，制定本部门、本系统统一适用的行政执法文书格式文本。地方各级人民政府可以在行政执法文书基本格式标准基础上，参考国务院部门行政执法文书格式，结合本地实际，完善有关文书格式。</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（八）规范音像记录。</w:t>
      </w:r>
      <w:r>
        <w:rPr>
          <w:rFonts w:hint="eastAsia" w:ascii="方正仿宋简体" w:hAnsi="方正仿宋简体" w:eastAsia="方正仿宋简体" w:cs="方正仿宋简体"/>
          <w:b w:val="0"/>
          <w:bCs w:val="0"/>
          <w:color w:val="auto"/>
          <w:sz w:val="24"/>
          <w:szCs w:val="24"/>
          <w:lang w:val="en-US" w:eastAsia="zh-CN"/>
        </w:rPr>
        <w:t>音像记录是通过照相机、录音机、摄像机、执法记录仪、视频监控等记录设备，实时对行政执法过程进行记录的方式。各级行政执法机关要根据行政执法行为的不同类别、阶段、环节，采用相应音像记录形式，充分发挥音像记录直观有力的证据作用、规范执法的监督作用、依法履职的保障作用。要做好音像记录与文字记录的衔接工作，充分考虑音像记录方式的必要性、适当性和实效性，对文字记录能够全面有效记录执法行为的，可以不进行音像记录；对查封扣押财产、强制拆除等直接涉及人身自由、生命健康、重大财产权益的现场执法活动和执法办案场所，要推行全程音像记录；对现场执法、调查取证、举行听证、留置送达和公告送达等容易引发争议的行政执法过程，要根据实际情况进行音像记录。要建立健全执法音像记录管理制度，明确执法音像记录的设备配备、使用规范、记录要素、存储应用、监督管理等要求。研究制定执法行为用语指引，指导执法人员规范文明开展音像记录。配备音像记录设备、建设询问室和听证室等音像记录场所，要按照工作必需、厉行节约、性能适度、安全稳定、适量够用的原则，结合本地区经济发展水平和本部门执法具体情况确定，不搞“一刀切”。</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（九）严格记录归档。</w:t>
      </w:r>
      <w:r>
        <w:rPr>
          <w:rFonts w:hint="eastAsia" w:ascii="方正仿宋简体" w:hAnsi="方正仿宋简体" w:eastAsia="方正仿宋简体" w:cs="方正仿宋简体"/>
          <w:b w:val="0"/>
          <w:bCs w:val="0"/>
          <w:color w:val="auto"/>
          <w:sz w:val="24"/>
          <w:szCs w:val="24"/>
          <w:lang w:val="en-US" w:eastAsia="zh-CN"/>
        </w:rPr>
        <w:t>要完善执法案卷管理制度，加强对执法台账和法律文书的制作、使用、管理，按照有关法律法规和档案管理规定归档保存执法全过程记录资料，确保所有行政执法行为有据可查。对涉及国家秘密、商业秘密、个人隐私的记录资料，归档时要严格执行国家有关规定。积极探索成本低、效果好、易保存、防删改的信息化记录储存方式，通过技术手段对同一执法对象的文字记录、音像记录进行集中储存。建立健全基于互联网、电子认证、电子签章的行政执法全过程数据化记录工作机制，形成业务流程清晰、数据链条完整、数据安全有保障的数字化记录信息归档管理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（十）发挥记录作用。</w:t>
      </w:r>
      <w:r>
        <w:rPr>
          <w:rFonts w:hint="eastAsia" w:ascii="方正仿宋简体" w:hAnsi="方正仿宋简体" w:eastAsia="方正仿宋简体" w:cs="方正仿宋简体"/>
          <w:b w:val="0"/>
          <w:bCs w:val="0"/>
          <w:color w:val="auto"/>
          <w:sz w:val="24"/>
          <w:szCs w:val="24"/>
          <w:lang w:val="en-US" w:eastAsia="zh-CN"/>
        </w:rPr>
        <w:t>要充分发挥全过程记录信息对案卷评查、执法监督、评议考核、舆情应对、行政决策和健全社会信用体系等工作的积极作用，善于通过统计分析记录资料信息，发现行政执法薄弱环节，改进行政执法工作，依法公正维护执法人员和行政相对人的合法权益。建立健全记录信息调阅监督制度，做到可实时调阅，切实加强监督，确保行政执法文字记录、音像记录规范、合法、有效。</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四、全面推行重大执法决定法制审核制度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重大执法决定法制审核是确保行政执法机关作出的重大执法决定合法有效的关键环节。行政执法机关作出重大执法决定前，要严格进行法制审核，未经法制审核或者审核未通过的，不得作出决定。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（十一）明确审核机构。</w:t>
      </w:r>
      <w:r>
        <w:rPr>
          <w:rFonts w:hint="eastAsia" w:ascii="方正仿宋简体" w:hAnsi="方正仿宋简体" w:eastAsia="方正仿宋简体" w:cs="方正仿宋简体"/>
          <w:b w:val="0"/>
          <w:bCs w:val="0"/>
          <w:color w:val="auto"/>
          <w:sz w:val="24"/>
          <w:szCs w:val="24"/>
          <w:lang w:val="en-US" w:eastAsia="zh-CN"/>
        </w:rPr>
        <w:t>各级行政执法机关要明确具体负责本单位重大执法决定法制审核的工作机构，确保法制审核工作有机构承担、有专人负责。加强法制审核队伍的正规化、专业化、职业化建设，把政治素质高、业务能力强、具有法律专业背景的人员调整充实到法制审核岗位，配强工作力量，使法制审核人员的配置与形势任务相适应，原则上各级行政执法机关的法制审核人员不少于本单位执法人员总数的5%。要充分发挥法律顾问、公职律师在法制审核工作中的作用，特别是针对基层存在的法制审核专业人员数量不足、分布不均等问题，探索建立健全本系统内法律顾问、公职律师统筹调用机制，实现法律专业人才资源共享。</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（十二）明确审核范围。</w:t>
      </w:r>
      <w:r>
        <w:rPr>
          <w:rFonts w:hint="eastAsia" w:ascii="方正仿宋简体" w:hAnsi="方正仿宋简体" w:eastAsia="方正仿宋简体" w:cs="方正仿宋简体"/>
          <w:b w:val="0"/>
          <w:bCs w:val="0"/>
          <w:color w:val="auto"/>
          <w:sz w:val="24"/>
          <w:szCs w:val="24"/>
          <w:lang w:val="en-US" w:eastAsia="zh-CN"/>
        </w:rPr>
        <w:t>凡涉及重大公共利益，可能造成重大社会影响或引发社会风险，直接关系行政相对人或第三人重大权益，经过听证程序作出行政执法决定，以及案件情况疑难复杂、涉及多个法律关系的，都要进行法制审核。各级行政执法机关要结合本机关行政执法行为的类别、执法层级、所属领域、涉案金额等因素，制定重大执法决定法制审核目录清单。上级行政执法机关要对下一级执法机关重大执法决定法制审核目录清单编制工作加强指导，明确重大执法决定事项的标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（十三）明确审核内容。</w:t>
      </w:r>
      <w:r>
        <w:rPr>
          <w:rFonts w:hint="eastAsia" w:ascii="方正仿宋简体" w:hAnsi="方正仿宋简体" w:eastAsia="方正仿宋简体" w:cs="方正仿宋简体"/>
          <w:b w:val="0"/>
          <w:bCs w:val="0"/>
          <w:color w:val="auto"/>
          <w:sz w:val="24"/>
          <w:szCs w:val="24"/>
          <w:lang w:val="en-US" w:eastAsia="zh-CN"/>
        </w:rPr>
        <w:t>要严格审核行政执法主体是否合法，行政执法人员是否具备执法资格；行政执法程序是否合法；案件事实是否清楚，证据是否合法充分；适用法律、法规、规章是否准确，裁量基准运用是否适当；执法是否超越执法机关法定权限；行政执法文书是否完备、规范；违法行为是否涉嫌犯罪、需要移送司法机关等。法制审核机构完成审核后，要根据不同情形，提出同意或者存在问题的书面审核意见。行政执法承办机构要对法制审核机构提出的存在问题的审核意见进行研究，作出相应处理后再次报送法制审核。</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（十四）明确审核责任。</w:t>
      </w:r>
      <w:r>
        <w:rPr>
          <w:rFonts w:hint="eastAsia" w:ascii="方正仿宋简体" w:hAnsi="方正仿宋简体" w:eastAsia="方正仿宋简体" w:cs="方正仿宋简体"/>
          <w:b w:val="0"/>
          <w:bCs w:val="0"/>
          <w:color w:val="auto"/>
          <w:sz w:val="24"/>
          <w:szCs w:val="24"/>
          <w:lang w:val="en-US" w:eastAsia="zh-CN"/>
        </w:rPr>
        <w:t>行政执法机关主要负责人是推动落实本机关重大执法决定法制审核制度的第一责任人，对本机关作出的行政执法决定负责。要结合实际，确定法制审核流程，明确送审材料报送要求和审核的方式、时限、责任，建立健全法制审核机构与行政执法承办机构对审核意见不一致时的协调机制。行政执法承办机构对送审材料的真实性、准确性、完整性，以及执法的事实、证据、法律适用、程序的合法性负责。法制审核机构对重大执法决定的法制审核意见负责。因行政执法承办机构的承办人员、负责法制审核的人员和审批行政执法决定的负责人滥用职权、玩忽职守、徇私枉法等，导致行政执法决定错误，要依纪依法追究相关人员责任。</w:t>
      </w:r>
    </w:p>
    <w:p>
      <w:pPr>
        <w:pStyle w:val="3"/>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4"/>
          <w:lang w:val="en-US" w:eastAsia="zh-CN"/>
        </w:rPr>
      </w:pPr>
      <w:r>
        <w:rPr>
          <w:rFonts w:hint="eastAsia"/>
          <w:sz w:val="24"/>
          <w:szCs w:val="24"/>
          <w:lang w:val="en-US" w:eastAsia="zh-CN"/>
        </w:rPr>
        <w:t>五、全面推进行政执法信息化建设</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执法机关要加强执法信息管理，及时准确公示执法信息，实现行政执法全程留痕，法制审核流程规范有序。加快推进执法信息互联互通共享，有效整合执法数据资源，为行政执法更规范、群众办事更便捷、政府治理更高效、营商环境更优化奠定基础。</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（十五）加强信息化平台建设。</w:t>
      </w:r>
      <w:r>
        <w:rPr>
          <w:rFonts w:hint="eastAsia" w:ascii="方正仿宋简体" w:hAnsi="方正仿宋简体" w:eastAsia="方正仿宋简体" w:cs="方正仿宋简体"/>
          <w:b w:val="0"/>
          <w:bCs w:val="0"/>
          <w:color w:val="auto"/>
          <w:sz w:val="24"/>
          <w:szCs w:val="24"/>
          <w:lang w:val="en-US" w:eastAsia="zh-CN"/>
        </w:rPr>
        <w:t>依托大数据、云计算等信息技术手段，大力推进行政执法综合管理监督信息系统建设，充分利用已有信息系统和数据资源，逐步构建操作信息化、文书数据化、过程痕迹化、责任明晰化、监督严密化、分析可量化的行政执法信息化体系，做到执法信息网上录入、执法程序网上流转、执法活动网上监督、执法决定实时推送、执法信息统一公示、执法信息网上查询，实现对行政执法活动的即时性、过程性、系统性管理。认真落实国务院关于加快全国一体化在线政务服务平台建设的决策部署，推动政务服务“一网通办”，依托电子政务外网开展网上行政服务工作，全面推行网上受理、网上审批、网上办公，让数据多跑路、群众少跑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（十六）推进信息共享。</w:t>
      </w:r>
      <w:r>
        <w:rPr>
          <w:rFonts w:hint="eastAsia" w:ascii="方正仿宋简体" w:hAnsi="方正仿宋简体" w:eastAsia="方正仿宋简体" w:cs="方正仿宋简体"/>
          <w:b w:val="0"/>
          <w:bCs w:val="0"/>
          <w:color w:val="auto"/>
          <w:sz w:val="24"/>
          <w:szCs w:val="24"/>
          <w:lang w:val="en-US" w:eastAsia="zh-CN"/>
        </w:rPr>
        <w:t>完善全国行政执法数据汇集和信息共享机制，制定全国统一规范的执法数据标准，明确执法信息共享的种类、范围、流程和使用方式，促进执法数据高效采集、有效整合。充分利用全国一体化在线政务服务平台，在确保信息安全的前提下，加快推进跨地区、跨部门执法信息系统互联互通，已建设并使用的有关执法信息系统要加强业务协同，打通信息壁垒，实现数据共享互通，解决“信息孤岛”等问题。认真梳理涉及各类行政执法的基础数据，建立以行政执法主体信息、权责清单信息、办案信息、监督信息和统计分析信息等为主要内容</w:t>
      </w:r>
      <w:r>
        <w:rPr>
          <w:rFonts w:hint="eastAsia" w:ascii="方正仿宋简体" w:hAnsi="方正仿宋简体" w:eastAsia="方正仿宋简体" w:cs="方正仿宋简体"/>
          <w:b w:val="0"/>
          <w:bCs w:val="0"/>
          <w:color w:val="auto"/>
          <w:sz w:val="24"/>
          <w:szCs w:val="24"/>
          <w:highlight w:val="none"/>
          <w:lang w:val="en-US" w:eastAsia="zh-CN"/>
        </w:rPr>
        <w:t>的全国</w:t>
      </w:r>
      <w:r>
        <w:rPr>
          <w:rFonts w:hint="eastAsia" w:ascii="方正仿宋简体" w:hAnsi="方正仿宋简体" w:eastAsia="方正仿宋简体" w:cs="方正仿宋简体"/>
          <w:b w:val="0"/>
          <w:bCs w:val="0"/>
          <w:color w:val="auto"/>
          <w:sz w:val="24"/>
          <w:szCs w:val="24"/>
          <w:lang w:val="en-US" w:eastAsia="zh-CN"/>
        </w:rPr>
        <w:t>行政执法信息资源库，逐步形成集数据储存、共享功能于一体的行政执法数据中心。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（十七）强化智能应用。</w:t>
      </w:r>
      <w:r>
        <w:rPr>
          <w:rFonts w:hint="eastAsia" w:ascii="方正仿宋简体" w:hAnsi="方正仿宋简体" w:eastAsia="方正仿宋简体" w:cs="方正仿宋简体"/>
          <w:b w:val="0"/>
          <w:bCs w:val="0"/>
          <w:color w:val="auto"/>
          <w:sz w:val="24"/>
          <w:szCs w:val="24"/>
          <w:lang w:val="en-US" w:eastAsia="zh-CN"/>
        </w:rPr>
        <w:t>要积极推进人工智能技术在行政执法实践中的运用，研究开发行政执法裁量智能辅助信息系统，利用语音识别、文本分析等技术对行政执法信息数据资源进行分析挖掘，发挥人工智能在证据收集、案例分析、法律文件阅读与分析中的作用，聚焦争议焦点，向执法人员精准推送办案规范、法律法规规定、相似案例等信息，提出处理意见建议，生成执法决定文书，有效约束规范行政自由裁量权，确保执法尺度统一。加强对行政执法大数据的关联分析、深化应用，通过提前预警、监测、研判，及时发现解决行政机关在履行政府职能、管理经济社会事务中遇到的新情况、新问题，提升行政立法、行政决策和风险防范水平，提高政府治理的精准性和有效性。</w:t>
      </w:r>
    </w:p>
    <w:p>
      <w:pPr>
        <w:pStyle w:val="3"/>
        <w:pageBreakBefore w:val="0"/>
        <w:widowControl w:val="0"/>
        <w:kinsoku/>
        <w:wordWrap/>
        <w:overflowPunct/>
        <w:topLinePunct w:val="0"/>
        <w:autoSpaceDE/>
        <w:autoSpaceDN/>
        <w:bidi w:val="0"/>
        <w:snapToGrid/>
        <w:spacing w:line="420" w:lineRule="exact"/>
        <w:textAlignment w:val="auto"/>
        <w:rPr>
          <w:rFonts w:hint="eastAsia"/>
          <w:sz w:val="24"/>
          <w:szCs w:val="24"/>
          <w:lang w:val="en-US" w:eastAsia="zh-CN"/>
        </w:rPr>
      </w:pPr>
      <w:r>
        <w:rPr>
          <w:rFonts w:hint="eastAsia"/>
          <w:sz w:val="24"/>
          <w:szCs w:val="24"/>
          <w:lang w:val="en-US" w:eastAsia="zh-CN"/>
        </w:rPr>
        <w:t>六、加大组织保障力度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（十八）加强组织领导。</w:t>
      </w:r>
      <w:r>
        <w:rPr>
          <w:rFonts w:hint="eastAsia" w:ascii="方正仿宋简体" w:hAnsi="方正仿宋简体" w:eastAsia="方正仿宋简体" w:cs="方正仿宋简体"/>
          <w:b w:val="0"/>
          <w:bCs w:val="0"/>
          <w:color w:val="auto"/>
          <w:sz w:val="24"/>
          <w:szCs w:val="24"/>
          <w:lang w:val="en-US" w:eastAsia="zh-CN"/>
        </w:rPr>
        <w:t>地方各级人民政府及其部门的主要负责同志作为本地区、本部门全面推行“三项制度”工作的第一责任人，要切实加强对本地区、本部门行政执法工作的领导，做好“三项制度”组织实施工作，定期听取有关工作情况汇报，及时研究解决工作中的重大问题，确保工作有方案、部署有进度、推进有标准、结果有考核。要建立健全工作机制，县级以上人民政府建立司法行政、编制管理、公务员管理、信息公开、电子政务、发展改革、财政、市场监管等单位参加的全面推行“三项制度”工作协调机制，指导协调、督促检查工作推进情况。国务院有关部门要加强对本系统全面推行“三项制度”工作的指导，强化行业规范和标准统一，及时研究解决本部门、本系统全面推行“三项制度”过程中遇到的问题。上级部门要切实做到率先推行、以上带下，充分发挥在行业系统中的带动引领作用，指导、督促下级部门严格规范实施“三项制度”。</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（十九）健全制度体系。</w:t>
      </w:r>
      <w:r>
        <w:rPr>
          <w:rFonts w:hint="eastAsia" w:ascii="方正仿宋简体" w:hAnsi="方正仿宋简体" w:eastAsia="方正仿宋简体" w:cs="方正仿宋简体"/>
          <w:b w:val="0"/>
          <w:bCs w:val="0"/>
          <w:color w:val="auto"/>
          <w:sz w:val="24"/>
          <w:szCs w:val="24"/>
          <w:lang w:val="en-US" w:eastAsia="zh-CN"/>
        </w:rPr>
        <w:t>要根据本指导意见的要求和各地区、各部门实际情况，建立健全科学合理的“三项制度”体系。加强和完善行政执法案例指导、行政执法裁量基准、行政执法案卷管理和评查、行政执法投诉举报以及行政执法考核监督等制度建设，推进全国统一的行政执法资格和证件管理，积极做好相关制度衔接工作，形成统筹行政执法各个环节的制度体系。</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（二十）开展培训宣传。</w:t>
      </w:r>
      <w:r>
        <w:rPr>
          <w:rFonts w:hint="eastAsia" w:ascii="方正仿宋简体" w:hAnsi="方正仿宋简体" w:eastAsia="方正仿宋简体" w:cs="方正仿宋简体"/>
          <w:b w:val="0"/>
          <w:bCs w:val="0"/>
          <w:color w:val="auto"/>
          <w:sz w:val="24"/>
          <w:szCs w:val="24"/>
          <w:lang w:val="en-US" w:eastAsia="zh-CN"/>
        </w:rPr>
        <w:t>要开展“三项制度”专题学习培训，加强业务交流。认真落实“谁执法谁普法”普法责任制的要求，加强对全面推行“三项制度”的宣传，通过政府网站、新闻发布会以及报刊、广播、电视、网络、新媒体等方式，全方位宣传全面推行“三项制度”的重要意义、主要做法、典型经验和实施效果，发挥示范带动作用，及时回应社会关切，合理引导社会预期，为全面推行“三项制度”营造良好的社会氛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（二十一）加强督促检查。</w:t>
      </w:r>
      <w:r>
        <w:rPr>
          <w:rFonts w:hint="eastAsia" w:ascii="方正仿宋简体" w:hAnsi="方正仿宋简体" w:eastAsia="方正仿宋简体" w:cs="方正仿宋简体"/>
          <w:b w:val="0"/>
          <w:bCs w:val="0"/>
          <w:color w:val="auto"/>
          <w:sz w:val="24"/>
          <w:szCs w:val="24"/>
          <w:lang w:val="en-US" w:eastAsia="zh-CN"/>
        </w:rPr>
        <w:t>要把“三项制度”推进情况纳入法治政府建设考评指标体系，纳入年底效能目标考核体系，建立督查情况通报制度，坚持鼓励先进与鞭策落后相结合，充分调动全面推行“三项制度”工作的积极性、主动性。对工作不力的要及时督促整改，对工作中出现问题造成不良后果的单位及人员要通报批评，依纪依法问责。</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（二十二）保障经费投入。</w:t>
      </w:r>
      <w:r>
        <w:rPr>
          <w:rFonts w:hint="eastAsia" w:ascii="方正仿宋简体" w:hAnsi="方正仿宋简体" w:eastAsia="方正仿宋简体" w:cs="方正仿宋简体"/>
          <w:b w:val="0"/>
          <w:bCs w:val="0"/>
          <w:color w:val="auto"/>
          <w:sz w:val="24"/>
          <w:szCs w:val="24"/>
          <w:lang w:val="en-US" w:eastAsia="zh-CN"/>
        </w:rPr>
        <w:t>要建立责任明确、管理规范、投入稳定的执法经费保障机制，保障行政执法机关依法履职所需的执法装备、经费，严禁将收费、罚没收入同部门利益直接或者变相挂钩。省级人民政府要分类制定行政执法机关执法装备配备标准、装备配备规划、设施建设规划和年度实施计划。地方各级行政执法机关要结合执法实际，将执法装备需求报本级人民政府列入财政预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Style w:val="12"/>
          <w:rFonts w:hint="eastAsia"/>
          <w:sz w:val="24"/>
          <w:szCs w:val="24"/>
          <w:lang w:val="en-US" w:eastAsia="zh-CN"/>
        </w:rPr>
        <w:t>（二十三）加强队伍建设</w:t>
      </w:r>
      <w:r>
        <w:rPr>
          <w:rFonts w:hint="eastAsia" w:ascii="方正仿宋简体" w:hAnsi="方正仿宋简体" w:eastAsia="方正仿宋简体" w:cs="方正仿宋简体"/>
          <w:b w:val="0"/>
          <w:bCs w:val="0"/>
          <w:color w:val="auto"/>
          <w:sz w:val="24"/>
          <w:szCs w:val="24"/>
          <w:lang w:val="en-US" w:eastAsia="zh-CN"/>
        </w:rPr>
        <w:t>。高素质的执法人员是全面推行“三项制度”取得实效的关键。要重视执法人员能力素质建设，加强思想道德和素质教育，着力提升执法人员业务能力和执法素养，打造政治坚定、作风优良、纪律严明、廉洁务实的执法队伍。加强行政执法人员资格管理，统一行政执法证件样式，建立全国行政执法人员和法制审核人员数据库。健全行政执法人员和法制审核人员岗前培训和岗位培训制度。鼓励和支持行政执法人员参加国家统一法律职业资格考试，对取得法律职业资格的人员可以简化或免于执法资格考试。建立科学的考核评价体系和人员激励机制。保障执法人员待遇，完善基层执法人员工资政策，建立和实施执法人员人身意外伤害和工伤保险制度，落实国家抚恤政策，提高执法人员履职积极性，增强执法队伍稳定性。</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各地区、各部门要于2019年3月底前制定本地区、本部门全面推行“三项制度”的实施方案，并报司法部备案。司法部要加强对全面推行“三项制度”的指导协调，会同有关部门进行监督检查和跟踪评估，重要情况及时报告国务院。</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center"/>
        <w:rPr>
          <w:rFonts w:hint="default"/>
          <w:lang w:val="en-US" w:eastAsia="zh-CN"/>
        </w:rPr>
      </w:pPr>
      <w:r>
        <w:rPr>
          <w:rFonts w:hint="eastAsia" w:ascii="方正小标宋简体" w:hAnsi="方正小标宋简体" w:eastAsia="方正小标宋简体" w:cs="方正小标宋简体"/>
          <w:sz w:val="44"/>
          <w:szCs w:val="44"/>
          <w:lang w:val="en-US" w:eastAsia="zh-CN"/>
        </w:rPr>
        <w:t>相关司法解释</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44"/>
        </w:rPr>
        <mc:AlternateContent>
          <mc:Choice Requires="wps">
            <w:drawing>
              <wp:anchor distT="0" distB="0" distL="114300" distR="114300" simplePos="0" relativeHeight="251674624" behindDoc="0" locked="0" layoutInCell="1" allowOverlap="1">
                <wp:simplePos x="0" y="0"/>
                <wp:positionH relativeFrom="column">
                  <wp:posOffset>-295275</wp:posOffset>
                </wp:positionH>
                <wp:positionV relativeFrom="paragraph">
                  <wp:posOffset>1984375</wp:posOffset>
                </wp:positionV>
                <wp:extent cx="5247005" cy="709930"/>
                <wp:effectExtent l="0" t="0" r="10795" b="13970"/>
                <wp:wrapNone/>
                <wp:docPr id="50" name="文本框 50"/>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156.25pt;height:55.9pt;width:413.15pt;z-index:251674624;mso-width-relative:page;mso-height-relative:page;" fillcolor="#FFFFFF [3201]" filled="t" stroked="f" coordsize="21600,21600" o:gfxdata="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770tvXAAAACwEAAA8A&#10;AAAAAAAAAQAgAAAAIgAAAGRycy9kb3ducmV2LnhtbFBLAQIUABQAAAAIAIdO4kDmpWDDUQIAAJEE&#10;AAAOAAAAAAAAAAEAIAAAACYBAABkcnMvZTJvRG9jLnhtbFBLBQYAAAAABgAGAFkBAADpBQAAAAA=&#10;">
                <v:fill on="t" focussize="0,0"/>
                <v:stroke on="f" weight="0.5pt"/>
                <v:imagedata o:title=""/>
                <o:lock v:ext="edit" aspectratio="f"/>
                <v:textbox>
                  <w:txbxContent>
                    <w:p/>
                  </w:txbxContent>
                </v:textbox>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44"/>
        </w:rPr>
        <mc:AlternateContent>
          <mc:Choice Requires="wps">
            <w:drawing>
              <wp:anchor distT="0" distB="0" distL="114300" distR="114300" simplePos="0" relativeHeight="251675648" behindDoc="0" locked="0" layoutInCell="1" allowOverlap="1">
                <wp:simplePos x="0" y="0"/>
                <wp:positionH relativeFrom="column">
                  <wp:posOffset>-295275</wp:posOffset>
                </wp:positionH>
                <wp:positionV relativeFrom="paragraph">
                  <wp:posOffset>1984375</wp:posOffset>
                </wp:positionV>
                <wp:extent cx="5247005" cy="709930"/>
                <wp:effectExtent l="0" t="0" r="10795" b="13970"/>
                <wp:wrapNone/>
                <wp:docPr id="51" name="文本框 51"/>
                <wp:cNvGraphicFramePr/>
                <a:graphic xmlns:a="http://schemas.openxmlformats.org/drawingml/2006/main">
                  <a:graphicData uri="http://schemas.microsoft.com/office/word/2010/wordprocessingShape">
                    <wps:wsp>
                      <wps:cNvSpPr txBox="1"/>
                      <wps:spPr>
                        <a:xfrm>
                          <a:off x="0" y="0"/>
                          <a:ext cx="5247005" cy="709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156.25pt;height:55.9pt;width:413.15pt;z-index:251675648;mso-width-relative:page;mso-height-relative:page;" fillcolor="#FFFFFF [3201]" filled="t" stroked="f" coordsize="21600,21600" o:gfxdata="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vvS29cAAAALAQAA&#10;DwAAAAAAAAABACAAAAAiAAAAZHJzL2Rvd25yZXYueG1sUEsBAhQAFAAAAAgAh07iQLPnq/hTAgAA&#10;kQQAAA4AAAAAAAAAAQAgAAAAJgEAAGRycy9lMm9Eb2MueG1sUEsFBgAAAAAGAAYAWQEAAOsFAAAA&#10;AA==&#10;">
                <v:fill on="t" focussize="0,0"/>
                <v:stroke on="f" weight="0.5pt"/>
                <v:imagedata o:title=""/>
                <o:lock v:ext="edit" aspectratio="f"/>
                <v:textbox>
                  <w:txbxContent>
                    <w:p/>
                  </w:txbxContent>
                </v:textbox>
              </v:shape>
            </w:pict>
          </mc:Fallback>
        </mc:AlternateContent>
      </w:r>
    </w:p>
    <w:p>
      <w:pPr>
        <w:pStyle w:val="2"/>
        <w:bidi w:val="0"/>
        <w:rPr>
          <w:rFonts w:hint="eastAsia"/>
          <w:lang w:val="en-US" w:eastAsia="zh-CN"/>
        </w:rPr>
      </w:pPr>
    </w:p>
    <w:p>
      <w:pPr>
        <w:pStyle w:val="2"/>
        <w:bidi w:val="0"/>
        <w:rPr>
          <w:rFonts w:hint="eastAsia"/>
          <w:lang w:val="en-US" w:eastAsia="zh-CN"/>
        </w:rPr>
      </w:pPr>
      <w:r>
        <w:rPr>
          <w:rFonts w:hint="eastAsia"/>
          <w:lang w:val="en-US" w:eastAsia="zh-CN"/>
        </w:rPr>
        <w:t>全国人大常委会法制工作委员会</w:t>
      </w:r>
    </w:p>
    <w:p>
      <w:pPr>
        <w:pStyle w:val="2"/>
        <w:bidi w:val="0"/>
        <w:rPr>
          <w:rFonts w:hint="eastAsia"/>
          <w:lang w:val="en-US" w:eastAsia="zh-CN"/>
        </w:rPr>
      </w:pPr>
      <w:r>
        <w:rPr>
          <w:rFonts w:hint="eastAsia"/>
          <w:lang w:val="en-US" w:eastAsia="zh-CN"/>
        </w:rPr>
        <w:t>对建筑施工企业母公司承接工程后</w:t>
      </w:r>
    </w:p>
    <w:p>
      <w:pPr>
        <w:pStyle w:val="2"/>
        <w:bidi w:val="0"/>
        <w:rPr>
          <w:rFonts w:hint="eastAsia"/>
          <w:lang w:val="en-US" w:eastAsia="zh-CN"/>
        </w:rPr>
      </w:pPr>
      <w:r>
        <w:rPr>
          <w:rFonts w:hint="eastAsia"/>
          <w:lang w:val="en-US" w:eastAsia="zh-CN"/>
        </w:rPr>
        <w:t>交由子公司实施是否属于转包以及</w:t>
      </w:r>
    </w:p>
    <w:p>
      <w:pPr>
        <w:pStyle w:val="2"/>
        <w:bidi w:val="0"/>
        <w:rPr>
          <w:rFonts w:hint="eastAsia"/>
          <w:lang w:val="en-US" w:eastAsia="zh-CN"/>
        </w:rPr>
      </w:pPr>
      <w:r>
        <w:rPr>
          <w:rFonts w:hint="eastAsia"/>
          <w:lang w:val="en-US" w:eastAsia="zh-CN"/>
        </w:rPr>
        <w:t>行政处罚两年追溯期认定</w:t>
      </w:r>
    </w:p>
    <w:p>
      <w:pPr>
        <w:pStyle w:val="2"/>
        <w:bidi w:val="0"/>
        <w:rPr>
          <w:rFonts w:hint="eastAsia"/>
          <w:lang w:val="en-US" w:eastAsia="zh-CN"/>
        </w:rPr>
      </w:pPr>
      <w:r>
        <w:rPr>
          <w:rFonts w:hint="eastAsia"/>
          <w:lang w:val="en-US" w:eastAsia="zh-CN"/>
        </w:rPr>
        <w:t>法律适用问题的意见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（2017年9月4日  法工办发〔2017〕223号）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住房和城乡建设部办公厅：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你部关于建筑施工企业母公司承接工程后交由子公司实施是否属于转包以及行政处罚两年追溯期认定法律适用问题的请示（建法函〔2017〕227号）收悉。经研究，提出以下意见，供参考：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一、关于母公司承接建筑工程后将所承接工程交由其子公司实施的行为是否属于转包的问题。建筑法第二十八条规定，禁止承包单将其</w:t>
      </w:r>
      <w:r>
        <w:rPr>
          <w:rFonts w:hint="eastAsia" w:ascii="方正仿宋简体" w:hAnsi="方正仿宋简体" w:eastAsia="方正仿宋简体" w:cs="方正仿宋简体"/>
          <w:b w:val="0"/>
          <w:bCs w:val="0"/>
          <w:color w:val="auto"/>
          <w:sz w:val="24"/>
          <w:szCs w:val="24"/>
          <w:highlight w:val="none"/>
          <w:lang w:val="en-US" w:eastAsia="zh-CN"/>
        </w:rPr>
        <w:t>承包的全部</w:t>
      </w:r>
      <w:r>
        <w:rPr>
          <w:rFonts w:hint="eastAsia" w:ascii="方正仿宋简体" w:hAnsi="方正仿宋简体" w:eastAsia="方正仿宋简体" w:cs="方正仿宋简体"/>
          <w:b w:val="0"/>
          <w:bCs w:val="0"/>
          <w:color w:val="auto"/>
          <w:sz w:val="24"/>
          <w:szCs w:val="24"/>
          <w:lang w:val="en-US" w:eastAsia="zh-CN"/>
        </w:rPr>
        <w:t>建筑工程转包给他人，禁止承包单位将其</w:t>
      </w:r>
      <w:r>
        <w:rPr>
          <w:rFonts w:hint="eastAsia" w:ascii="方正仿宋简体" w:hAnsi="方正仿宋简体" w:eastAsia="方正仿宋简体" w:cs="方正仿宋简体"/>
          <w:b w:val="0"/>
          <w:bCs w:val="0"/>
          <w:color w:val="auto"/>
          <w:sz w:val="24"/>
          <w:szCs w:val="24"/>
          <w:highlight w:val="none"/>
          <w:lang w:val="en-US" w:eastAsia="zh-CN"/>
        </w:rPr>
        <w:t>承包的全部</w:t>
      </w:r>
      <w:r>
        <w:rPr>
          <w:rFonts w:hint="eastAsia" w:ascii="方正仿宋简体" w:hAnsi="方正仿宋简体" w:eastAsia="方正仿宋简体" w:cs="方正仿宋简体"/>
          <w:b w:val="0"/>
          <w:bCs w:val="0"/>
          <w:color w:val="auto"/>
          <w:sz w:val="24"/>
          <w:szCs w:val="24"/>
          <w:lang w:val="en-US" w:eastAsia="zh-CN"/>
        </w:rPr>
        <w:t>建筑工程肢解以后以分包的名义分别转包给他人。合同法第二百七十二条规定，发包人不得将应当由一个承包人完成的建设工程肢解成若干部分发包给几个承包人。承包人不得将其</w:t>
      </w:r>
      <w:r>
        <w:rPr>
          <w:rFonts w:hint="eastAsia" w:ascii="方正仿宋简体" w:hAnsi="方正仿宋简体" w:eastAsia="方正仿宋简体" w:cs="方正仿宋简体"/>
          <w:b w:val="0"/>
          <w:bCs w:val="0"/>
          <w:color w:val="auto"/>
          <w:sz w:val="24"/>
          <w:szCs w:val="24"/>
          <w:highlight w:val="none"/>
          <w:lang w:val="en-US" w:eastAsia="zh-CN"/>
        </w:rPr>
        <w:t>承包的全部</w:t>
      </w:r>
      <w:r>
        <w:rPr>
          <w:rFonts w:hint="eastAsia" w:ascii="方正仿宋简体" w:hAnsi="方正仿宋简体" w:eastAsia="方正仿宋简体" w:cs="方正仿宋简体"/>
          <w:b w:val="0"/>
          <w:bCs w:val="0"/>
          <w:color w:val="auto"/>
          <w:sz w:val="24"/>
          <w:szCs w:val="24"/>
          <w:lang w:val="en-US" w:eastAsia="zh-CN"/>
        </w:rPr>
        <w:t>建设工程转包给第三人或者将其</w:t>
      </w:r>
      <w:r>
        <w:rPr>
          <w:rFonts w:hint="eastAsia" w:ascii="方正仿宋简体" w:hAnsi="方正仿宋简体" w:eastAsia="方正仿宋简体" w:cs="方正仿宋简体"/>
          <w:b w:val="0"/>
          <w:bCs w:val="0"/>
          <w:color w:val="auto"/>
          <w:sz w:val="24"/>
          <w:szCs w:val="24"/>
          <w:highlight w:val="none"/>
          <w:lang w:val="en-US" w:eastAsia="zh-CN"/>
        </w:rPr>
        <w:t>承包的全部</w:t>
      </w:r>
      <w:r>
        <w:rPr>
          <w:rFonts w:hint="eastAsia" w:ascii="方正仿宋简体" w:hAnsi="方正仿宋简体" w:eastAsia="方正仿宋简体" w:cs="方正仿宋简体"/>
          <w:b w:val="0"/>
          <w:bCs w:val="0"/>
          <w:color w:val="auto"/>
          <w:sz w:val="24"/>
          <w:szCs w:val="24"/>
          <w:lang w:val="en-US" w:eastAsia="zh-CN"/>
        </w:rPr>
        <w:t>建设工程肢解以后以分包的名义分别转包给第三人。禁止承包人将工程分包给不具备相应资质条件的单位。禁止分包单位将其承包的工程再分包。建设工程主体结构的施工必须由承包人自行完成。招标投标法第四十八条规定，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上述法律对建设工程转包的规定是明确的，这一问题属于法律执行问题，应当根据实际情况依法认定、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w:t>
      </w:r>
      <w:r>
        <w:rPr>
          <w:rFonts w:hint="eastAsia" w:ascii="方正仿宋简体" w:hAnsi="方正仿宋简体" w:eastAsia="方正仿宋简体" w:cs="方正仿宋简体"/>
          <w:b w:val="0"/>
          <w:bCs w:val="0"/>
          <w:color w:val="auto"/>
          <w:spacing w:val="-11"/>
          <w:sz w:val="24"/>
          <w:szCs w:val="24"/>
          <w:lang w:val="en-US" w:eastAsia="zh-CN"/>
        </w:rPr>
        <w:t>关于建筑市场中违法发包、转包、分包、挂靠等行为的行政处罚追溯期限问题，同意</w:t>
      </w:r>
      <w:r>
        <w:rPr>
          <w:rFonts w:hint="eastAsia" w:ascii="方正仿宋简体" w:hAnsi="方正仿宋简体" w:eastAsia="方正仿宋简体" w:cs="方正仿宋简体"/>
          <w:b w:val="0"/>
          <w:bCs w:val="0"/>
          <w:color w:val="auto"/>
          <w:spacing w:val="-11"/>
          <w:sz w:val="24"/>
          <w:szCs w:val="24"/>
          <w:highlight w:val="none"/>
          <w:lang w:val="en-US" w:eastAsia="zh-CN"/>
        </w:rPr>
        <w:t>你部</w:t>
      </w:r>
      <w:r>
        <w:rPr>
          <w:rFonts w:hint="eastAsia" w:ascii="方正仿宋简体" w:hAnsi="方正仿宋简体" w:eastAsia="方正仿宋简体" w:cs="方正仿宋简体"/>
          <w:b w:val="0"/>
          <w:bCs w:val="0"/>
          <w:color w:val="auto"/>
          <w:spacing w:val="-11"/>
          <w:sz w:val="24"/>
          <w:szCs w:val="24"/>
          <w:lang w:val="en-US" w:eastAsia="zh-CN"/>
        </w:rPr>
        <w:t>的意见，对于违法发包、转包、分包、挂靠等行为的行政处罚追溯期限，应当从违法发包、转包、分包、挂靠的建筑工程竣工验收之日起计算。合同工程量未全部完成而解除或暂时终止履行合同的，为合同解除或终止之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特此函复。</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全国人民代表大会常务委员会</w:t>
      </w: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法制工作委员会关于提请明确对</w:t>
      </w: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行政处罚追诉时效“二年未被发现”</w:t>
      </w: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r>
        <w:rPr>
          <w:rFonts w:hint="eastAsia"/>
          <w:lang w:val="en-US" w:eastAsia="zh-CN"/>
        </w:rPr>
        <w:t>认定问题的函的研究意见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（2004年12月24日  法工委复字〔2004〕27号）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司法部: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你处送来的关于提请明确对行政处罚追诉时效“二年未被发现”认定问题的函收悉。经研究，同意</w:t>
      </w:r>
      <w:r>
        <w:rPr>
          <w:rFonts w:hint="eastAsia" w:ascii="方正仿宋简体" w:hAnsi="方正仿宋简体" w:eastAsia="方正仿宋简体" w:cs="方正仿宋简体"/>
          <w:b w:val="0"/>
          <w:bCs w:val="0"/>
          <w:color w:val="auto"/>
          <w:sz w:val="24"/>
          <w:szCs w:val="24"/>
          <w:highlight w:val="none"/>
          <w:lang w:val="en-US" w:eastAsia="zh-CN"/>
        </w:rPr>
        <w:t>你部</w:t>
      </w:r>
      <w:r>
        <w:rPr>
          <w:rFonts w:hint="eastAsia" w:ascii="方正仿宋简体" w:hAnsi="方正仿宋简体" w:eastAsia="方正仿宋简体" w:cs="方正仿宋简体"/>
          <w:b w:val="0"/>
          <w:bCs w:val="0"/>
          <w:color w:val="auto"/>
          <w:sz w:val="24"/>
          <w:szCs w:val="24"/>
          <w:lang w:val="en-US" w:eastAsia="zh-CN"/>
        </w:rPr>
        <w:t>的意见。</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附：</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司法部关于提请明确对行政处罚追诉</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时效“二年未被发现”认定问题的函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（2004年11月10日  司发函〔2004〕212号）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全国人大法工委：</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根据胡锦涛总书记等中央领导同志关于进一步加强律师队伍建设的重要指示精神，今年4月以来，我部在全国律师队伍中开展了集中教育整顿活动，目前</w:t>
      </w:r>
      <w:r>
        <w:rPr>
          <w:rFonts w:hint="eastAsia" w:ascii="方正仿宋简体" w:hAnsi="方正仿宋简体" w:eastAsia="方正仿宋简体" w:cs="方正仿宋简体"/>
          <w:b w:val="0"/>
          <w:bCs w:val="0"/>
          <w:color w:val="auto"/>
          <w:sz w:val="24"/>
          <w:szCs w:val="24"/>
          <w:highlight w:val="none"/>
          <w:lang w:val="en-US" w:eastAsia="zh-CN"/>
        </w:rPr>
        <w:t>已经进入</w:t>
      </w:r>
      <w:r>
        <w:rPr>
          <w:rFonts w:hint="eastAsia" w:ascii="方正仿宋简体" w:hAnsi="方正仿宋简体" w:eastAsia="方正仿宋简体" w:cs="方正仿宋简体"/>
          <w:b w:val="0"/>
          <w:bCs w:val="0"/>
          <w:color w:val="auto"/>
          <w:sz w:val="24"/>
          <w:szCs w:val="24"/>
          <w:lang w:val="en-US" w:eastAsia="zh-CN"/>
        </w:rPr>
        <w:t>违法违纪律师集中查处阶段，包括对一些地方的律师行贿法官问题的查处。根据</w:t>
      </w:r>
      <w:r>
        <w:rPr>
          <w:rFonts w:hint="eastAsia" w:ascii="方正仿宋简体" w:hAnsi="方正仿宋简体" w:eastAsia="方正仿宋简体" w:cs="方正仿宋简体"/>
          <w:b w:val="0"/>
          <w:bCs w:val="0"/>
          <w:color w:val="auto"/>
          <w:sz w:val="24"/>
          <w:szCs w:val="24"/>
          <w:highlight w:val="none"/>
          <w:lang w:val="en-US" w:eastAsia="zh-CN"/>
        </w:rPr>
        <w:t>《行政处罚法》</w:t>
      </w:r>
      <w:r>
        <w:rPr>
          <w:rFonts w:hint="eastAsia" w:ascii="方正仿宋简体" w:hAnsi="方正仿宋简体" w:eastAsia="方正仿宋简体" w:cs="方正仿宋简体"/>
          <w:b w:val="0"/>
          <w:bCs w:val="0"/>
          <w:color w:val="auto"/>
          <w:sz w:val="24"/>
          <w:szCs w:val="24"/>
          <w:lang w:val="en-US" w:eastAsia="zh-CN"/>
        </w:rPr>
        <w:t>第29条规定：“违法行为在二年内未被发现的，不再给予行政处罚。法律另有规定的除外。”在对违法违纪律师行政处罚中，一些地方司法行政机关对该条款中“二年未被发现”的认定问题存在不同理解。为了推动律师队伍集中教育整顿活动的深入开展，有必要对此予以明确。</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经研究，我部认为，《行政处罚法》第29条规定的发现违法违纪行为的主体是处罚机关或有权处罚的机关，公安、检察、法院、</w:t>
      </w:r>
      <w:r>
        <w:rPr>
          <w:rFonts w:hint="eastAsia" w:ascii="方正仿宋简体" w:hAnsi="方正仿宋简体" w:eastAsia="方正仿宋简体" w:cs="方正仿宋简体"/>
          <w:b w:val="0"/>
          <w:bCs w:val="0"/>
          <w:color w:val="auto"/>
          <w:sz w:val="24"/>
          <w:szCs w:val="24"/>
          <w:highlight w:val="none"/>
          <w:lang w:val="en-US" w:eastAsia="zh-CN"/>
        </w:rPr>
        <w:t>纪检监察部门</w:t>
      </w:r>
      <w:r>
        <w:rPr>
          <w:rFonts w:hint="eastAsia" w:ascii="方正仿宋简体" w:hAnsi="方正仿宋简体" w:eastAsia="方正仿宋简体" w:cs="方正仿宋简体"/>
          <w:b w:val="0"/>
          <w:bCs w:val="0"/>
          <w:color w:val="auto"/>
          <w:sz w:val="24"/>
          <w:szCs w:val="24"/>
          <w:lang w:val="en-US" w:eastAsia="zh-CN"/>
        </w:rPr>
        <w:t>和司法行政机关都是行使社会公权力的机关，对律师违法违纪行为的发现都应该具有</w:t>
      </w:r>
      <w:r>
        <w:rPr>
          <w:rFonts w:hint="eastAsia" w:ascii="方正仿宋简体" w:hAnsi="方正仿宋简体" w:eastAsia="方正仿宋简体" w:cs="方正仿宋简体"/>
          <w:b w:val="0"/>
          <w:bCs w:val="0"/>
          <w:color w:val="auto"/>
          <w:sz w:val="24"/>
          <w:szCs w:val="24"/>
          <w:highlight w:val="none"/>
          <w:lang w:val="en-US" w:eastAsia="zh-CN"/>
        </w:rPr>
        <w:t>《行政处罚法》</w:t>
      </w:r>
      <w:r>
        <w:rPr>
          <w:rFonts w:hint="eastAsia" w:ascii="方正仿宋简体" w:hAnsi="方正仿宋简体" w:eastAsia="方正仿宋简体" w:cs="方正仿宋简体"/>
          <w:b w:val="0"/>
          <w:bCs w:val="0"/>
          <w:color w:val="auto"/>
          <w:sz w:val="24"/>
          <w:szCs w:val="24"/>
          <w:lang w:val="en-US" w:eastAsia="zh-CN"/>
        </w:rPr>
        <w:t>规定的法律效力。因此上述任何一个机关对律师违法违纪行为只要启动调查、取证和立案程序，均可视为“发现”；群众举报后被认定属实的，发现时效以举报时间为准。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以上当否，请函复。</w:t>
      </w: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lang w:val="en-US" w:eastAsia="zh-CN"/>
        </w:rPr>
      </w:pPr>
      <w:r>
        <w:rPr>
          <w:rFonts w:hint="eastAsia"/>
          <w:sz w:val="24"/>
          <w:szCs w:val="24"/>
          <w:lang w:val="en-US" w:eastAsia="zh-CN"/>
        </w:rPr>
        <w:br w:type="textWrapping"/>
      </w:r>
      <w:r>
        <w:rPr>
          <w:rFonts w:hint="eastAsia"/>
          <w:lang w:val="en-US" w:eastAsia="zh-CN"/>
        </w:rPr>
        <w:br w:type="textWrapping"/>
      </w:r>
      <w:r>
        <w:rPr>
          <w:rFonts w:hint="eastAsia"/>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全国人民代表大会常务委员会</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法制工作委员会关于环保部门就</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环境行政处罚决定申请人民法院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强制执行的期限有关问题的答复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（2001年6月25日  法工委复字【2001】17号）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国家环境保护总局：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你局2001年5月26日来函（环函</w:t>
      </w:r>
      <w:r>
        <w:rPr>
          <w:rFonts w:hint="eastAsia" w:ascii="方正仿宋简体" w:hAnsi="方正仿宋简体" w:eastAsia="黑体" w:cs="方正仿宋简体"/>
          <w:b w:val="0"/>
          <w:bCs w:val="0"/>
          <w:color w:val="auto"/>
          <w:sz w:val="24"/>
          <w:szCs w:val="24"/>
          <w:lang w:val="en-US" w:eastAsia="zh-CN"/>
        </w:rPr>
        <w:t>【</w:t>
      </w:r>
      <w:r>
        <w:rPr>
          <w:rFonts w:hint="eastAsia" w:ascii="方正仿宋简体" w:hAnsi="方正仿宋简体" w:eastAsia="方正仿宋简体" w:cs="方正仿宋简体"/>
          <w:b w:val="0"/>
          <w:bCs w:val="0"/>
          <w:color w:val="auto"/>
          <w:sz w:val="24"/>
          <w:szCs w:val="24"/>
          <w:lang w:val="en-US" w:eastAsia="zh-CN"/>
        </w:rPr>
        <w:t>2001</w:t>
      </w:r>
      <w:r>
        <w:rPr>
          <w:rFonts w:hint="eastAsia" w:ascii="方正仿宋简体" w:hAnsi="方正仿宋简体" w:eastAsia="黑体" w:cs="方正仿宋简体"/>
          <w:b w:val="0"/>
          <w:bCs w:val="0"/>
          <w:color w:val="auto"/>
          <w:sz w:val="24"/>
          <w:szCs w:val="24"/>
          <w:lang w:val="en-US" w:eastAsia="zh-CN"/>
        </w:rPr>
        <w:t>】</w:t>
      </w:r>
      <w:r>
        <w:rPr>
          <w:rFonts w:hint="eastAsia" w:ascii="方正仿宋简体" w:hAnsi="方正仿宋简体" w:eastAsia="方正仿宋简体" w:cs="方正仿宋简体"/>
          <w:b w:val="0"/>
          <w:bCs w:val="0"/>
          <w:color w:val="auto"/>
          <w:sz w:val="24"/>
          <w:szCs w:val="24"/>
          <w:lang w:val="en-US" w:eastAsia="zh-CN"/>
        </w:rPr>
        <w:t>100号）收悉，现答复如下：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同意国家环保总局的意见。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环境保护法第40条规定，当事人对行政处罚决定不服的，可以在接到处罚通知之日起十五日内，向做出处罚决定的机关的上一级机关申请复议：对复议决定不服的，可以在接到复议决定之日起十五日内，向人民法院起诉。当事人也可以在接到处罚通知之日起十五日内，直接向人民法院起诉。当事人逾期不申请复议、也不向人民法院起诉、又不履行处罚决定的，由做出处罚决定的机关申请人民法院强制执行。行政复议法第9条规定，公民、法人或者其他组织认为具体行政行为侵犯其合法权益的，可以自知道该具体行政行为之日起六十日内提起行政复议申请；但是法律规定的申请期限超过六十日的除外。行政诉讼法第39条规定，当事人直接向法院提起诉讼的期限为三个月，法律另有规定的除外。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根据以上规定，如果当事人自接到环保部门的行政处罚通知之日起，超过十五天未起诉，超过六十日未申请复议，又不履行处罚决定的，做出处罚决定的环保部门即可申请人民法院强制执行。 　　　　　　　　　　　　　　　　　　　　　</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r>
        <w:rPr>
          <w:rFonts w:hint="eastAsia" w:ascii="方正仿宋简体" w:hAnsi="方正仿宋简体" w:eastAsia="方正仿宋简体" w:cs="方正仿宋简体"/>
          <w:b w:val="0"/>
          <w:bCs w:val="0"/>
          <w:color w:val="auto"/>
          <w:sz w:val="24"/>
          <w:szCs w:val="24"/>
          <w:lang w:val="en-US" w:eastAsia="zh-CN"/>
        </w:rPr>
        <w:t>附件：</w:t>
      </w:r>
      <w:r>
        <w:rPr>
          <w:rFonts w:hint="eastAsia" w:ascii="方正仿宋简体" w:hAnsi="方正仿宋简体" w:eastAsia="方正仿宋简体" w:cs="方正仿宋简体"/>
          <w:b w:val="0"/>
          <w:bCs w:val="0"/>
          <w:color w:val="auto"/>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 xml:space="preserve">关于环保部门就环境行政处罚申请 </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人民法院强制执行期限有关问题的函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（国家环境保护总局局函　环函【2001】100号）</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全国人大常委会法制工作委员会：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关于环境行政处罚申请法院强制执行的期限，法律规定之间不尽一致。根据《立法法》第55条关于“全国人民代表大会常务委员会工作机构可以对有关具体问题的法律询问进行研究予以答复的规定，现就环境行政处罚申请法院强制执行的期限问题，请示如下：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环境保护法》第40条规定，当事人对行政处罚决定不服的，可以在接到处罚通知15日内申请复议，也可以在15日内直接向法院起诉；当事人逾期不申请复议、也不向法院起诉、又不履行处罚决定的，由环保部门申请法院强制执行。根据该法规定，环保部门申请法院强制执行应在处罚通知送达当事人之后15日，当事人不申请复议，也不向法院起诉时提出。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另据《行政复议法》第9条和第42条当事人申请行政复议的期限为60日，法律规定的申请期限超过60日的除外。《行政诉讼法》第39条规定，当事人直接向法院提起诉讼的期限为3个月，法律另有规定的除外。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我局认为，根据以上规定，当事人对环保部门所作行政处罚不服，申请行政复议的期限应为60日，当事人直接向法院提起行政诉讼的期限则应为15日。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如果当事人在接到环保部门的行政处罚通知之日起，超过15日未起诉，超过60日未申请复议，又不履行处罚决定的，作出处罚决定的环保部门即可申请人民法院强制执行。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以上意见妥否，请函复。</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全国人民代表大会常务委员会法制工作</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委员会关于如何理解“有行政处罚权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的行政机关”问题的答复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（1997年1月3日）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center"/>
        <w:textAlignment w:val="auto"/>
        <w:rPr>
          <w:rFonts w:hint="eastAsia" w:ascii="方正仿宋简体" w:hAnsi="方正仿宋简体" w:eastAsia="方正仿宋简体" w:cs="方正仿宋简体"/>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北京市人大常委会法制室1996年12月10日请示:行政处罚法第十五条规定有“行政处罚权”的行政机关可以在法定职权范围内实施行政处罚。如何确定哪些行政机关有行政处罚权？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全国人大常委会法制工作委员会1997年1月3日答复如下: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行政处罚法第十五条规定的“有行政处罚权”的行政机关，应当依照法律、行政法规的规定执行。</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keepNext w:val="0"/>
        <w:keepLines w:val="0"/>
        <w:pageBreakBefore w:val="0"/>
        <w:widowControl w:val="0"/>
        <w:kinsoku/>
        <w:wordWrap/>
        <w:overflowPunct/>
        <w:topLinePunct w:val="0"/>
        <w:autoSpaceDE/>
        <w:autoSpaceDN/>
        <w:bidi w:val="0"/>
        <w:snapToGrid/>
        <w:jc w:val="center"/>
        <w:textAlignment w:val="auto"/>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全国人民代表大会常务委员会法制工作</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委员会关于地方性法规对法律规定的</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执法主体可否作出调整问题的答复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highlight w:val="none"/>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（1996年9月20日）</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640" w:firstLineChars="200"/>
        <w:jc w:val="center"/>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安徽省政府法制局1996年8月13日请示: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地方性法规对烟草专卖法中执法主体可否作出某些调整的规定？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人大常委会法制工作委员会1996年9月20日答复如下:《中华人民共和国烟草专卖法》法律责任一章中规定了烟草专卖行政管理部门、工商行政管理部门对烟草生产和市场管理的分工，明确了工商行政管理部门对市场上违法行为的行政处罚权。因此，地方性法规不应规定工商行政管理部门将这部分法定职责委托烟草专卖行政管理部门行使。</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全国人民代表大会常务委员会</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法制工作委员会关于地方性法规</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对法律中没有规定的行政处罚行为</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可否作出补充规定问题的答复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（1996年4月26日）</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center"/>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北京市人大常委会法制室1996月11日请示: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制定《北京市实施〈中华人民共和国食品卫生法〉办法》，对食品卫生法中没有规定的行政处罚行为，可否作出补充规定？《北京市关于禁止燃放烟花爆竹的规定》是否超出了行政处罚法第十一条第二款规定的范围？</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全国人大常委会法制工作委员会1996年4月26日答复如下: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行政处罚法第十一条规定:“地方性法规可以设定除限制人身自由、吊销企业营业执照以外的行政处罚。”“法律、行政法规对违法行为已经作出行政处罚规定，地方性法规需要作出具体规定的，必须在法律、行政法规规定的给予行政处罚的行为、种类和幅度的范围内规定。”第一，国家已经有法律、行政法规的，地方性法规可以结合本地具体情况予以具体化，但是必须在法律、行政法规规定给予行政处罚的行为、种类和幅度的范围内规定。第二，在国家尚未制定法律、行政法规的情况下，地方性法规可以设定除限制人身自由、吊销企业营业执照以外的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对于违反食品卫生法，生产经营不符合卫生标准的食品，造成食物中毒事故或者其他食源性疾患的行为，食品卫生法已经明确作出了行政处罚的规定。制定有关的实施办法，在规定行政处罚时，必须在食品卫生法规定的给予行政处罚的行为、种类和幅度的范围内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《北京市关于禁止燃放烟花爆竹的规定》是在没有法律、法规的情况下制定的地方性法规，可以设定除限制人身自由、吊销企业营业执照以外的行政处罚。</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spacing w:val="-17"/>
          <w:sz w:val="44"/>
          <w:lang w:val="en-US" w:eastAsia="zh-CN"/>
        </w:rPr>
      </w:pPr>
    </w:p>
    <w:p>
      <w:pPr>
        <w:rPr>
          <w:rFonts w:hint="eastAsia"/>
          <w:spacing w:val="-17"/>
          <w:sz w:val="44"/>
          <w:lang w:val="en-US" w:eastAsia="zh-CN"/>
        </w:rPr>
      </w:pPr>
    </w:p>
    <w:p>
      <w:pPr>
        <w:rPr>
          <w:rFonts w:hint="eastAsia"/>
          <w:spacing w:val="-17"/>
          <w:sz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最高人民法院关于安监部门是否有权</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适用《安全生产法》及《生产安全事故报告和调查处理条例》对道路交通安全</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default"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问题予以行政处罚及适用法律问题的答复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（2010年10月27日  〔2010〕行他字第12号）</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湖北省高级人民法院: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安全生产法》第二条规定，《道路交通安全法》等法律、行政法规对道路交通安全有关问题有特别规定的,应当适用特别规定。没有特别规定的，安监部门可以适用《安全生产法》和《生产安全事故报告和调查处理条例》的规定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运输企业违反《安全生产法》第二十一条规定的，安监部门可以适用《安全生产法》第八十二条第三款予以处罚。未履行安全生产教育和培训义务不是发生交通事故直接原因的，安监部门适用《生产安全事故报告和调查处理条例》第三十七条对相关运输企业实施行政处罚不妥。</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附:</w:t>
      </w: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湖北省高级人民法院关于安全</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生产监督部门是否对造成道路交通</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安全事故的运输企业具有行政处罚权</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及法律适用问题的请示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（2009年12月25日）</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最高人民法院: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我省襄樊市中级人民法院审理的荆州市恒信旅游运输有限公司诉襄樊市安全生产监督局行政处罚案，因涉及法律适用问题向我院请示。我院审判委员会经过讨论，请示如下: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一、基本案情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2008年2月25日，荆州恒信公司驾驶员许某驾驶鄂 D05481大型普通客车行驶至湖北省境内汉丹铁路大桥附近时，车辆方向失控侧翻于高速公路快车道及慢车道上，造成3人死亡，22人不同程度受伤。事故发生后，襄樊市政府组织市安监局、公安局、监察局等部门组成联合调查组，对事故进行调查。经调查认定，该事故的直接原因系鄂D05481及鲁F14460两车在雨雪气象条件下车速过快所致。同时认为，两车产权单位荆州恒信公司与山东省烟台交运集团有限责任公司对驾驶员教育培训不够，驾驶员安全意识、安全技能和现场处置能力不得力，应承担事故管理责任。建议由襄樊市安监局依法对二公司实施行政处罚。2008年10月10日，襄樊市安监局作出处罚决定，认定荆州恒信公司因对员工教育培训不够，违反《中华人民共和国安全生产法》第二十一条规定，依据《生产安全事故报告和调查处理条例》第三十七条第二款，决定给予罚款20万元的行政处罚。荆州恒信公司不服向襄樊市樊城区人民法院提起行政诉讼。</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二、案件审理情况</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襄樊市樊城区人民法院一审判决认为，襄樊市安监局对荆州恒信公司对驾驶员培训不够实施行政处罚，按照行政属地管辖原则应当由荆州市相应职能部门处理；襄樊市安监局提供的证据不能证明荆州恒信公司对员工安全教育不够的事实。据此，撤销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襄樊市安监局不服一审判决上诉。二审期间，襄樊市中级人民法院向湖北省高院提出请示。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三、需请示的主要问题和我院审判委员会意见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请示的主要问题:道路交通安全是否属于《安全生产法》调整范围？安监部门能否依据《安全生产法》及《生产安全事故报告和调查处理条例》对造成道路交通安全事故的运输企业实施行政处罚？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湖北省高院审判委员会形成两种不同意见: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第一种意见认为:《安全生产法》与《道路交通安全法》属于普通法和特别法的关系。安监部门无权对事故运输企业实施行政处罚。理由是:第一，《安全生产法》第二条将道路交通安全规定为法律法规“另有规定的，适用其规定”范围，涉及道路交通事故处理的应当适用《道路交通安全法》；第二，《道路交通安全法》对“专业运输单位”的法律责任已有原则性规定，应由公安交警部门依法处理。</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第二种意见认为:道路交通安全事故的调查处理应当适用《安全生产法》及其配套行政法规，安监部门具有对事故企业实施行政处罚的法定职权。理由是:第一，《安全生产法》第二条只是排除法律法规另有规定的情形，而《道路交通安全法》对事故企业的行政处罚并无明确规定;第二，《生产安全事故报告和调查处理条例》第二条适用范围并未排除道路交通事故，且其第十二条已经明确将道路交通事故纳入调查处理范围；第三，国家安全监督总局对道路交通事故行政处罚有明确意见（安监总厅政法函〔2008〕17号复函），广西某法院对此类案件已有判决实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我院审判委员会多数意见倾向于第一种意见。以上意见是否正确，请予以答复。</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最高人民法院关于交通警察</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支队的下属大队能否作为行政处罚</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主体等问题的答复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（2009年12月2日  〔2009〕行他字第9号）</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left"/>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山东省高级人民法院: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你院《关于郭玉文诉烟台市公安局交通警察支队第二大队道路交通行政处罚案适用法律问题的请示》收悉。经研究，答复如下: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根据《中华人民共和国道路交通安全法实施条例》第一百零九条第一款“对道路交通安全违法行为人处以罚款或者暂扣驾驶证处罚的，由违法行为发生地的县级以上人民政府公安机关交通管理部门或者相当于同级的公安机关交通管理部门作出决定”的规定，如果烟台市公安局交通警察支队下设的大队相当于县级公安机关交通管理部门，其可以以自己名义作出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中华人民共和国道路交通安全法》第一百零七条的规定与《中华人民共和国行政处罚法》第三十三条的规定不一致。前者属于特别规定，后者属于一般规定。根据《立法法》第八十三条的规定，可以适用《中华人民共和国道路交通安全法》第一百零七条规定的简易程序作出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三、本案的行政处罚行为作出时间是在违法行为发生后将近一年，地点并不在违法行为发生地,故不属于当场处罚。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此复。</w:t>
      </w:r>
    </w:p>
    <w:p>
      <w:pPr>
        <w:pStyle w:val="2"/>
        <w:bidi w:val="0"/>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napToGrid/>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最高人民法院行政审判庭关于</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行政处罚的加处罚款在诉讼</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期间应否计算问题的答复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（2007年4月27日  〔2005〕行他字第29号）</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云南省高级人民法院: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你院云高法报〔2005〕第115号《云南省高级人民法院关于在行政案件执行中如何适用行政诉讼法第四十四条的请示》收悉。经研究，答复如下: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根据《中华人民共和国行政诉讼法》的有关规定，对于不履行行政处罚决定所加处罚款属于执行罚，在诉讼期间不应计算。</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此复。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最高人民法院关于没收财产</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是否应进行听证及没收经营药品</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r>
        <w:rPr>
          <w:rFonts w:hint="eastAsia" w:ascii="方正小标宋简体" w:hAnsi="方正小标宋简体" w:eastAsia="方正小标宋简体" w:cs="方正小标宋简体"/>
          <w:b w:val="0"/>
          <w:bCs w:val="0"/>
          <w:color w:val="auto"/>
          <w:sz w:val="36"/>
          <w:szCs w:val="36"/>
          <w:lang w:val="en-US" w:eastAsia="zh-CN"/>
        </w:rPr>
        <w:t>行为等有关法律问题的答复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（2004年9月4日  〔2004〕行他字第1号）</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新疆维吾尔自治区高级人民法院: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你院〔2003〕新行监字第27号请求报告收悉。经研究，答复如下: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人民法院经审理认定，行政机关作出没收较大数额财产的行政处罚决定前，未告知当事人有权要求举行听证或者未按规定举行听证的，应当根据《行政处罚法》的有关规定，确认该行政处罚决定违反法定程序。有关较大数额的标准问题，实行中央垂直领导的行政管理部门作出的没收处罚决定，应参照国务院部委的有关较大数额罚款标准的规定认定；其他行政管理部门作出没收处罚决定，应参照省、自治区、直辖市人民政府的相关规定认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二、根据《行政处罚法》、《药品管理法》的有关规定，没收处罚只能由法律、行政法规或者地方性法规自治条例作出规定。</w:t>
      </w:r>
    </w:p>
    <w:p>
      <w:pPr>
        <w:pStyle w:val="2"/>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最高人民法院关于审理涉及保险公司</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不正当竞争行为的行政处罚案件时</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如何确定行政主体问题的复函</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（2003年12月8日  法函〔2003〕65号）</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湖南省高级人民法院: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你院湘高法〔2003〕124号《关于审理涉及保险公司不正当竞争行为的行政处罚案件如何确定监督检查主体的请示》收悉。经研究，答复如下: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国务院批准、由国务院办公厅2003年7月7日印发的《中国保险监督管理委员会主要职责内设机构和人员编制规定》明确规定，中国保险监督管理委员会“依法对保险机构和保险从业人员的不正当竞争等违法、违规行为以及对非保险机构经营或变相经营保险业务进行调查、处罚”。这一规定与《中华人民共和国反不正当竞争法》的第三条第二款有关“县级以上人民政府工商行政管理部门对不正当竞争行为进行监督检查”的规定并不矛盾。人民法院在审理涉及保险机构不正当竞争行为的行政处罚案件时，应当以中国保险监督管理委员会作为有权进行调查、处罚的主体。</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我院以前的规定与本答复不一致的，以本答复为准。</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最高人民法院关于诉商业银行行政处罚案件的适格被告问题的答复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highlight w:val="none"/>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（2003年8月8日</w:t>
      </w:r>
      <w:r>
        <w:rPr>
          <w:rFonts w:hint="eastAsia" w:ascii="方正仿宋简体" w:hAnsi="方正仿宋简体" w:eastAsia="方正仿宋简体" w:cs="方正仿宋简体"/>
          <w:b w:val="0"/>
          <w:bCs w:val="0"/>
          <w:color w:val="auto"/>
          <w:sz w:val="24"/>
          <w:szCs w:val="24"/>
          <w:lang w:val="en-US" w:eastAsia="zh-CN"/>
        </w:rPr>
        <w:t xml:space="preserve">  </w:t>
      </w:r>
      <w:r>
        <w:rPr>
          <w:rFonts w:hint="eastAsia" w:ascii="方正仿宋简体" w:hAnsi="方正仿宋简体" w:eastAsia="方正仿宋简体" w:cs="方正仿宋简体"/>
          <w:b w:val="0"/>
          <w:bCs w:val="0"/>
          <w:color w:val="auto"/>
          <w:sz w:val="24"/>
          <w:szCs w:val="24"/>
          <w:highlight w:val="none"/>
          <w:lang w:val="en-US" w:eastAsia="zh-CN"/>
        </w:rPr>
        <w:t>〔2003〕行他字第11号）</w:t>
      </w:r>
    </w:p>
    <w:p>
      <w:pPr>
        <w:keepNext w:val="0"/>
        <w:keepLines w:val="0"/>
        <w:pageBreakBefore w:val="0"/>
        <w:numPr>
          <w:ilvl w:val="0"/>
          <w:numId w:val="0"/>
        </w:numPr>
        <w:kinsoku/>
        <w:wordWrap/>
        <w:overflowPunct/>
        <w:topLinePunct w:val="0"/>
        <w:autoSpaceDE/>
        <w:autoSpaceDN/>
        <w:bidi w:val="0"/>
        <w:adjustRightInd w:val="0"/>
        <w:spacing w:line="580" w:lineRule="exact"/>
        <w:ind w:right="0" w:rightChars="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北京市高级人民法院: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你院京高法〔2003〕191号《关于当事人不服商业银行行政处罚提起行政诉讼，应如何确定被告的请示》收悉，经研究，答复如下: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中华人民共和国中国人民银行法》第十二条和《支付结算办法》第二百三十九条的规定，商业银行受中国人民银行的委托行使行政处罚权，当事人不服商业银行行政处罚提起行政诉讼的，应当以委托商业银行行使行政处罚权的中国人民银行分支机构为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此复</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附:</w:t>
      </w: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北京市高级人民法院关于当事人</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不服商业银行行政处罚提起行政诉讼，应如何</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确定被告的请示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highlight w:val="none"/>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（京高法〔2003〕191号）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最高人民法院: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近日，我院分别受理了北京达明伟业经贸有限公司诉中国人民银行行政处罚纠纷上诉案、北京思曼百浪工贸有限公司诉中国人民银行行政处罚纠纷上诉案，该两起案件均涉及当事人对商业银行实施的行政处罚不服而提起行政诉讼，应如何确定被告的问题，特向你院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一、基本案情</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（一）北京达明伟业经贸有限公司诉中国人民银行行政处罚纠纷案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北京达明伟业经贸有限公司（以下简称达明伟业公司）诉称，2000年公司成立后，在中国建设银行石景山支行（以下简称石景山支行）开设一账号。2001年11 月23日，达明伟业公司在该账号还有43万元的情况下，开出一张40万元的转账支票。石景山支行认为达明伟业公司开出的是一张空头支票，于2001年11月26日以开出的支票印签不符为由，依据《票据管理办法》、《支付结算办法》作出行政处罚，强行从达明伟业公司账户上划走20000元。达明伟业公司认为石景山支行行政处罚的权力来源于中国人民银行的行政委托，以中国人民银行为被告提起行政诉讼，请求人民法院判决撤销石景山支行作出的行政处罚。一审法院裁定不予受理，达明伟业公司不服裁定，向我院提起上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（二）北京思曼百浪工贸有限公司诉中国人民银行行政处罚纠纷上诉案</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北京思曼百浪工贸有限公司（以下简称思曼百浪公司）诉称，自己开办的新街口电讯器材营业厅自2000年始便在北京市商业银行股份有限公司新街口支行（以下简称新街口支行）开设账户，进行款项往来中的结算业务。2001年11月30日，思曼百浪公司因业务需要，签发收款人为孙云才，票面金额为人民币32000元，号码为526744 的转账支票一张。由于出票时较为匆忙，导致该支票上的财务专用章部分重影。2001年12月3日，新街口支行以印签不符为由，依据《票据管理办法》、《支付结算办法》对思曼百浪公司处以支票票面金额5%的罚款，出具该行印制的“特种支票借方传票”为载体的书面罚款凭证，并从账户上强行划走罚款。思曼百浪公司认为新街口支行行政处罚的权力来源于中国人民银行的行政委托，以中国人民银行为被告提起行政诉讼，请求人民法院判决撤销新街口支行作出的行政处罚。一审法院裁定不予受理，思曼百浪公司不服裁定，向我院提起上诉。</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二、中国人民银行就《支付结算办法》相关法条的解释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我院受理当事人的上诉后，在审理案件过程中认为中国人民银行制定的《支付结算办法》（银发〔1997</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393号）第二百三十九条关于“对单位和个人承担行政责任的处罚，由中国人民银行委托商业银行执行”存在模糊理解，不能确定商业银行行使行政处罚权力来源于中国人民银行的行政委托还是行政授权。我院依据最高人民法院《关于执行〈中华人民共和国行政诉讼法〉若干问题的解释》第五十一条第（五）项的相关规定，函请中国人民银行对该条作出明确解释。中国人民银行以《中国人民银行关于结处处罚问题的复函》（银函〔2003〕111号）对《支付结算办法》第二百三十九条的含义解释为：对单位和个人违反银行结算管理制度行为的行政处罚，由中国人民银行授权商业银行实施。这里的“中国人民银行授权”包括中国人民银行总行、分行、营业管理部、省会（首府）城市中心支行、支行的授权。石景山支行对单位和个人违反银行结算管理制度的行为实施行政处罚，应当由中国人民银行营业管理部（原中国人民银行北京分行）授权。根据该解释，石景山支行和新街口支行作出行政处罚权力应当来源于中国人民银行行政规章的授权。</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三、我院请示意见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就此类案件应如何处理，存在着不同意见。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第一种意见认为:此类行政案件应以商业银行为被告。理由是:我国行政诉讼法只规定了法律、法规授权的组织实施行政行为时，被授权的组织是被告；行政机关委托其他组织实施行政行为的，委托机关是被告。对于规章授权行政机关的内设机构、派出机构和其他组织行使行政职权的应当由谁做被告，行政诉讼法没有作出规定。但最高人民法院《关于〈执行中华人民共和国行政诉讼法〉若干问题的解释》第二十一条规定，行政机关在没有法律、法规和规章规定的情况下授权其内设机构和派出机构或者其他组织行使行政职权的应当视为委托，当事人不服提起诉讼的，应当以该行政机关为被告，在事实上承认了行政机关在规章规定的情况下授权其内设机构和派出机构或者其他组织行使行政职权的应当视为规范授权，当事人不服提起诉讼的，应当以实施该行为的机构或者组织为被告。根据《中国人民银行关于结处处罚问题的复函》的解释，商业银行对单位和个人违反银行结算管理制度的行为实施行政处罚，其权力来源于行政规章的委托，因此当事人对商业银行实施的行政处罚不服，应以该商业银行为被告。</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第二种意见认为:此类行政案件应当以中国人民银行营业管理部为被告。理由是:《支付结算办法》第二百三十九条规定，“对单位和个人承担行政责任的处罚，由中国人民银行委托商业银行执行。”从字面上理解，商业银行对单位和个人实施行政处罚，是受中国人民银行委托作出的。且依据《中国人民银行行政处罚程序规定》第六条关于人民银行处理金融违法行为管辖分工的规定，该两起案件的行政委托方应是中国人民银行营业管理部。所以，当事人对行政处罚不服，只能起诉委托机关，即中国人民银行营业管理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第三种意见认为:此类行政案件应以中国人民银行营业管理部为被告，但理由不同于第二种意见。《中华人民共和国行政处罚法》第十七条规定，“法律、法规授权的具有管理公共事务职能的组织可以在法定授权范围内实施行政处罚。”《中华人民共和国行政诉讼法》第二十五条规定，“由法律、法规授权的组织所作的具体行政行为，该组织是被告。”据此，我国目前的法律只认可了法律、法规可以授权具有管理公共事务职能的组织实施行政处罚权，而规章不可以授权。此类行政案件，中国人民银行通过行政规章对商业银行授权实施行政处罚权，该授权没有法律依据，不能成立。另《中华人民共和国行政处罚法》第十八条规定，“行政机关依照法律、法规或者规章的规定，可以在其法定权限内委托符合本法第十九条规定条件的组织实施行政处罚。行政机关不得委托其他组织或者个人实施行政处罚。”第十九条第（一）项规定，受委托组织必须是依法成立的管理公共事务的事业组织。按照我国政治、经济体制改革政企分开的要求和有关法律规定，商业银行应为企业，而不是事业组织。因此，中国人民银行委托商业银行实施行政处罚的行政委托行为无效，行政委托也不成立。这种情况下，商业银行从上诉人账户上自行划走资金的行为，应视为协助行政机关执行行政处罚的行为，而行政处罚应视为由中国人民银行营业管理部作出。上诉人对行政处罚不服，应起诉中国人民银行营业管理部。</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经研究，我院倾向于第二种意见。以上意见是否妥当，请指示。</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pStyle w:val="2"/>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最高人民法院对《关于秦大树不服重庆市涪陵区林业局行政处罚争议再审一案如何适用法律的请示》的答复</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32"/>
          <w:szCs w:val="32"/>
          <w:lang w:val="en-US" w:eastAsia="zh-CN"/>
        </w:rPr>
      </w:pPr>
      <w:r>
        <w:rPr>
          <w:rFonts w:hint="eastAsia" w:ascii="方正仿宋简体" w:hAnsi="方正仿宋简体" w:eastAsia="方正仿宋简体" w:cs="方正仿宋简体"/>
          <w:b w:val="0"/>
          <w:bCs w:val="0"/>
          <w:color w:val="auto"/>
          <w:sz w:val="24"/>
          <w:szCs w:val="24"/>
          <w:highlight w:val="none"/>
          <w:lang w:val="en-US" w:eastAsia="zh-CN"/>
        </w:rPr>
        <w:t>（2003年6月23日</w:t>
      </w:r>
      <w:r>
        <w:rPr>
          <w:rFonts w:hint="eastAsia" w:ascii="方正仿宋简体" w:hAnsi="方正仿宋简体" w:eastAsia="方正仿宋简体" w:cs="方正仿宋简体"/>
          <w:b w:val="0"/>
          <w:bCs w:val="0"/>
          <w:color w:val="auto"/>
          <w:sz w:val="24"/>
          <w:szCs w:val="24"/>
          <w:lang w:val="en-US" w:eastAsia="zh-CN"/>
        </w:rPr>
        <w:t xml:space="preserve">  </w:t>
      </w:r>
      <w:r>
        <w:rPr>
          <w:rFonts w:hint="eastAsia" w:ascii="方正仿宋简体" w:hAnsi="方正仿宋简体" w:eastAsia="方正仿宋简体" w:cs="方正仿宋简体"/>
          <w:b w:val="0"/>
          <w:bCs w:val="0"/>
          <w:color w:val="auto"/>
          <w:sz w:val="24"/>
          <w:szCs w:val="24"/>
          <w:highlight w:val="none"/>
          <w:lang w:val="en-US" w:eastAsia="zh-CN"/>
        </w:rPr>
        <w:t>〔2001〕行他字第7号）</w:t>
      </w: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重庆市高级人民法院: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你院渝高法〔2001</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78号《关于秦大树不服重庆市涪陵区林业局行政处罚争议再审一案如何适用法律的请示》收悉。经研究，答复如下: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根据《中华人民共和国行政处罚法》第十一条第二款关于“法律、行政法规对违法行为已经作出行政处罚规定，地方性法规需要作出具体规定的，必须在法律、行政法规规定的给予行政处罚的行为、种类和幅度的范围内规定”的规定，《重庆市林业行政处罚条例》第二十二条第一款第（一）项关于没收无规定林产品运输证的林产品的规定，超出了《中华人民共和国森林法》规定的没收的范围。人民法院在审理有关行政案件时，应当适用上位法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640" w:firstLineChars="200"/>
        <w:jc w:val="both"/>
        <w:textAlignment w:val="auto"/>
        <w:rPr>
          <w:rFonts w:hint="eastAsia" w:ascii="方正仿宋简体" w:hAnsi="方正仿宋简体" w:eastAsia="方正仿宋简体" w:cs="方正仿宋简体"/>
          <w:b w:val="0"/>
          <w:bCs w:val="0"/>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val="0"/>
        <w:spacing w:line="58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附:</w:t>
      </w:r>
    </w:p>
    <w:p>
      <w:pPr>
        <w:keepNext w:val="0"/>
        <w:keepLines w:val="0"/>
        <w:pageBreakBefore w:val="0"/>
        <w:widowControl w:val="0"/>
        <w:numPr>
          <w:ilvl w:val="0"/>
          <w:numId w:val="0"/>
        </w:numPr>
        <w:kinsoku/>
        <w:wordWrap/>
        <w:overflowPunct/>
        <w:topLinePunct w:val="0"/>
        <w:autoSpaceDE/>
        <w:autoSpaceDN/>
        <w:bidi w:val="0"/>
        <w:adjustRightInd w:val="0"/>
        <w:snapToGrid/>
        <w:spacing w:line="660" w:lineRule="exact"/>
        <w:ind w:left="0" w:leftChars="0" w:right="0" w:rightChars="0" w:firstLine="0" w:firstLineChars="0"/>
        <w:jc w:val="center"/>
        <w:textAlignment w:val="auto"/>
        <w:rPr>
          <w:rFonts w:hint="eastAsia" w:eastAsia="方正小标宋简体" w:asciiTheme="minorAscii" w:hAnsiTheme="minorAscii" w:cstheme="minorBidi"/>
          <w:w w:val="100"/>
          <w:kern w:val="44"/>
          <w:sz w:val="4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重庆市高级人民法院关于秦大树不服重庆市</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涪陵区林业局行政处罚争议再审</w:t>
      </w:r>
    </w:p>
    <w:p>
      <w:pPr>
        <w:keepNext w:val="0"/>
        <w:keepLines w:val="0"/>
        <w:pageBreakBefore w:val="0"/>
        <w:widowControl w:val="0"/>
        <w:numPr>
          <w:ilvl w:val="0"/>
          <w:numId w:val="0"/>
        </w:numPr>
        <w:kinsoku/>
        <w:wordWrap/>
        <w:overflowPunct/>
        <w:topLinePunct w:val="0"/>
        <w:autoSpaceDE/>
        <w:autoSpaceDN/>
        <w:bidi w:val="0"/>
        <w:adjustRightInd w:val="0"/>
        <w:snapToGrid/>
        <w:spacing w:line="58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一案如何适用法律的请示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0" w:firstLineChars="0"/>
        <w:jc w:val="center"/>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（渝高法〔2001</w:t>
      </w:r>
      <w:r>
        <w:rPr>
          <w:rFonts w:hint="eastAsia" w:ascii="方正仿宋简体" w:hAnsi="方正仿宋简体" w:eastAsia="方正仿宋简体" w:cs="方正仿宋简体"/>
          <w:b w:val="0"/>
          <w:bCs w:val="0"/>
          <w:color w:val="auto"/>
          <w:sz w:val="24"/>
          <w:szCs w:val="24"/>
          <w:highlight w:val="none"/>
          <w:lang w:val="en-US" w:eastAsia="zh-CN"/>
        </w:rPr>
        <w:t>〕</w:t>
      </w:r>
      <w:r>
        <w:rPr>
          <w:rFonts w:hint="eastAsia" w:ascii="方正仿宋简体" w:hAnsi="方正仿宋简体" w:eastAsia="方正仿宋简体" w:cs="方正仿宋简体"/>
          <w:b w:val="0"/>
          <w:bCs w:val="0"/>
          <w:color w:val="auto"/>
          <w:sz w:val="24"/>
          <w:szCs w:val="24"/>
          <w:lang w:val="en-US" w:eastAsia="zh-CN"/>
        </w:rPr>
        <w:t>78号）</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right="0" w:rightChars="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最高人民法院:</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我市第三中级人民法院在审理秦大树不服涪陵区林业局行政处罚争议再审一案时，就如何适用《重庆市林业行政处罚条例》有争议，故请示到我院。我院审判委员会经讨论，对该案原告秦大树无运输证运输合法所有的林产品,可否界定为行政处罚法第八条第（三）项所规定的“违法所得或非法财物”，以及“违法所得”是否包含成本这两个问题仍有分歧意见，故决定向你院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一、案件基本事实</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秦大树系丰都县双路镇个体工商户，其于1998年4月办理工商营业执照。该营业执照记载的主要内容包括:经营范围为主营植物油加工，兼营粮食、李干等政策允许范围内的农副产品；经营方式为加工、收购、销售；经营期限至2002年4月3日。1999年6月2日，秦大树向丰都县双路林业管理站缴纳了收购50吨桐油的育林基金1500元。同年6月24日秦在向丰都工商行政管理机关缴纳了桐油运销管理费210元后，将自己加工的2吨桐油从丰都县双路镇运往重庆出售，途经涪陵乌江大桥时，被涪陵区林业局执法人员拦截检查。该局执法人员检查发现秦所运桐油并未办理运输证，遂当即扣留了该批桐油。次日凌晨，涪陵区林业局执法人员对秦大树及其驾驶员进行询问，并听取其陈述、申辩，经林业局法制科审查同意后，于当日作出没收该批桐油的行政处罚决定。6月28日，秦大树向涪陵区林业局缴清了该批桐油的变价处理款7500元，该局才给秦大树补办了运输证，并同意其将桐油运走。</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涪陵区林业局作出上述行政处罚决定的理由是:《重庆市林业行政处罚条例》（以下简称《条例》）授权市林业局制定林产品目录，市林业局遂以渝林资〔1999〕13号文件形式确定了林产品目录。根据该文件规定，桐油系林产品，应当办理运输证。秦大树无证运输桐油，依据《条例》第二十二条第一款第一项之规定，可以没收该批桐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秦大树不服该行政处罚决定，向重庆市林业局申请复议，重庆市林业局于1999年8月9日作出渝林复决字〔1999〕10号行政复议决定，维持涪陵区林业局对秦作出的林罚字第〔1999〕5号行政处罚决定，秦大树遂于1999年8月9日起诉至涪陵区法院，请求撤销涪陵区林业局对其作出的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二、原一、二审判决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审认为:原告无证运输桐油，其行为违反了《条例》的规定，被告作出的处罚事实清楚，证据充分，程序合法。遂于1999年11月11日判决维持被告作出的林罚字第〔1999〕5号行政处罚决定。原告秦大树不服该判决，上诉至三中院。二审认为:秦所运桐油属规定的林产品，应当依法办理运输证。涪陵区林业局以秦无运输证运输规定的林产品为由，对其作出没收桐油的处罚决定事实清楚、证据充分、程序合法。原判决适用法律正确、审判程序合法，应予维持，遂于2000年3月9日判决驳回上诉，维持原判决。</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三、申诉复查的意见</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秦大树不服一、二判决而申诉到市人大，市人大内司委向三中院发出了督办函。三中院遂对本案进行了复查，复查意见有两种:一、原一、二审判决认定事实清楚，适用法律正确，应当予以维持；二、秦大树虽未办理运输证，但并无过错，因为丰都县林业局未贯彻执行渝林资〔1999〕13号文件，秦不知道运输桐油需要办理运输证，且已缴纳育林基金和桐油运销管理费。因此可对本案进行再审。三中院审委会经讨论，决定对本案进行再审。</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再审中市三中院就如下两个问题请示到本院:一、秦大树无证运输的合法产品，是否属“违法所得或非法财物”？二、《中华人民共和国行政处罚法》规定的行政处罚种类中限定，“没收”只能是没收违法所得和非法财物，《条例》第五条也规定没收非法财物，但该条例第二十二条第一款第一项中规定:对规定林产品无运输证的，予以没收。如何适用该条例第五条和第二十二条第一款第一项的规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四、需要说明的事项</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由于该案是市人大评议三中院时提出的督办案件，我室承办人在办理该案时走访了市人大内司委。他们认为重庆市制定的两个规定，即《条例》和渝林资〔1999〕13号文件规定的“林产品目录”均不合理，与上位法有冲突，应当适用上位法对该案进行改判。</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五、处理意见与理由</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经讨论，我们的倾向性意见是撤销原一、二审判决及涪陵区林业局对秦大树作出没收其无证运输的桐油的处罚决定。理由如下:</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一）《条例》与《中华人民共和国行政处罚法》是相抵触的,《中华人民共和国行政处罚法》第八条规定:“没收违法所得、没收非法财物”。《条例》第一章总则第五条也规定没收非法财物,而该条例第二十二条第一款第一项规定:对规定林产品无运输证的，予以没收。无证运输规定林产品的，构成非法运输，但行为人运输的林产品是否就是“违法所得或非法财物”则要视情况而定。如果行为人对所运的物品享有合法的所有权（行为人有相应的主体资格并办理了相应的手续），就不能因其非法运输而将该林产品视为行为人的违法所得或非法财物。由此可知，遵照该条例第二十二条第一款第一项规定，对无证运输规定林产品的就予以没收，则可能没收了行为人的合法所得与合法财物。因此，《条例》第二十二条第一款第一项扩大了没收的范围，与《中华人民共和国行政处罚法》第八条规定及该条例第五条是相抵触的。</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二）秦大树无证运输的桐油不属于违法所得或非法财物因为首先秦大树具有收购、加工和销售植物油的主体资格；其次秦大树缴纳了该批桐油的育林基金和桐油运销管理费，因此秦对该批桐油享有合法的所有权。秦无证运输桐油，只能认定为非法运输，而不能将该批桐油认定为违法所得或非法财物。</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综上所述，由于《条例》分则中第二十二条第一款第一项与《行政处罚法》第八条规定及《条例》总则中第五条是相抵触的，而按照上位法优先于下位法、总则优先于分则的法律适用原理，因此应当适用《行政处罚法》第八条规定及《条例》第五条规定，而不能适用《条例》第二十二条第一款第一项。秦大树虽然无证运输规定的林产品，构成非法运输，但其所运的桐油并非违法所得或非法财物，故不得直接予以没收，因此再审应撤销一、二审判决和行政处罚决定。</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但少数人对改判的理由有异议，他们认为：1.行为人违反法律、法规，无证运输必须办理运输证才可运输的限制流通物,构成非法运输。不论其对所运物品是否享有合法所有权，及是否办理其他一些法定手续，由于其行为违反了国家对限制流通物的管理秩序，故其所运输品就是非法财物。因此，《条例》第二十二条第一款第一项与《中华人民共和国行政处罚法》第八条并不抵触，与该《条例》第五条也不矛盾。秦大树无证运输规定的林产品，其所运的桐油即是非法财物，故可依《条例》第二十二条第一款第一项予以没收。因此再审应维持一、二审判决和行政处罚决定。2.我国法院的司法审查权是有限的,只审查具体行政行为的合法性，对权力机关制定的地方性法规没有审查权。如果认为具体行政行为所依据的地方性法规的规定不合理，则只能依法提出修改法规的司法建议，并不能因此而认定该具体行政行为不合法，进而撤销该具体行政行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eastAsia"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综上所述，对该案原告秦大树无运输证运输合法所有的林产品可否界定为行政处罚法第八条（三）项所规定的“违法所得或非法财物”是审理该案的关键，对此问题的认识将影响到该案件的实体处理，鉴于本院审判委员会对这一问题的认识不能达成一致意见，故决定向你院请示。</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right="0" w:rightChars="0" w:firstLine="480" w:firstLineChars="200"/>
        <w:jc w:val="both"/>
        <w:textAlignment w:val="auto"/>
        <w:rPr>
          <w:rFonts w:hint="default" w:ascii="方正仿宋简体" w:hAnsi="方正仿宋简体" w:eastAsia="方正仿宋简体" w:cs="方正仿宋简体"/>
          <w:b w:val="0"/>
          <w:bCs w:val="0"/>
          <w:color w:val="auto"/>
          <w:sz w:val="24"/>
          <w:szCs w:val="24"/>
          <w:lang w:val="en-US" w:eastAsia="zh-CN"/>
        </w:rPr>
      </w:pPr>
      <w:r>
        <w:rPr>
          <w:rFonts w:hint="eastAsia" w:ascii="方正仿宋简体" w:hAnsi="方正仿宋简体" w:eastAsia="方正仿宋简体" w:cs="方正仿宋简体"/>
          <w:b w:val="0"/>
          <w:bCs w:val="0"/>
          <w:color w:val="auto"/>
          <w:sz w:val="24"/>
          <w:szCs w:val="24"/>
          <w:lang w:val="en-US" w:eastAsia="zh-CN"/>
        </w:rPr>
        <w:t>特此请示，望批复。</w:t>
      </w:r>
    </w:p>
    <w:sectPr>
      <w:pgSz w:w="10431" w:h="14740"/>
      <w:pgMar w:top="1531" w:right="1474" w:bottom="1531" w:left="1474" w:header="851" w:footer="992" w:gutter="0"/>
      <w:pgBorders>
        <w:top w:val="none" w:sz="0" w:space="0"/>
        <w:left w:val="none" w:sz="0" w:space="0"/>
        <w:bottom w:val="none" w:sz="0" w:space="0"/>
        <w:right w:val="none" w:sz="0" w:space="0"/>
      </w:pgBorders>
      <w:pgNumType w:fmt="numberInDash"/>
      <w:cols w:space="0" w:num="1"/>
      <w:rtlGutter w:val="0"/>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大标宋简体">
    <w:altName w:val="微软雅黑"/>
    <w:panose1 w:val="03000509000000000000"/>
    <w:charset w:val="86"/>
    <w:family w:val="auto"/>
    <w:pitch w:val="default"/>
    <w:sig w:usb0="00000000" w:usb1="00000000" w:usb2="00000000" w:usb3="00000000" w:csb0="00040000" w:csb1="00000000"/>
  </w:font>
  <w:font w:name="宋体-18030">
    <w:altName w:val="微软雅黑"/>
    <w:panose1 w:val="02010609060101010101"/>
    <w:charset w:val="86"/>
    <w:family w:val="modern"/>
    <w:pitch w:val="default"/>
    <w:sig w:usb0="00000000" w:usb1="00000000" w:usb2="0000001E" w:usb3="00000000" w:csb0="003C004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049E9"/>
    <w:multiLevelType w:val="singleLevel"/>
    <w:tmpl w:val="DB7049E9"/>
    <w:lvl w:ilvl="0" w:tentative="0">
      <w:start w:val="9"/>
      <w:numFmt w:val="chineseCounting"/>
      <w:suff w:val="space"/>
      <w:lvlText w:val="第%1条"/>
      <w:lvlJc w:val="left"/>
      <w:rPr>
        <w:rFonts w:hint="eastAsia"/>
      </w:rPr>
    </w:lvl>
  </w:abstractNum>
  <w:abstractNum w:abstractNumId="1">
    <w:nsid w:val="027E9DDA"/>
    <w:multiLevelType w:val="singleLevel"/>
    <w:tmpl w:val="027E9DDA"/>
    <w:lvl w:ilvl="0" w:tentative="0">
      <w:start w:val="2"/>
      <w:numFmt w:val="chineseCounting"/>
      <w:suff w:val="space"/>
      <w:lvlText w:val="第%1条"/>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22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4352"/>
    <w:rsid w:val="000A253E"/>
    <w:rsid w:val="004642D0"/>
    <w:rsid w:val="00B35891"/>
    <w:rsid w:val="00B56218"/>
    <w:rsid w:val="01031A59"/>
    <w:rsid w:val="018420B3"/>
    <w:rsid w:val="02371D99"/>
    <w:rsid w:val="02553004"/>
    <w:rsid w:val="030331AB"/>
    <w:rsid w:val="030A37A4"/>
    <w:rsid w:val="03333B9F"/>
    <w:rsid w:val="033B77BC"/>
    <w:rsid w:val="034D0AA5"/>
    <w:rsid w:val="034E4B0A"/>
    <w:rsid w:val="036A7F39"/>
    <w:rsid w:val="03BB6FE9"/>
    <w:rsid w:val="04367DD5"/>
    <w:rsid w:val="04547442"/>
    <w:rsid w:val="046D29D6"/>
    <w:rsid w:val="04AE554D"/>
    <w:rsid w:val="05541F2C"/>
    <w:rsid w:val="05550D14"/>
    <w:rsid w:val="05EC1ABB"/>
    <w:rsid w:val="06184561"/>
    <w:rsid w:val="062A5AE1"/>
    <w:rsid w:val="062B4C17"/>
    <w:rsid w:val="06507587"/>
    <w:rsid w:val="06906233"/>
    <w:rsid w:val="06A74480"/>
    <w:rsid w:val="06B614DD"/>
    <w:rsid w:val="070A77E9"/>
    <w:rsid w:val="078C695F"/>
    <w:rsid w:val="078E2FCE"/>
    <w:rsid w:val="07A334F2"/>
    <w:rsid w:val="07A74F56"/>
    <w:rsid w:val="07C95783"/>
    <w:rsid w:val="080866C4"/>
    <w:rsid w:val="081077A8"/>
    <w:rsid w:val="085F0902"/>
    <w:rsid w:val="095F5CA4"/>
    <w:rsid w:val="096548E6"/>
    <w:rsid w:val="097A689D"/>
    <w:rsid w:val="098208DC"/>
    <w:rsid w:val="09C476A7"/>
    <w:rsid w:val="0A066514"/>
    <w:rsid w:val="0A0D67AE"/>
    <w:rsid w:val="0A5B1311"/>
    <w:rsid w:val="0A753376"/>
    <w:rsid w:val="0A87630F"/>
    <w:rsid w:val="0B6361B0"/>
    <w:rsid w:val="0B6F0A5E"/>
    <w:rsid w:val="0B9F1A7E"/>
    <w:rsid w:val="0C6275C9"/>
    <w:rsid w:val="0C660F8C"/>
    <w:rsid w:val="0CB36794"/>
    <w:rsid w:val="0CCA605A"/>
    <w:rsid w:val="0CD645C5"/>
    <w:rsid w:val="0CDA4D94"/>
    <w:rsid w:val="0D8E202C"/>
    <w:rsid w:val="0DBC4D1B"/>
    <w:rsid w:val="0E38062C"/>
    <w:rsid w:val="0E3F01B0"/>
    <w:rsid w:val="0E66599B"/>
    <w:rsid w:val="0E6B0E03"/>
    <w:rsid w:val="0E8C66CF"/>
    <w:rsid w:val="0F0253BC"/>
    <w:rsid w:val="0FAF66D7"/>
    <w:rsid w:val="0FCA5B4D"/>
    <w:rsid w:val="0FE530F0"/>
    <w:rsid w:val="0FEB5FCE"/>
    <w:rsid w:val="10262999"/>
    <w:rsid w:val="102A5AA7"/>
    <w:rsid w:val="106C435A"/>
    <w:rsid w:val="11296F08"/>
    <w:rsid w:val="1141591B"/>
    <w:rsid w:val="118201DD"/>
    <w:rsid w:val="11CD4D13"/>
    <w:rsid w:val="11D225FD"/>
    <w:rsid w:val="11FF06B8"/>
    <w:rsid w:val="121054D8"/>
    <w:rsid w:val="12180E43"/>
    <w:rsid w:val="1225190C"/>
    <w:rsid w:val="12DE28AE"/>
    <w:rsid w:val="131538AD"/>
    <w:rsid w:val="135E6DD6"/>
    <w:rsid w:val="13A55B72"/>
    <w:rsid w:val="13B25580"/>
    <w:rsid w:val="13C0658D"/>
    <w:rsid w:val="13FA1142"/>
    <w:rsid w:val="141C0695"/>
    <w:rsid w:val="142A6409"/>
    <w:rsid w:val="14902A6F"/>
    <w:rsid w:val="14CC34BF"/>
    <w:rsid w:val="15162E0F"/>
    <w:rsid w:val="15255B4A"/>
    <w:rsid w:val="156E4C73"/>
    <w:rsid w:val="157E0EBB"/>
    <w:rsid w:val="15C97866"/>
    <w:rsid w:val="15F73B63"/>
    <w:rsid w:val="163472CD"/>
    <w:rsid w:val="165262CD"/>
    <w:rsid w:val="168D2DE3"/>
    <w:rsid w:val="16A86380"/>
    <w:rsid w:val="16DD0E06"/>
    <w:rsid w:val="172447D1"/>
    <w:rsid w:val="174878F5"/>
    <w:rsid w:val="175046DE"/>
    <w:rsid w:val="175556E2"/>
    <w:rsid w:val="175E0287"/>
    <w:rsid w:val="177F4963"/>
    <w:rsid w:val="179A61C1"/>
    <w:rsid w:val="18510FC3"/>
    <w:rsid w:val="185A5A34"/>
    <w:rsid w:val="1893598F"/>
    <w:rsid w:val="18A66492"/>
    <w:rsid w:val="18AA43FC"/>
    <w:rsid w:val="18C717B5"/>
    <w:rsid w:val="18CC6853"/>
    <w:rsid w:val="192D4D42"/>
    <w:rsid w:val="197B48DD"/>
    <w:rsid w:val="19C32399"/>
    <w:rsid w:val="1A0D6CFF"/>
    <w:rsid w:val="1AA26444"/>
    <w:rsid w:val="1AC87781"/>
    <w:rsid w:val="1B1F1CB6"/>
    <w:rsid w:val="1B3A3211"/>
    <w:rsid w:val="1BAE7C6E"/>
    <w:rsid w:val="1C094AF5"/>
    <w:rsid w:val="1C297EEB"/>
    <w:rsid w:val="1C573675"/>
    <w:rsid w:val="1C6029EC"/>
    <w:rsid w:val="1C8F7F38"/>
    <w:rsid w:val="1C932602"/>
    <w:rsid w:val="1CA047D6"/>
    <w:rsid w:val="1CCF5464"/>
    <w:rsid w:val="1CD36B70"/>
    <w:rsid w:val="1CD46DB8"/>
    <w:rsid w:val="1CE94C8E"/>
    <w:rsid w:val="1CF555AB"/>
    <w:rsid w:val="1D581809"/>
    <w:rsid w:val="1D625592"/>
    <w:rsid w:val="1DBB1C92"/>
    <w:rsid w:val="1DC87E09"/>
    <w:rsid w:val="1DCF0EA7"/>
    <w:rsid w:val="1E5021DC"/>
    <w:rsid w:val="1E721B6A"/>
    <w:rsid w:val="1ED37D34"/>
    <w:rsid w:val="1F371759"/>
    <w:rsid w:val="1F460413"/>
    <w:rsid w:val="1F694315"/>
    <w:rsid w:val="1F6D43DC"/>
    <w:rsid w:val="20151346"/>
    <w:rsid w:val="20276116"/>
    <w:rsid w:val="20CC549C"/>
    <w:rsid w:val="20F84FC0"/>
    <w:rsid w:val="2103710D"/>
    <w:rsid w:val="21212E6C"/>
    <w:rsid w:val="21212EC7"/>
    <w:rsid w:val="21734F2E"/>
    <w:rsid w:val="217C1307"/>
    <w:rsid w:val="218A6477"/>
    <w:rsid w:val="21921D29"/>
    <w:rsid w:val="222228E2"/>
    <w:rsid w:val="22326898"/>
    <w:rsid w:val="223856FB"/>
    <w:rsid w:val="22497B7C"/>
    <w:rsid w:val="22547663"/>
    <w:rsid w:val="229520BC"/>
    <w:rsid w:val="22B762CC"/>
    <w:rsid w:val="22DD72F4"/>
    <w:rsid w:val="23450B2B"/>
    <w:rsid w:val="2446575B"/>
    <w:rsid w:val="24826219"/>
    <w:rsid w:val="24890E65"/>
    <w:rsid w:val="24AE40B6"/>
    <w:rsid w:val="24BF3C13"/>
    <w:rsid w:val="24D168FA"/>
    <w:rsid w:val="24F34B91"/>
    <w:rsid w:val="252C3048"/>
    <w:rsid w:val="25A52883"/>
    <w:rsid w:val="25AF7C3D"/>
    <w:rsid w:val="26170EFA"/>
    <w:rsid w:val="2674116E"/>
    <w:rsid w:val="26F368E4"/>
    <w:rsid w:val="26F4384E"/>
    <w:rsid w:val="2701269E"/>
    <w:rsid w:val="270E1951"/>
    <w:rsid w:val="272146DB"/>
    <w:rsid w:val="27354D9F"/>
    <w:rsid w:val="27521B18"/>
    <w:rsid w:val="278F14C5"/>
    <w:rsid w:val="27B01DCA"/>
    <w:rsid w:val="27F930AA"/>
    <w:rsid w:val="282E5349"/>
    <w:rsid w:val="28CE7C44"/>
    <w:rsid w:val="29082C7A"/>
    <w:rsid w:val="29357C0E"/>
    <w:rsid w:val="293E164B"/>
    <w:rsid w:val="296D0095"/>
    <w:rsid w:val="29A979C0"/>
    <w:rsid w:val="29B92BA4"/>
    <w:rsid w:val="29BD766B"/>
    <w:rsid w:val="2A73010E"/>
    <w:rsid w:val="2A993A78"/>
    <w:rsid w:val="2B0F73AA"/>
    <w:rsid w:val="2B7A3E3B"/>
    <w:rsid w:val="2B880095"/>
    <w:rsid w:val="2B9D658F"/>
    <w:rsid w:val="2BE40B04"/>
    <w:rsid w:val="2BF87CF4"/>
    <w:rsid w:val="2C7635C1"/>
    <w:rsid w:val="2C9B237D"/>
    <w:rsid w:val="2D406A88"/>
    <w:rsid w:val="2D513FC9"/>
    <w:rsid w:val="2D9341E7"/>
    <w:rsid w:val="2DE52276"/>
    <w:rsid w:val="2E3D3FEC"/>
    <w:rsid w:val="2E5212FF"/>
    <w:rsid w:val="2E7D01ED"/>
    <w:rsid w:val="2EEA1A1E"/>
    <w:rsid w:val="2F024A1A"/>
    <w:rsid w:val="2F031CE3"/>
    <w:rsid w:val="2F1424E6"/>
    <w:rsid w:val="2F3D4843"/>
    <w:rsid w:val="2F5837A5"/>
    <w:rsid w:val="2FA40916"/>
    <w:rsid w:val="2FBB45CD"/>
    <w:rsid w:val="2FBC7485"/>
    <w:rsid w:val="2FFD6004"/>
    <w:rsid w:val="307A4215"/>
    <w:rsid w:val="308C0AE4"/>
    <w:rsid w:val="30917156"/>
    <w:rsid w:val="30982877"/>
    <w:rsid w:val="30AA1AF0"/>
    <w:rsid w:val="30D90E6E"/>
    <w:rsid w:val="30F63641"/>
    <w:rsid w:val="31170721"/>
    <w:rsid w:val="318A7F2B"/>
    <w:rsid w:val="32047647"/>
    <w:rsid w:val="322216AE"/>
    <w:rsid w:val="32627D9B"/>
    <w:rsid w:val="32D2141F"/>
    <w:rsid w:val="330747E3"/>
    <w:rsid w:val="338C60D2"/>
    <w:rsid w:val="33D37913"/>
    <w:rsid w:val="341C3438"/>
    <w:rsid w:val="3439594B"/>
    <w:rsid w:val="34796FC4"/>
    <w:rsid w:val="34C11CB4"/>
    <w:rsid w:val="34C92DF9"/>
    <w:rsid w:val="35164F2B"/>
    <w:rsid w:val="35896368"/>
    <w:rsid w:val="35A8231D"/>
    <w:rsid w:val="35D01F0D"/>
    <w:rsid w:val="360F6160"/>
    <w:rsid w:val="36135E75"/>
    <w:rsid w:val="36454483"/>
    <w:rsid w:val="36DA5684"/>
    <w:rsid w:val="37A94F2C"/>
    <w:rsid w:val="37B60C5D"/>
    <w:rsid w:val="37C63875"/>
    <w:rsid w:val="37D21C95"/>
    <w:rsid w:val="38024B71"/>
    <w:rsid w:val="382E477F"/>
    <w:rsid w:val="38735A1A"/>
    <w:rsid w:val="38896D35"/>
    <w:rsid w:val="38B0777A"/>
    <w:rsid w:val="38D66DD7"/>
    <w:rsid w:val="38DF7EED"/>
    <w:rsid w:val="396F2C04"/>
    <w:rsid w:val="39E535B0"/>
    <w:rsid w:val="39EA7857"/>
    <w:rsid w:val="3A01005F"/>
    <w:rsid w:val="3A237A7D"/>
    <w:rsid w:val="3A5C6525"/>
    <w:rsid w:val="3A6D4133"/>
    <w:rsid w:val="3AD268FA"/>
    <w:rsid w:val="3AD9330C"/>
    <w:rsid w:val="3B1C2CBC"/>
    <w:rsid w:val="3B2E6309"/>
    <w:rsid w:val="3B427A99"/>
    <w:rsid w:val="3B471D8F"/>
    <w:rsid w:val="3B4C540F"/>
    <w:rsid w:val="3B4D6EBB"/>
    <w:rsid w:val="3B7433CA"/>
    <w:rsid w:val="3BE42B3C"/>
    <w:rsid w:val="3C3F4E1C"/>
    <w:rsid w:val="3C9D180A"/>
    <w:rsid w:val="3D075D31"/>
    <w:rsid w:val="3D3E64DB"/>
    <w:rsid w:val="3D4E6328"/>
    <w:rsid w:val="3D8658E9"/>
    <w:rsid w:val="3D9C609B"/>
    <w:rsid w:val="3DBA3F63"/>
    <w:rsid w:val="3DCC131A"/>
    <w:rsid w:val="3DD122D9"/>
    <w:rsid w:val="3DDD7C43"/>
    <w:rsid w:val="3DE432CD"/>
    <w:rsid w:val="3E4D5E8E"/>
    <w:rsid w:val="3EA830B1"/>
    <w:rsid w:val="3EAA1CF0"/>
    <w:rsid w:val="3ED9266B"/>
    <w:rsid w:val="3F147B4D"/>
    <w:rsid w:val="3F3248EB"/>
    <w:rsid w:val="3F4936F2"/>
    <w:rsid w:val="3F9136EE"/>
    <w:rsid w:val="3F9E5CA9"/>
    <w:rsid w:val="3FA17E91"/>
    <w:rsid w:val="3FB65FDF"/>
    <w:rsid w:val="3FEE4A3D"/>
    <w:rsid w:val="40617742"/>
    <w:rsid w:val="413D7FBC"/>
    <w:rsid w:val="41997DD7"/>
    <w:rsid w:val="41D076DC"/>
    <w:rsid w:val="41E85B3C"/>
    <w:rsid w:val="426707DC"/>
    <w:rsid w:val="429E49D4"/>
    <w:rsid w:val="429E5CDE"/>
    <w:rsid w:val="430E5061"/>
    <w:rsid w:val="434507B1"/>
    <w:rsid w:val="434E3034"/>
    <w:rsid w:val="4370443E"/>
    <w:rsid w:val="439B26E7"/>
    <w:rsid w:val="44187F19"/>
    <w:rsid w:val="4457668D"/>
    <w:rsid w:val="44757826"/>
    <w:rsid w:val="44D50685"/>
    <w:rsid w:val="44DE7EAB"/>
    <w:rsid w:val="44FA09E5"/>
    <w:rsid w:val="451C7BB9"/>
    <w:rsid w:val="45320302"/>
    <w:rsid w:val="45A36B65"/>
    <w:rsid w:val="45E02866"/>
    <w:rsid w:val="45EA1FB2"/>
    <w:rsid w:val="45F96628"/>
    <w:rsid w:val="46386421"/>
    <w:rsid w:val="46454B1C"/>
    <w:rsid w:val="465632FC"/>
    <w:rsid w:val="46825DCA"/>
    <w:rsid w:val="46AC62DA"/>
    <w:rsid w:val="46F107E1"/>
    <w:rsid w:val="46F334CB"/>
    <w:rsid w:val="47364FCE"/>
    <w:rsid w:val="473E0CFD"/>
    <w:rsid w:val="47577C1B"/>
    <w:rsid w:val="47AA1DF3"/>
    <w:rsid w:val="4816603A"/>
    <w:rsid w:val="48720DAB"/>
    <w:rsid w:val="487A28D8"/>
    <w:rsid w:val="48A325ED"/>
    <w:rsid w:val="492A754B"/>
    <w:rsid w:val="492B717F"/>
    <w:rsid w:val="49613443"/>
    <w:rsid w:val="497827A2"/>
    <w:rsid w:val="49A50EFA"/>
    <w:rsid w:val="49C37BC5"/>
    <w:rsid w:val="49E67570"/>
    <w:rsid w:val="4A1B295A"/>
    <w:rsid w:val="4A32313B"/>
    <w:rsid w:val="4A453D16"/>
    <w:rsid w:val="4AC1252B"/>
    <w:rsid w:val="4ADE501C"/>
    <w:rsid w:val="4B162938"/>
    <w:rsid w:val="4B445826"/>
    <w:rsid w:val="4B994007"/>
    <w:rsid w:val="4C0D6F29"/>
    <w:rsid w:val="4C114D74"/>
    <w:rsid w:val="4C4468C7"/>
    <w:rsid w:val="4CA84FBB"/>
    <w:rsid w:val="4D567404"/>
    <w:rsid w:val="4D5A2BD4"/>
    <w:rsid w:val="4D730887"/>
    <w:rsid w:val="4DB26E7B"/>
    <w:rsid w:val="4DB77DB7"/>
    <w:rsid w:val="4DE97634"/>
    <w:rsid w:val="4DEA7D96"/>
    <w:rsid w:val="4E200B0F"/>
    <w:rsid w:val="4E49193F"/>
    <w:rsid w:val="4E537D17"/>
    <w:rsid w:val="4E5D0E77"/>
    <w:rsid w:val="4E616976"/>
    <w:rsid w:val="4E925081"/>
    <w:rsid w:val="4E9F59C7"/>
    <w:rsid w:val="4EB5324C"/>
    <w:rsid w:val="4ED228CD"/>
    <w:rsid w:val="4F357128"/>
    <w:rsid w:val="4F4D5352"/>
    <w:rsid w:val="4F8344B9"/>
    <w:rsid w:val="4F837347"/>
    <w:rsid w:val="4F907280"/>
    <w:rsid w:val="4FB758B2"/>
    <w:rsid w:val="4FE52358"/>
    <w:rsid w:val="504E64D0"/>
    <w:rsid w:val="506D5226"/>
    <w:rsid w:val="509631C6"/>
    <w:rsid w:val="50C1287D"/>
    <w:rsid w:val="51913C28"/>
    <w:rsid w:val="51AA5426"/>
    <w:rsid w:val="522E1406"/>
    <w:rsid w:val="52407975"/>
    <w:rsid w:val="526E60E7"/>
    <w:rsid w:val="52790FB7"/>
    <w:rsid w:val="52A34524"/>
    <w:rsid w:val="52B70322"/>
    <w:rsid w:val="52D304F3"/>
    <w:rsid w:val="52E7631B"/>
    <w:rsid w:val="52ED5FC6"/>
    <w:rsid w:val="53181281"/>
    <w:rsid w:val="53245ED8"/>
    <w:rsid w:val="53561731"/>
    <w:rsid w:val="537E26CA"/>
    <w:rsid w:val="539268B4"/>
    <w:rsid w:val="53D04630"/>
    <w:rsid w:val="53E809EA"/>
    <w:rsid w:val="5443346B"/>
    <w:rsid w:val="546C2FDB"/>
    <w:rsid w:val="54DF38B7"/>
    <w:rsid w:val="558316F7"/>
    <w:rsid w:val="558F5E12"/>
    <w:rsid w:val="55E6591C"/>
    <w:rsid w:val="55E85F1E"/>
    <w:rsid w:val="55E95B78"/>
    <w:rsid w:val="55FE1468"/>
    <w:rsid w:val="562448C8"/>
    <w:rsid w:val="5632660F"/>
    <w:rsid w:val="566758DF"/>
    <w:rsid w:val="56746546"/>
    <w:rsid w:val="567606F0"/>
    <w:rsid w:val="56965CAF"/>
    <w:rsid w:val="56AC4682"/>
    <w:rsid w:val="56D33097"/>
    <w:rsid w:val="56F73993"/>
    <w:rsid w:val="570070BC"/>
    <w:rsid w:val="571C307D"/>
    <w:rsid w:val="57392F28"/>
    <w:rsid w:val="574E5EAD"/>
    <w:rsid w:val="575B4A0E"/>
    <w:rsid w:val="57BB651E"/>
    <w:rsid w:val="57CA60D0"/>
    <w:rsid w:val="57D07968"/>
    <w:rsid w:val="57EF57F3"/>
    <w:rsid w:val="57F13A5B"/>
    <w:rsid w:val="585561DD"/>
    <w:rsid w:val="586E5DB0"/>
    <w:rsid w:val="58A506FC"/>
    <w:rsid w:val="58CD1D96"/>
    <w:rsid w:val="58E40B49"/>
    <w:rsid w:val="58E66473"/>
    <w:rsid w:val="58FE5B6F"/>
    <w:rsid w:val="590D47BB"/>
    <w:rsid w:val="591B45F1"/>
    <w:rsid w:val="59331328"/>
    <w:rsid w:val="5A343A2C"/>
    <w:rsid w:val="5A4018A7"/>
    <w:rsid w:val="5A4D6F26"/>
    <w:rsid w:val="5A7A6628"/>
    <w:rsid w:val="5AC7272F"/>
    <w:rsid w:val="5AC939C6"/>
    <w:rsid w:val="5AD94FE7"/>
    <w:rsid w:val="5B030D62"/>
    <w:rsid w:val="5B1B03DE"/>
    <w:rsid w:val="5B25112C"/>
    <w:rsid w:val="5B3D2AF4"/>
    <w:rsid w:val="5BA82A87"/>
    <w:rsid w:val="5BBB1B21"/>
    <w:rsid w:val="5BBC10F6"/>
    <w:rsid w:val="5BBE4240"/>
    <w:rsid w:val="5BFA2ADB"/>
    <w:rsid w:val="5C381720"/>
    <w:rsid w:val="5C4B41DC"/>
    <w:rsid w:val="5C5E098C"/>
    <w:rsid w:val="5D3A0295"/>
    <w:rsid w:val="5D910CEE"/>
    <w:rsid w:val="5DAF7F16"/>
    <w:rsid w:val="5DC5123D"/>
    <w:rsid w:val="5DE52A75"/>
    <w:rsid w:val="5E484C1F"/>
    <w:rsid w:val="5E6506A9"/>
    <w:rsid w:val="5EDB7FB7"/>
    <w:rsid w:val="5EE01011"/>
    <w:rsid w:val="5EEA75EF"/>
    <w:rsid w:val="5F046DEC"/>
    <w:rsid w:val="5F2B3F19"/>
    <w:rsid w:val="5F2F28BC"/>
    <w:rsid w:val="5F4F3BC2"/>
    <w:rsid w:val="5F5339C8"/>
    <w:rsid w:val="5F6A24C4"/>
    <w:rsid w:val="5FA81345"/>
    <w:rsid w:val="601E4E54"/>
    <w:rsid w:val="609A31F1"/>
    <w:rsid w:val="609E34CD"/>
    <w:rsid w:val="61075589"/>
    <w:rsid w:val="613B4F57"/>
    <w:rsid w:val="615F573D"/>
    <w:rsid w:val="61702975"/>
    <w:rsid w:val="617669C3"/>
    <w:rsid w:val="617936B3"/>
    <w:rsid w:val="6197363A"/>
    <w:rsid w:val="61A23D5B"/>
    <w:rsid w:val="61AD3BAC"/>
    <w:rsid w:val="61BE4582"/>
    <w:rsid w:val="61F422DA"/>
    <w:rsid w:val="61F92C26"/>
    <w:rsid w:val="62117AFB"/>
    <w:rsid w:val="621C50C1"/>
    <w:rsid w:val="623656EC"/>
    <w:rsid w:val="62A22C4A"/>
    <w:rsid w:val="62DC0DE8"/>
    <w:rsid w:val="62FF6C08"/>
    <w:rsid w:val="63025685"/>
    <w:rsid w:val="639D7587"/>
    <w:rsid w:val="63A0799E"/>
    <w:rsid w:val="63C65CBF"/>
    <w:rsid w:val="63EC3BC5"/>
    <w:rsid w:val="63FC18C9"/>
    <w:rsid w:val="640F4B51"/>
    <w:rsid w:val="645D2106"/>
    <w:rsid w:val="64C240A1"/>
    <w:rsid w:val="64CC683D"/>
    <w:rsid w:val="657F5C6B"/>
    <w:rsid w:val="65826068"/>
    <w:rsid w:val="6593631E"/>
    <w:rsid w:val="65C95636"/>
    <w:rsid w:val="65F763B0"/>
    <w:rsid w:val="66396407"/>
    <w:rsid w:val="666A41E0"/>
    <w:rsid w:val="6677779D"/>
    <w:rsid w:val="66834C02"/>
    <w:rsid w:val="66992EC7"/>
    <w:rsid w:val="66E00374"/>
    <w:rsid w:val="67AB4426"/>
    <w:rsid w:val="684B34C2"/>
    <w:rsid w:val="688B6E27"/>
    <w:rsid w:val="688C1403"/>
    <w:rsid w:val="689915FD"/>
    <w:rsid w:val="68B04DC1"/>
    <w:rsid w:val="68B90693"/>
    <w:rsid w:val="68CA78D2"/>
    <w:rsid w:val="690707F9"/>
    <w:rsid w:val="69076285"/>
    <w:rsid w:val="697D56FE"/>
    <w:rsid w:val="69CD3427"/>
    <w:rsid w:val="6A0F7786"/>
    <w:rsid w:val="6A4B2A36"/>
    <w:rsid w:val="6A5702B4"/>
    <w:rsid w:val="6A5C4344"/>
    <w:rsid w:val="6ACA4323"/>
    <w:rsid w:val="6B0B4DEA"/>
    <w:rsid w:val="6B2967F0"/>
    <w:rsid w:val="6B7032D3"/>
    <w:rsid w:val="6B8B03A3"/>
    <w:rsid w:val="6BB56169"/>
    <w:rsid w:val="6BED2D15"/>
    <w:rsid w:val="6C062BFC"/>
    <w:rsid w:val="6C277CDB"/>
    <w:rsid w:val="6C7D24B2"/>
    <w:rsid w:val="6C822FFD"/>
    <w:rsid w:val="6C8B6B17"/>
    <w:rsid w:val="6C90258E"/>
    <w:rsid w:val="6CC63C20"/>
    <w:rsid w:val="6CEE40AA"/>
    <w:rsid w:val="6CFC0568"/>
    <w:rsid w:val="6D272D48"/>
    <w:rsid w:val="6D3E71DD"/>
    <w:rsid w:val="6D543F56"/>
    <w:rsid w:val="6D644E53"/>
    <w:rsid w:val="6D9952E3"/>
    <w:rsid w:val="6DBC1B6E"/>
    <w:rsid w:val="6E0529A5"/>
    <w:rsid w:val="6E075D13"/>
    <w:rsid w:val="6E1C6E6B"/>
    <w:rsid w:val="6E2A50AA"/>
    <w:rsid w:val="6E865156"/>
    <w:rsid w:val="6EB06E80"/>
    <w:rsid w:val="6EB10177"/>
    <w:rsid w:val="6ED1464D"/>
    <w:rsid w:val="6F1F4809"/>
    <w:rsid w:val="6F5879C6"/>
    <w:rsid w:val="6FD21B0C"/>
    <w:rsid w:val="70390151"/>
    <w:rsid w:val="705F185C"/>
    <w:rsid w:val="70AF188F"/>
    <w:rsid w:val="71345C08"/>
    <w:rsid w:val="71550995"/>
    <w:rsid w:val="715B6B9F"/>
    <w:rsid w:val="717A33EA"/>
    <w:rsid w:val="71D46314"/>
    <w:rsid w:val="71E86ED1"/>
    <w:rsid w:val="71F617A4"/>
    <w:rsid w:val="72516706"/>
    <w:rsid w:val="726B3C88"/>
    <w:rsid w:val="726E3155"/>
    <w:rsid w:val="72770811"/>
    <w:rsid w:val="729B5AE1"/>
    <w:rsid w:val="7320089A"/>
    <w:rsid w:val="733052AA"/>
    <w:rsid w:val="73317FA9"/>
    <w:rsid w:val="73526ACF"/>
    <w:rsid w:val="737D3B90"/>
    <w:rsid w:val="748264CC"/>
    <w:rsid w:val="748C1AC7"/>
    <w:rsid w:val="748C60E2"/>
    <w:rsid w:val="74B86A4A"/>
    <w:rsid w:val="74E80EBD"/>
    <w:rsid w:val="75093835"/>
    <w:rsid w:val="754F589B"/>
    <w:rsid w:val="75C07BDC"/>
    <w:rsid w:val="75ED4434"/>
    <w:rsid w:val="76541C8C"/>
    <w:rsid w:val="766641CF"/>
    <w:rsid w:val="76823E5A"/>
    <w:rsid w:val="76AA2119"/>
    <w:rsid w:val="76B52117"/>
    <w:rsid w:val="76E671D1"/>
    <w:rsid w:val="77E32958"/>
    <w:rsid w:val="781841F6"/>
    <w:rsid w:val="782B0099"/>
    <w:rsid w:val="78482DEB"/>
    <w:rsid w:val="78CA68D1"/>
    <w:rsid w:val="790958D0"/>
    <w:rsid w:val="79513CAF"/>
    <w:rsid w:val="796C4BC7"/>
    <w:rsid w:val="79804EBF"/>
    <w:rsid w:val="7A545270"/>
    <w:rsid w:val="7A5A0B23"/>
    <w:rsid w:val="7AFE5E22"/>
    <w:rsid w:val="7B11378E"/>
    <w:rsid w:val="7B32514B"/>
    <w:rsid w:val="7B6F44BC"/>
    <w:rsid w:val="7D6A0E52"/>
    <w:rsid w:val="7DB44571"/>
    <w:rsid w:val="7E6D1266"/>
    <w:rsid w:val="7E963E2A"/>
    <w:rsid w:val="7F2C70FA"/>
    <w:rsid w:val="7F4A05E7"/>
    <w:rsid w:val="7F6924DD"/>
    <w:rsid w:val="7FA55E9D"/>
    <w:rsid w:val="7FAC7DF7"/>
    <w:rsid w:val="7FBB0E3F"/>
    <w:rsid w:val="7FE57979"/>
    <w:rsid w:val="7FFA31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0"/>
    <w:pPr>
      <w:keepNext/>
      <w:keepLines/>
      <w:spacing w:beforeLines="0" w:beforeAutospacing="0" w:afterLines="0" w:afterAutospacing="0" w:line="560" w:lineRule="exact"/>
      <w:jc w:val="center"/>
      <w:outlineLvl w:val="0"/>
    </w:pPr>
    <w:rPr>
      <w:rFonts w:ascii="Times New Roman" w:hAnsi="Times New Roman" w:eastAsia="方正小标宋简体"/>
      <w:kern w:val="44"/>
      <w:sz w:val="36"/>
    </w:rPr>
  </w:style>
  <w:style w:type="paragraph" w:styleId="3">
    <w:name w:val="heading 2"/>
    <w:basedOn w:val="1"/>
    <w:next w:val="1"/>
    <w:link w:val="11"/>
    <w:unhideWhenUsed/>
    <w:qFormat/>
    <w:uiPriority w:val="0"/>
    <w:pPr>
      <w:keepNext/>
      <w:keepLines/>
      <w:spacing w:beforeLines="0" w:beforeAutospacing="0" w:afterLines="0" w:afterAutospacing="0" w:line="580" w:lineRule="exact"/>
      <w:ind w:firstLine="640" w:firstLineChars="200"/>
      <w:outlineLvl w:val="1"/>
    </w:pPr>
    <w:rPr>
      <w:rFonts w:ascii="Arial" w:hAnsi="Arial" w:eastAsia="黑体"/>
      <w:sz w:val="32"/>
    </w:rPr>
  </w:style>
  <w:style w:type="paragraph" w:styleId="4">
    <w:name w:val="heading 3"/>
    <w:basedOn w:val="1"/>
    <w:next w:val="1"/>
    <w:link w:val="12"/>
    <w:unhideWhenUsed/>
    <w:qFormat/>
    <w:uiPriority w:val="0"/>
    <w:pPr>
      <w:keepNext/>
      <w:keepLines/>
      <w:spacing w:beforeLines="0" w:beforeAutospacing="0" w:afterLines="0" w:afterAutospacing="0" w:line="580" w:lineRule="exact"/>
      <w:ind w:firstLine="640" w:firstLineChars="200"/>
      <w:outlineLvl w:val="2"/>
    </w:pPr>
    <w:rPr>
      <w:rFonts w:eastAsia="楷体_GB2312" w:asciiTheme="minorAscii" w:hAnsiTheme="minorAscii"/>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1 Char"/>
    <w:link w:val="2"/>
    <w:qFormat/>
    <w:uiPriority w:val="0"/>
    <w:rPr>
      <w:rFonts w:ascii="Times New Roman" w:hAnsi="Times New Roman" w:eastAsia="方正小标宋简体"/>
      <w:kern w:val="44"/>
      <w:sz w:val="36"/>
    </w:rPr>
  </w:style>
  <w:style w:type="character" w:customStyle="1" w:styleId="11">
    <w:name w:val="标题 2 Char"/>
    <w:link w:val="3"/>
    <w:qFormat/>
    <w:uiPriority w:val="0"/>
    <w:rPr>
      <w:rFonts w:ascii="Arial" w:hAnsi="Arial" w:eastAsia="黑体"/>
      <w:sz w:val="32"/>
    </w:rPr>
  </w:style>
  <w:style w:type="character" w:customStyle="1" w:styleId="12">
    <w:name w:val="标题 3 Char"/>
    <w:link w:val="4"/>
    <w:qFormat/>
    <w:uiPriority w:val="0"/>
    <w:rPr>
      <w:rFonts w:eastAsia="楷体_GB2312" w:asciiTheme="minorAscii" w:hAnsiTheme="minorAscii"/>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326</Pages>
  <Words>154334</Words>
  <Characters>155601</Characters>
  <Lines>0</Lines>
  <Paragraphs>0</Paragraphs>
  <TotalTime>3</TotalTime>
  <ScaleCrop>false</ScaleCrop>
  <LinksUpToDate>false</LinksUpToDate>
  <CharactersWithSpaces>175611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2021-04-13T11:14:00Z</dcterms:created>
  <dc:creator>依</dc:creator>
  <cp:lastModifiedBy>还我漂漂拳</cp:lastModifiedBy>
  <cp:lastPrinted>2021-04-21T06:43:00Z</cp:lastPrinted>
  <dcterms:modified xsi:type="dcterms:W3CDTF">2021-04-25T07:33:28Z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364247923_cloud</vt:lpwstr>
  </property>
  <property fmtid="{D5CDD505-2E9C-101B-9397-08002B2CF9AE}" pid="4" name="ICV">
    <vt:lpwstr>B8F3AC154F2F49FD8B1EEA61F4592321</vt:lpwstr>
  </property>
</Properties>
</file>