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outlineLvl w:val="3"/>
        <w:rPr>
          <w:rFonts w:ascii="仿宋_GB2312" w:hAnsi="仿宋" w:eastAsia="仿宋_GB2312" w:cs="宋体"/>
          <w:color w:val="333333"/>
          <w:kern w:val="0"/>
          <w:sz w:val="32"/>
          <w:szCs w:val="32"/>
        </w:rPr>
      </w:pPr>
    </w:p>
    <w:p>
      <w:pPr>
        <w:widowControl/>
        <w:spacing w:line="640" w:lineRule="exact"/>
        <w:jc w:val="center"/>
        <w:outlineLvl w:val="3"/>
        <w:rPr>
          <w:rFonts w:ascii="仿宋_GB2312" w:hAnsi="仿宋" w:eastAsia="仿宋_GB2312" w:cs="宋体"/>
          <w:color w:val="333333"/>
          <w:kern w:val="0"/>
          <w:sz w:val="32"/>
          <w:szCs w:val="32"/>
        </w:rPr>
      </w:pPr>
    </w:p>
    <w:p>
      <w:pPr>
        <w:widowControl/>
        <w:spacing w:line="640" w:lineRule="exact"/>
        <w:jc w:val="center"/>
        <w:outlineLvl w:val="3"/>
        <w:rPr>
          <w:rFonts w:ascii="仿宋_GB2312" w:hAnsi="仿宋" w:eastAsia="仿宋_GB2312" w:cs="宋体"/>
          <w:color w:val="333333"/>
          <w:kern w:val="0"/>
          <w:sz w:val="32"/>
          <w:szCs w:val="32"/>
        </w:rPr>
      </w:pPr>
    </w:p>
    <w:p>
      <w:pPr>
        <w:widowControl/>
        <w:spacing w:line="640" w:lineRule="exact"/>
        <w:outlineLvl w:val="3"/>
        <w:rPr>
          <w:rFonts w:ascii="仿宋_GB2312" w:hAnsi="仿宋" w:eastAsia="仿宋_GB2312" w:cs="宋体"/>
          <w:color w:val="333333"/>
          <w:kern w:val="0"/>
          <w:sz w:val="32"/>
          <w:szCs w:val="32"/>
        </w:rPr>
      </w:pPr>
      <w:bookmarkStart w:id="0" w:name="_GoBack"/>
      <w:bookmarkEnd w:id="0"/>
    </w:p>
    <w:p>
      <w:pPr>
        <w:widowControl/>
        <w:spacing w:line="640" w:lineRule="exact"/>
        <w:jc w:val="center"/>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济国资〔</w:t>
      </w:r>
      <w:r>
        <w:rPr>
          <w:rFonts w:ascii="方正仿宋简体" w:hAnsi="仿宋" w:eastAsia="方正仿宋简体" w:cs="宋体"/>
          <w:color w:val="000000" w:themeColor="text1"/>
          <w:kern w:val="0"/>
          <w:sz w:val="32"/>
          <w:szCs w:val="32"/>
        </w:rPr>
        <w:t>2</w:t>
      </w:r>
      <w:r>
        <w:rPr>
          <w:rFonts w:hint="eastAsia" w:ascii="方正仿宋简体" w:hAnsi="仿宋" w:eastAsia="方正仿宋简体" w:cs="宋体"/>
          <w:color w:val="000000" w:themeColor="text1"/>
          <w:kern w:val="0"/>
          <w:sz w:val="32"/>
          <w:szCs w:val="32"/>
        </w:rPr>
        <w:t>021〕</w:t>
      </w:r>
      <w:r>
        <w:rPr>
          <w:rFonts w:hint="eastAsia" w:ascii="方正仿宋简体" w:hAnsi="仿宋" w:eastAsia="方正仿宋简体" w:cs="宋体"/>
          <w:color w:val="000000" w:themeColor="text1"/>
          <w:kern w:val="0"/>
          <w:sz w:val="32"/>
          <w:szCs w:val="32"/>
          <w:lang w:val="en-US" w:eastAsia="zh-CN"/>
        </w:rPr>
        <w:t>22</w:t>
      </w:r>
      <w:r>
        <w:rPr>
          <w:rFonts w:hint="eastAsia" w:ascii="方正仿宋简体" w:hAnsi="仿宋" w:eastAsia="方正仿宋简体" w:cs="宋体"/>
          <w:color w:val="000000" w:themeColor="text1"/>
          <w:kern w:val="0"/>
          <w:sz w:val="32"/>
          <w:szCs w:val="32"/>
        </w:rPr>
        <w:t>号</w:t>
      </w:r>
    </w:p>
    <w:p>
      <w:pPr>
        <w:widowControl/>
        <w:spacing w:line="640" w:lineRule="exact"/>
        <w:jc w:val="center"/>
        <w:outlineLvl w:val="3"/>
        <w:rPr>
          <w:rFonts w:ascii="方正小标宋简体" w:hAnsi="微软雅黑" w:eastAsia="方正小标宋简体" w:cs="宋体"/>
          <w:color w:val="000000" w:themeColor="text1"/>
          <w:kern w:val="0"/>
          <w:sz w:val="44"/>
          <w:szCs w:val="44"/>
        </w:rPr>
      </w:pPr>
    </w:p>
    <w:p>
      <w:pPr>
        <w:widowControl/>
        <w:spacing w:line="640" w:lineRule="exact"/>
        <w:jc w:val="center"/>
        <w:outlineLvl w:val="3"/>
        <w:rPr>
          <w:rFonts w:ascii="方正小标宋简体" w:hAnsi="微软雅黑" w:eastAsia="方正小标宋简体" w:cs="宋体"/>
          <w:color w:val="000000" w:themeColor="text1"/>
          <w:kern w:val="0"/>
          <w:sz w:val="44"/>
          <w:szCs w:val="44"/>
        </w:rPr>
      </w:pPr>
      <w:r>
        <w:rPr>
          <w:rFonts w:hint="eastAsia" w:ascii="方正小标宋简体" w:hAnsi="微软雅黑" w:eastAsia="方正小标宋简体" w:cs="宋体"/>
          <w:color w:val="000000" w:themeColor="text1"/>
          <w:kern w:val="0"/>
          <w:sz w:val="44"/>
          <w:szCs w:val="44"/>
        </w:rPr>
        <w:t>济 宁 市 国 资 委</w:t>
      </w:r>
    </w:p>
    <w:p>
      <w:pPr>
        <w:widowControl/>
        <w:spacing w:line="640" w:lineRule="exact"/>
        <w:jc w:val="center"/>
        <w:outlineLvl w:val="3"/>
        <w:rPr>
          <w:rFonts w:ascii="方正小标宋简体" w:hAnsi="微软雅黑" w:eastAsia="方正小标宋简体" w:cs="宋体"/>
          <w:color w:val="000000" w:themeColor="text1"/>
          <w:kern w:val="0"/>
          <w:sz w:val="44"/>
          <w:szCs w:val="44"/>
        </w:rPr>
      </w:pPr>
      <w:r>
        <w:rPr>
          <w:rFonts w:hint="eastAsia" w:ascii="方正小标宋简体" w:hAnsi="微软雅黑" w:eastAsia="方正小标宋简体" w:cs="宋体"/>
          <w:color w:val="000000" w:themeColor="text1"/>
          <w:kern w:val="0"/>
          <w:sz w:val="44"/>
          <w:szCs w:val="44"/>
        </w:rPr>
        <w:t>关于印发《进一步加强市管企业投资管理</w:t>
      </w:r>
    </w:p>
    <w:p>
      <w:pPr>
        <w:widowControl/>
        <w:spacing w:line="640" w:lineRule="exact"/>
        <w:jc w:val="center"/>
        <w:outlineLvl w:val="3"/>
        <w:rPr>
          <w:rFonts w:ascii="方正小标宋简体" w:hAnsi="微软雅黑" w:eastAsia="方正小标宋简体" w:cs="宋体"/>
          <w:color w:val="000000" w:themeColor="text1"/>
          <w:kern w:val="0"/>
          <w:sz w:val="44"/>
          <w:szCs w:val="44"/>
        </w:rPr>
      </w:pPr>
      <w:r>
        <w:rPr>
          <w:rFonts w:hint="eastAsia" w:ascii="方正小标宋简体" w:hAnsi="微软雅黑" w:eastAsia="方正小标宋简体" w:cs="宋体"/>
          <w:color w:val="000000" w:themeColor="text1"/>
          <w:kern w:val="0"/>
          <w:sz w:val="44"/>
          <w:szCs w:val="44"/>
        </w:rPr>
        <w:t>规范投资行为的规定（试行）》的通知</w:t>
      </w:r>
    </w:p>
    <w:p>
      <w:pPr>
        <w:widowControl/>
        <w:spacing w:line="640" w:lineRule="exact"/>
        <w:outlineLvl w:val="3"/>
        <w:rPr>
          <w:rFonts w:ascii="仿宋" w:hAnsi="仿宋" w:eastAsia="仿宋" w:cs="仿宋"/>
          <w:color w:val="333333"/>
          <w:kern w:val="0"/>
          <w:sz w:val="28"/>
          <w:szCs w:val="28"/>
        </w:rPr>
      </w:pPr>
    </w:p>
    <w:p>
      <w:pPr>
        <w:widowControl/>
        <w:spacing w:line="640" w:lineRule="exact"/>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各市管企业：</w:t>
      </w: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《进一步加强市管企业投资管理规范投资行为的规定（试行）》已经市国资委同意，现印发给你们，请认真贯彻执行。</w:t>
      </w: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 xml:space="preserve">                             济宁市国资委</w:t>
      </w: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 xml:space="preserve">                            2021年</w:t>
      </w:r>
      <w:r>
        <w:rPr>
          <w:rFonts w:hint="eastAsia" w:ascii="方正仿宋简体" w:hAnsi="仿宋" w:eastAsia="方正仿宋简体" w:cs="宋体"/>
          <w:color w:val="000000" w:themeColor="text1"/>
          <w:kern w:val="0"/>
          <w:sz w:val="32"/>
          <w:szCs w:val="32"/>
          <w:lang w:val="en-US" w:eastAsia="zh-CN"/>
        </w:rPr>
        <w:t>4</w:t>
      </w:r>
      <w:r>
        <w:rPr>
          <w:rFonts w:hint="eastAsia" w:ascii="方正仿宋简体" w:hAnsi="仿宋" w:eastAsia="方正仿宋简体" w:cs="宋体"/>
          <w:color w:val="000000" w:themeColor="text1"/>
          <w:kern w:val="0"/>
          <w:sz w:val="32"/>
          <w:szCs w:val="32"/>
        </w:rPr>
        <w:t>月</w:t>
      </w:r>
      <w:r>
        <w:rPr>
          <w:rFonts w:hint="eastAsia" w:ascii="方正仿宋简体" w:hAnsi="仿宋" w:eastAsia="方正仿宋简体" w:cs="宋体"/>
          <w:color w:val="000000" w:themeColor="text1"/>
          <w:kern w:val="0"/>
          <w:sz w:val="32"/>
          <w:szCs w:val="32"/>
          <w:lang w:val="en-US" w:eastAsia="zh-CN"/>
        </w:rPr>
        <w:t>6</w:t>
      </w:r>
      <w:r>
        <w:rPr>
          <w:rFonts w:hint="eastAsia" w:ascii="方正仿宋简体" w:hAnsi="仿宋" w:eastAsia="方正仿宋简体" w:cs="宋体"/>
          <w:color w:val="000000" w:themeColor="text1"/>
          <w:kern w:val="0"/>
          <w:sz w:val="32"/>
          <w:szCs w:val="32"/>
        </w:rPr>
        <w:t>日</w:t>
      </w:r>
    </w:p>
    <w:p>
      <w:pPr>
        <w:widowControl/>
        <w:spacing w:line="640" w:lineRule="exact"/>
        <w:ind w:firstLine="640" w:firstLineChars="200"/>
        <w:outlineLvl w:val="3"/>
        <w:rPr>
          <w:rFonts w:ascii="仿宋_GB2312" w:hAnsi="仿宋" w:eastAsia="仿宋_GB2312" w:cs="宋体"/>
          <w:color w:val="000000" w:themeColor="text1"/>
          <w:kern w:val="0"/>
          <w:sz w:val="32"/>
          <w:szCs w:val="32"/>
        </w:rPr>
      </w:pPr>
    </w:p>
    <w:p>
      <w:pPr>
        <w:widowControl/>
        <w:spacing w:line="640" w:lineRule="exact"/>
        <w:ind w:firstLine="640" w:firstLineChars="200"/>
        <w:outlineLvl w:val="3"/>
        <w:rPr>
          <w:rFonts w:ascii="仿宋_GB2312" w:hAnsi="仿宋" w:eastAsia="仿宋_GB2312" w:cs="宋体"/>
          <w:color w:val="000000" w:themeColor="text1"/>
          <w:kern w:val="0"/>
          <w:sz w:val="32"/>
          <w:szCs w:val="32"/>
        </w:rPr>
      </w:pPr>
    </w:p>
    <w:p>
      <w:pPr>
        <w:widowControl/>
        <w:spacing w:line="640" w:lineRule="exact"/>
        <w:ind w:firstLine="640" w:firstLineChars="200"/>
        <w:outlineLvl w:val="3"/>
        <w:rPr>
          <w:rFonts w:ascii="仿宋_GB2312" w:hAnsi="仿宋" w:eastAsia="仿宋_GB2312" w:cs="宋体"/>
          <w:color w:val="000000" w:themeColor="text1"/>
          <w:kern w:val="0"/>
          <w:sz w:val="32"/>
          <w:szCs w:val="32"/>
        </w:rPr>
      </w:pPr>
    </w:p>
    <w:p>
      <w:pPr>
        <w:widowControl/>
        <w:spacing w:line="640" w:lineRule="exact"/>
        <w:jc w:val="center"/>
        <w:outlineLvl w:val="3"/>
        <w:rPr>
          <w:rFonts w:ascii="方正小标宋简体" w:hAnsi="方正黑体简体" w:eastAsia="方正小标宋简体" w:cs="宋体"/>
          <w:color w:val="000000" w:themeColor="text1"/>
          <w:kern w:val="0"/>
          <w:sz w:val="44"/>
          <w:szCs w:val="44"/>
        </w:rPr>
      </w:pPr>
      <w:r>
        <w:rPr>
          <w:rFonts w:hint="eastAsia" w:ascii="方正小标宋简体" w:hAnsi="方正黑体简体" w:eastAsia="方正小标宋简体" w:cs="宋体"/>
          <w:color w:val="000000" w:themeColor="text1"/>
          <w:kern w:val="0"/>
          <w:sz w:val="44"/>
          <w:szCs w:val="44"/>
        </w:rPr>
        <w:t>进一步加强市管企业投资管理规范投资行为的规定</w:t>
      </w:r>
      <w:r>
        <w:rPr>
          <w:rFonts w:hint="eastAsia" w:ascii="方正小标宋简体" w:hAnsi="微软雅黑" w:eastAsia="方正小标宋简体" w:cs="宋体"/>
          <w:color w:val="000000" w:themeColor="text1"/>
          <w:kern w:val="0"/>
          <w:sz w:val="44"/>
          <w:szCs w:val="44"/>
        </w:rPr>
        <w:t>（试行）</w:t>
      </w:r>
    </w:p>
    <w:p>
      <w:pPr>
        <w:widowControl/>
        <w:spacing w:line="640" w:lineRule="exact"/>
        <w:jc w:val="center"/>
        <w:outlineLvl w:val="3"/>
        <w:rPr>
          <w:rFonts w:ascii="方正黑体简体" w:hAnsi="方正黑体简体" w:eastAsia="方正黑体简体" w:cs="宋体"/>
          <w:color w:val="000000" w:themeColor="text1"/>
          <w:kern w:val="0"/>
          <w:sz w:val="44"/>
          <w:szCs w:val="44"/>
        </w:rPr>
      </w:pPr>
    </w:p>
    <w:p>
      <w:pPr>
        <w:widowControl/>
        <w:numPr>
          <w:ilvl w:val="0"/>
          <w:numId w:val="1"/>
        </w:numPr>
        <w:spacing w:line="640" w:lineRule="exact"/>
        <w:jc w:val="center"/>
        <w:outlineLvl w:val="3"/>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总则</w:t>
      </w:r>
    </w:p>
    <w:p>
      <w:pPr>
        <w:widowControl/>
        <w:spacing w:line="640" w:lineRule="exact"/>
        <w:outlineLvl w:val="3"/>
        <w:rPr>
          <w:rFonts w:ascii="仿宋_GB2312" w:hAnsi="仿宋" w:eastAsia="仿宋_GB2312"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   </w:t>
      </w:r>
    </w:p>
    <w:p>
      <w:pPr>
        <w:widowControl/>
        <w:spacing w:line="640" w:lineRule="exact"/>
        <w:ind w:firstLine="640" w:firstLineChars="200"/>
        <w:outlineLvl w:val="3"/>
        <w:rPr>
          <w:rFonts w:ascii="仿宋_GB2312" w:hAnsi="仿宋" w:eastAsia="仿宋_GB2312"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第一条  </w:t>
      </w:r>
      <w:r>
        <w:rPr>
          <w:rFonts w:hint="eastAsia" w:ascii="方正仿宋简体" w:hAnsi="仿宋" w:eastAsia="方正仿宋简体" w:cs="宋体"/>
          <w:color w:val="000000" w:themeColor="text1"/>
          <w:kern w:val="0"/>
          <w:sz w:val="32"/>
          <w:szCs w:val="32"/>
        </w:rPr>
        <w:t>近年来，市管企业认真贯彻落实市委、市政府深化国企改革的决策部署，围绕新旧动能转换和高质量发展，逐步加大投资力度，为全市经济社会发展做出重要贡献。但随着企业规模不断扩大，部分企业存在投资基础管理薄弱、投资决策机制不健全、投资领域过宽过散、新增公司过多、部分投资项目盈利水平低等问题。为进一步加强市管企业投资管理规范投资行为，根据市委、市政府要求和《济宁市人民政府办公室关于进一步加强市属企业主业管理工作的意见》（济政办字〔2019〕50号）、《济宁市人民政府办公室关于印发济宁市市属企业投资监督管理办法的通知》（济政办字〔2019〕51号）、《济宁市国资委关于印发市管企业投资项目负面清单的通知》（济国资〔2019〕87号）、《济宁市国资委关于确认公布市管企业主业清单的通知》（济国资〔2020〕22号）等有关规定，制定本规定。</w:t>
      </w:r>
    </w:p>
    <w:p>
      <w:pPr>
        <w:widowControl/>
        <w:spacing w:line="640" w:lineRule="exact"/>
        <w:ind w:firstLine="640" w:firstLineChars="200"/>
        <w:outlineLvl w:val="3"/>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第二条  </w:t>
      </w:r>
      <w:r>
        <w:rPr>
          <w:rFonts w:hint="eastAsia" w:ascii="方正仿宋简体" w:hAnsi="仿宋" w:eastAsia="方正仿宋简体" w:cs="宋体"/>
          <w:color w:val="000000" w:themeColor="text1"/>
          <w:kern w:val="0"/>
          <w:sz w:val="32"/>
          <w:szCs w:val="32"/>
        </w:rPr>
        <w:t>本规定适用于济宁市人民政府国有资产监督管理委员会（以下简称市国资委）根据市政府授权依法履行出资人职责的市管企业（以下简称企业）。</w:t>
      </w:r>
    </w:p>
    <w:p>
      <w:pPr>
        <w:widowControl/>
        <w:spacing w:line="640" w:lineRule="exact"/>
        <w:ind w:firstLine="640" w:firstLineChars="200"/>
        <w:outlineLvl w:val="3"/>
        <w:rPr>
          <w:rFonts w:ascii="方正仿宋简体" w:hAnsi="方正黑体简体"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本规定所称投资是指企业从事的固定资产投资和长期股权投资。</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第三条  </w:t>
      </w:r>
      <w:r>
        <w:rPr>
          <w:rFonts w:hint="eastAsia" w:ascii="方正仿宋简体" w:eastAsia="方正仿宋简体"/>
          <w:bCs/>
          <w:sz w:val="32"/>
          <w:szCs w:val="32"/>
        </w:rPr>
        <w:t>企业是投资的决策主体、执行主体和责任主体，职责主要包括：</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（一）依据功能定位和发展战略规划，合理确定投资方向、策略和标准；</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（二）健全投资管理制度，制定本企业投资负面清单，完善投资科学决策机制；</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（三）制定和执行年度投资计划；</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（四）强化投资项目尽职调查、可行性研究、审查论证等前期工作，审慎决策投资项目，特别监管类项目履行决策程序后报市国资委审核；</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（五）组织实施投资项目，开展项目后评价；</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（六）按规定报告投资管理制度、投资计划及执行、投资项目后评价等情况，配合监督检查。</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第四条  </w:t>
      </w:r>
      <w:r>
        <w:rPr>
          <w:rFonts w:hint="eastAsia" w:ascii="方正仿宋简体" w:eastAsia="方正仿宋简体"/>
          <w:bCs/>
          <w:sz w:val="32"/>
          <w:szCs w:val="32"/>
        </w:rPr>
        <w:t>企业投资应当严格遵循下列原则：</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（一）贯彻落实新发展理念，坚持质量第一、效益优先，聚焦关键核心技术和发展模式创新，增强企业核心竞争力，实现高质量发展；</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（二）遵守有关法律法规和企业章程，符合国家和省、市产业政策、发展规划，以及国有资本布局结构调整导向，体现出资人意愿；</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（三）符合企业功能定位、发展战略规划及投资管理制度，坚持聚焦主业，严控非主业、产能严重过剩行业、高风险业务和低端低效产业投资；</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（四）投资规模与企业资产规模、资产负债水平和筹融资能力相适应，与企业管理能力、人力资源等相匹配。</w:t>
      </w:r>
    </w:p>
    <w:p>
      <w:pPr>
        <w:spacing w:line="640" w:lineRule="exact"/>
        <w:jc w:val="center"/>
        <w:rPr>
          <w:rFonts w:ascii="方正仿宋简体" w:hAnsi="方正黑体简体" w:eastAsia="方正仿宋简体" w:cs="宋体"/>
          <w:color w:val="000000" w:themeColor="text1"/>
          <w:kern w:val="0"/>
          <w:sz w:val="32"/>
          <w:szCs w:val="32"/>
        </w:rPr>
      </w:pPr>
    </w:p>
    <w:p>
      <w:p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第二章 企业投资制度管理</w:t>
      </w:r>
    </w:p>
    <w:p>
      <w:pPr>
        <w:spacing w:line="640" w:lineRule="exact"/>
        <w:jc w:val="center"/>
        <w:rPr>
          <w:rFonts w:ascii="方正黑体简体" w:hAnsi="方正黑体简体" w:eastAsia="方正黑体简体" w:cs="宋体"/>
          <w:color w:val="000000" w:themeColor="text1"/>
          <w:kern w:val="0"/>
          <w:sz w:val="32"/>
          <w:szCs w:val="32"/>
        </w:rPr>
      </w:pP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第五条 </w:t>
      </w:r>
      <w:r>
        <w:rPr>
          <w:rFonts w:hint="eastAsia" w:ascii="仿宋_GB2312" w:eastAsia="仿宋_GB2312"/>
          <w:bCs/>
          <w:sz w:val="32"/>
          <w:szCs w:val="32"/>
        </w:rPr>
        <w:t xml:space="preserve"> </w:t>
      </w:r>
      <w:r>
        <w:rPr>
          <w:rFonts w:hint="eastAsia" w:ascii="方正仿宋简体" w:eastAsia="方正仿宋简体"/>
          <w:bCs/>
          <w:sz w:val="32"/>
          <w:szCs w:val="32"/>
        </w:rPr>
        <w:t>企业应当建立健全投资管理基本制度、各类专项制度、实施细则及流程等投资管理制度体系，主要包括：</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（一）投资应遵循的基本原则；</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（二）投资管理流程、管理部门及相关职责；</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（三）投资决策程序、决策机构及其职责；</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（四）投资项目负面清单；</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（五）投资项目跟踪、中止、终止或退出制度；</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（六）投资风险管控制度；</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（七）投资信息化管理、投资事项报告制度；</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（八）投资项目后评价、责任追究和奖惩制度；</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（九）对所属企业投资的授权与监管制度。</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企业投资管理制度应经董事会审议通过后报市国资委备案，并通过制度执行情况评估、再修订等对制度持续改进和完善。</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第六条 </w:t>
      </w:r>
      <w:r>
        <w:rPr>
          <w:rFonts w:hint="eastAsia" w:ascii="仿宋_GB2312" w:eastAsia="仿宋_GB2312"/>
          <w:bCs/>
          <w:sz w:val="32"/>
          <w:szCs w:val="32"/>
        </w:rPr>
        <w:t xml:space="preserve"> </w:t>
      </w:r>
      <w:r>
        <w:rPr>
          <w:rFonts w:hint="eastAsia" w:ascii="方正仿宋简体" w:eastAsia="方正仿宋简体"/>
          <w:bCs/>
          <w:sz w:val="32"/>
          <w:szCs w:val="32"/>
        </w:rPr>
        <w:t>企业应当加强对所属企业投资行为的监管，合理划分不同产权级次企业的投资职责和权限，制定分级分类投资管理规则。对所属企业的投资事项，通过派出的产权代表（股东代表、董事等）依法依规发表意见，行使表决权。</w:t>
      </w:r>
    </w:p>
    <w:p>
      <w:pPr>
        <w:spacing w:line="640" w:lineRule="exact"/>
        <w:jc w:val="center"/>
        <w:rPr>
          <w:rFonts w:ascii="仿宋_GB2312" w:eastAsia="仿宋_GB2312"/>
          <w:bCs/>
          <w:sz w:val="32"/>
          <w:szCs w:val="32"/>
        </w:rPr>
      </w:pPr>
    </w:p>
    <w:p>
      <w:p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第三章  企业主业管理</w:t>
      </w:r>
    </w:p>
    <w:p>
      <w:pPr>
        <w:spacing w:line="640" w:lineRule="exact"/>
        <w:jc w:val="center"/>
        <w:rPr>
          <w:rFonts w:ascii="仿宋_GB2312" w:eastAsia="仿宋_GB2312"/>
          <w:bCs/>
          <w:sz w:val="32"/>
          <w:szCs w:val="32"/>
        </w:rPr>
      </w:pP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第七条</w:t>
      </w:r>
      <w:r>
        <w:rPr>
          <w:rFonts w:hint="eastAsia" w:ascii="仿宋_GB2312" w:eastAsia="仿宋_GB2312"/>
          <w:bCs/>
          <w:sz w:val="32"/>
          <w:szCs w:val="32"/>
        </w:rPr>
        <w:t xml:space="preserve">  市</w:t>
      </w:r>
      <w:r>
        <w:rPr>
          <w:rFonts w:hint="eastAsia" w:ascii="方正仿宋简体" w:eastAsia="方正仿宋简体"/>
          <w:bCs/>
          <w:sz w:val="32"/>
          <w:szCs w:val="32"/>
        </w:rPr>
        <w:t>国资委根据有关规定和监管要求，完善企业主业管理方式，对企业主业进行确认并动态调整，经确认的主业作为企业编制年度投资计划、开展项目投资和市国资委对企业投资监管的重要依据。</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第八条 </w:t>
      </w:r>
      <w:r>
        <w:rPr>
          <w:rFonts w:hint="eastAsia" w:ascii="楷体_GB2312" w:hAnsi="楷体_GB2312" w:eastAsia="楷体_GB2312" w:cs="楷体_GB2312"/>
          <w:bCs/>
          <w:sz w:val="32"/>
          <w:szCs w:val="32"/>
        </w:rPr>
        <w:t xml:space="preserve"> </w:t>
      </w:r>
      <w:r>
        <w:rPr>
          <w:rFonts w:hint="eastAsia" w:ascii="方正仿宋简体" w:eastAsia="方正仿宋简体"/>
          <w:bCs/>
          <w:sz w:val="32"/>
          <w:szCs w:val="32"/>
        </w:rPr>
        <w:t>企业应依据市国资委确认公布的主业清单（附件1），加强战略和规划管理，明确主业发展思路目标和路径措施。应定期对主业的资产、经营、投入、产出等情况进行梳理分析，并制定主业发展优化方案。</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第九条  </w:t>
      </w:r>
      <w:r>
        <w:rPr>
          <w:rFonts w:hint="eastAsia" w:ascii="方正仿宋简体" w:eastAsia="方正仿宋简体"/>
          <w:bCs/>
          <w:sz w:val="32"/>
          <w:szCs w:val="32"/>
        </w:rPr>
        <w:t>企业应结合年度投资计划，优先向主业配置资源，加大主业投资发展力度，严控非主业投资，非主业投资占年度投资计划的比重原则上不超过10%。</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第十条 </w:t>
      </w:r>
      <w:r>
        <w:rPr>
          <w:rFonts w:hint="eastAsia" w:ascii="方正仿宋简体" w:hAnsi="楷体_GB2312" w:eastAsia="方正仿宋简体" w:cs="楷体_GB2312"/>
          <w:bCs/>
          <w:sz w:val="32"/>
          <w:szCs w:val="32"/>
        </w:rPr>
        <w:t xml:space="preserve"> </w:t>
      </w:r>
      <w:r>
        <w:rPr>
          <w:rFonts w:hint="eastAsia" w:ascii="方正仿宋简体" w:eastAsia="方正仿宋简体"/>
          <w:bCs/>
          <w:sz w:val="32"/>
          <w:szCs w:val="32"/>
        </w:rPr>
        <w:t>企业应坚定不移聚焦主业，突出主业开展专业化整合，推动技术、人才、资本等要素向主业集中，不断增强主业的资源配置效率、盈利能力和市场竞争力。应围绕主业积极开展股份制和所有制改革，通过增资扩股、股权转让、企业上市等方式吸引社会资本向主业聚集。应积极利用资本市场和产权市场进行开放式重组，逐步剥离、有序退出不具备发展优势的非主业资产和业务。</w:t>
      </w:r>
    </w:p>
    <w:p>
      <w:pPr>
        <w:spacing w:line="640" w:lineRule="exact"/>
        <w:ind w:firstLine="640" w:firstLineChars="200"/>
        <w:rPr>
          <w:rFonts w:ascii="仿宋_GB2312" w:eastAsia="仿宋_GB2312"/>
          <w:bCs/>
          <w:sz w:val="32"/>
          <w:szCs w:val="32"/>
        </w:rPr>
      </w:pPr>
    </w:p>
    <w:p>
      <w:pPr>
        <w:widowControl/>
        <w:spacing w:line="640" w:lineRule="exact"/>
        <w:jc w:val="center"/>
        <w:outlineLvl w:val="3"/>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第四章  企业投资负面清单管理</w:t>
      </w:r>
    </w:p>
    <w:p>
      <w:pPr>
        <w:spacing w:line="640" w:lineRule="exact"/>
        <w:ind w:firstLine="627" w:firstLineChars="196"/>
        <w:rPr>
          <w:rFonts w:ascii="仿宋_GB2312" w:hAnsi="仿宋" w:eastAsia="仿宋_GB2312" w:cs="宋体"/>
          <w:color w:val="000000" w:themeColor="text1"/>
          <w:kern w:val="0"/>
          <w:sz w:val="32"/>
          <w:szCs w:val="32"/>
        </w:rPr>
      </w:pP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第十一条</w:t>
      </w:r>
      <w:r>
        <w:rPr>
          <w:rFonts w:hint="eastAsia" w:ascii="仿宋_GB2312" w:eastAsia="仿宋_GB2312"/>
          <w:bCs/>
          <w:sz w:val="32"/>
          <w:szCs w:val="32"/>
        </w:rPr>
        <w:t xml:space="preserve">  </w:t>
      </w:r>
      <w:r>
        <w:rPr>
          <w:rFonts w:hint="eastAsia" w:ascii="方正仿宋简体" w:eastAsia="方正仿宋简体"/>
          <w:bCs/>
          <w:sz w:val="32"/>
          <w:szCs w:val="32"/>
        </w:rPr>
        <w:t>市国资委建立发布市管企业投资项目负面清单，设定禁止类、特别监管类投资项目，实行分类监管。对于禁止类的投资项目，企业一律不得投资；对于特别监管类的投资项目，企业应报市国资委履行相关程序。市属企业投资项目负面清单的内容保持相对稳定，并适时动态调整。</w:t>
      </w:r>
    </w:p>
    <w:p>
      <w:pPr>
        <w:spacing w:line="640" w:lineRule="exact"/>
        <w:ind w:firstLine="627" w:firstLineChars="196"/>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第十二条</w:t>
      </w:r>
      <w:r>
        <w:rPr>
          <w:rFonts w:hint="eastAsia" w:ascii="仿宋_GB2312" w:hAnsi="仿宋" w:eastAsia="仿宋_GB2312" w:cs="宋体"/>
          <w:color w:val="000000" w:themeColor="text1"/>
          <w:kern w:val="0"/>
          <w:sz w:val="32"/>
          <w:szCs w:val="32"/>
        </w:rPr>
        <w:t xml:space="preserve">  </w:t>
      </w:r>
      <w:r>
        <w:rPr>
          <w:rFonts w:hint="eastAsia" w:ascii="方正仿宋简体" w:hAnsi="仿宋" w:eastAsia="方正仿宋简体" w:cs="宋体"/>
          <w:color w:val="000000" w:themeColor="text1"/>
          <w:kern w:val="0"/>
          <w:sz w:val="32"/>
          <w:szCs w:val="32"/>
        </w:rPr>
        <w:t>市国资委结合国有资本布局方向和国资国企改革发展“十四五”规划，动态调整了企业投资项目负面清单（2021年版）（附件2）。</w:t>
      </w:r>
    </w:p>
    <w:p>
      <w:pPr>
        <w:spacing w:line="640" w:lineRule="exact"/>
        <w:ind w:firstLine="627" w:firstLineChars="196"/>
        <w:rPr>
          <w:rFonts w:ascii="方正仿宋简体" w:hAnsi="仿宋" w:eastAsia="方正仿宋简体" w:cs="宋体"/>
          <w:color w:val="FF0000"/>
          <w:kern w:val="0"/>
          <w:sz w:val="32"/>
          <w:szCs w:val="32"/>
        </w:rPr>
      </w:pPr>
      <w:r>
        <w:rPr>
          <w:rFonts w:hint="eastAsia" w:ascii="方正仿宋简体" w:hAnsi="仿宋" w:eastAsia="方正仿宋简体" w:cs="宋体"/>
          <w:color w:val="000000" w:themeColor="text1"/>
          <w:kern w:val="0"/>
          <w:sz w:val="32"/>
          <w:szCs w:val="32"/>
        </w:rPr>
        <w:t>禁止类投资项目，企业一律不得投资。特别监管类投资项目，企业应在履行内部决策程序后、投资实施前报市国资委按程序审核。授权企业董事会决策的投资项目，企业在履行内部决策程序后10个工作日内向市国资委报告。</w:t>
      </w:r>
    </w:p>
    <w:p>
      <w:pPr>
        <w:widowControl/>
        <w:spacing w:line="640" w:lineRule="exact"/>
        <w:ind w:firstLine="640" w:firstLineChars="200"/>
        <w:outlineLvl w:val="3"/>
        <w:rPr>
          <w:rFonts w:ascii="仿宋_GB2312" w:hAnsi="仿宋" w:eastAsia="仿宋_GB2312" w:cs="宋体"/>
          <w:color w:val="000000" w:themeColor="text1"/>
          <w:kern w:val="0"/>
          <w:sz w:val="32"/>
          <w:szCs w:val="32"/>
        </w:rPr>
      </w:pPr>
    </w:p>
    <w:p>
      <w:pPr>
        <w:widowControl/>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第五章  企业投资计划管理</w:t>
      </w:r>
    </w:p>
    <w:p>
      <w:pPr>
        <w:widowControl/>
        <w:spacing w:line="640" w:lineRule="exact"/>
        <w:ind w:firstLine="1600" w:firstLineChars="500"/>
        <w:rPr>
          <w:rFonts w:ascii="方正黑体简体" w:hAnsi="方正黑体简体" w:eastAsia="方正黑体简体" w:cs="宋体"/>
          <w:color w:val="000000" w:themeColor="text1"/>
          <w:kern w:val="0"/>
          <w:sz w:val="32"/>
          <w:szCs w:val="32"/>
        </w:rPr>
      </w:pPr>
    </w:p>
    <w:p>
      <w:pPr>
        <w:spacing w:line="640" w:lineRule="exact"/>
        <w:ind w:firstLine="640" w:firstLineChars="200"/>
        <w:rPr>
          <w:rFonts w:ascii="仿宋_GB2312" w:eastAsia="仿宋_GB2312"/>
          <w:bCs/>
          <w:sz w:val="32"/>
          <w:szCs w:val="32"/>
        </w:rPr>
      </w:pPr>
      <w:r>
        <w:rPr>
          <w:rFonts w:hint="eastAsia" w:ascii="方正黑体简体" w:hAnsi="方正黑体简体" w:eastAsia="方正黑体简体" w:cs="宋体"/>
          <w:color w:val="000000" w:themeColor="text1"/>
          <w:kern w:val="0"/>
          <w:sz w:val="32"/>
          <w:szCs w:val="32"/>
        </w:rPr>
        <w:t xml:space="preserve">第十三条  </w:t>
      </w:r>
      <w:r>
        <w:rPr>
          <w:rFonts w:hint="eastAsia" w:ascii="方正仿宋简体" w:eastAsia="方正仿宋简体"/>
          <w:bCs/>
          <w:sz w:val="32"/>
          <w:szCs w:val="32"/>
        </w:rPr>
        <w:t>企业应当依据发展战略规划，编制年度投资计划。年度投资计划应遵循投资原则，与财务预算相衔接，非主业投资占年度投资计划总额比重原则上不超过10％。列入计划的投资项目应完成必要的前期工作，具备年内实施条件。</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第十四条</w:t>
      </w:r>
      <w:r>
        <w:rPr>
          <w:rFonts w:hint="eastAsia" w:ascii="仿宋_GB2312" w:eastAsia="仿宋_GB2312"/>
          <w:bCs/>
          <w:sz w:val="32"/>
          <w:szCs w:val="32"/>
        </w:rPr>
        <w:t xml:space="preserve">  </w:t>
      </w:r>
      <w:r>
        <w:rPr>
          <w:rFonts w:hint="eastAsia" w:ascii="方正仿宋简体" w:eastAsia="方正仿宋简体"/>
          <w:bCs/>
          <w:sz w:val="32"/>
          <w:szCs w:val="32"/>
        </w:rPr>
        <w:t>年度投资计划主要包括：</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（一）年度投资的总体目标，包括年度投资实施对企业产业升级、结构优化、发展质量与效益提升等的预期贡献；</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（二）投资规模与资金来源，包括计划投资总额、资金来源及构成、实施投资对资产负债率的影响等；</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（三）投资方向与结构，包括各类投资规模与比重、投资地域、投资方式等；</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（四）计划主要投资项目，包括投资主体企业、计划投资额、资金来源、进度安排等。</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第十五条</w:t>
      </w:r>
      <w:r>
        <w:rPr>
          <w:rFonts w:hint="eastAsia" w:ascii="仿宋_GB2312" w:eastAsia="仿宋_GB2312"/>
          <w:bCs/>
          <w:sz w:val="32"/>
          <w:szCs w:val="32"/>
        </w:rPr>
        <w:t xml:space="preserve">  </w:t>
      </w:r>
      <w:r>
        <w:rPr>
          <w:rFonts w:hint="eastAsia" w:ascii="方正仿宋简体" w:eastAsia="方正仿宋简体"/>
          <w:bCs/>
          <w:sz w:val="32"/>
          <w:szCs w:val="32"/>
        </w:rPr>
        <w:t>企业年度投资计划经董事会审议通过后，于每年1月底前报告市国资委，并附报投资计划可行性分析报告、董事会决议及会议记录、财务总监审核意见等材料。</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第十六条</w:t>
      </w:r>
      <w:r>
        <w:rPr>
          <w:rFonts w:hint="eastAsia" w:ascii="仿宋_GB2312" w:eastAsia="仿宋_GB2312"/>
          <w:bCs/>
          <w:sz w:val="32"/>
          <w:szCs w:val="32"/>
        </w:rPr>
        <w:t xml:space="preserve">  </w:t>
      </w:r>
      <w:r>
        <w:rPr>
          <w:rFonts w:hint="eastAsia" w:ascii="方正仿宋简体" w:eastAsia="方正仿宋简体"/>
          <w:bCs/>
          <w:sz w:val="32"/>
          <w:szCs w:val="32"/>
        </w:rPr>
        <w:t>市国资委对企业年度投资计划编制进行监督指导，重点关注决策程序、投资方向、投资规模、资金来源等方面。必要时，在收到年度投资计划报告20个工作日内，向企业反馈提示意见。企业应根据反馈意见对年度投资计划做出修改。</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企业应在每季度结束后10日内向市国资委报送投资计划执行情况，并于每年1月底前报送年度总结报告。企业年报审计应将投资情况作为重点内容进行披露或出具专项报告。</w:t>
      </w:r>
    </w:p>
    <w:p>
      <w:pPr>
        <w:spacing w:line="640" w:lineRule="exact"/>
        <w:ind w:firstLine="640" w:firstLineChars="200"/>
        <w:rPr>
          <w:rFonts w:ascii="方正仿宋简体" w:eastAsia="方正仿宋简体"/>
          <w:bCs/>
          <w:sz w:val="32"/>
          <w:szCs w:val="32"/>
        </w:rPr>
      </w:pPr>
    </w:p>
    <w:p>
      <w:pPr>
        <w:numPr>
          <w:ilvl w:val="0"/>
          <w:numId w:val="2"/>
        </w:num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 投资项目决策管理</w:t>
      </w:r>
    </w:p>
    <w:p>
      <w:pPr>
        <w:spacing w:line="640" w:lineRule="exact"/>
        <w:rPr>
          <w:rFonts w:ascii="方正黑体简体" w:hAnsi="方正黑体简体" w:eastAsia="方正黑体简体" w:cs="宋体"/>
          <w:color w:val="000000" w:themeColor="text1"/>
          <w:kern w:val="0"/>
          <w:sz w:val="32"/>
          <w:szCs w:val="32"/>
        </w:rPr>
      </w:pPr>
    </w:p>
    <w:p>
      <w:pPr>
        <w:spacing w:line="640" w:lineRule="exact"/>
        <w:ind w:firstLine="640" w:firstLineChars="200"/>
        <w:rPr>
          <w:rFonts w:ascii="仿宋_GB2312" w:eastAsia="仿宋_GB2312"/>
          <w:bCs/>
          <w:sz w:val="32"/>
          <w:szCs w:val="32"/>
        </w:rPr>
      </w:pPr>
      <w:r>
        <w:rPr>
          <w:rFonts w:hint="eastAsia" w:ascii="方正黑体简体" w:hAnsi="方正黑体简体" w:eastAsia="方正黑体简体" w:cs="宋体"/>
          <w:color w:val="000000" w:themeColor="text1"/>
          <w:kern w:val="0"/>
          <w:sz w:val="32"/>
          <w:szCs w:val="32"/>
        </w:rPr>
        <w:t>第十七条</w:t>
      </w:r>
      <w:r>
        <w:rPr>
          <w:rFonts w:hint="eastAsia" w:ascii="仿宋_GB2312" w:eastAsia="仿宋_GB2312"/>
          <w:bCs/>
          <w:sz w:val="32"/>
          <w:szCs w:val="32"/>
        </w:rPr>
        <w:t xml:space="preserve">  发挥企业党委领导作用，加强投资项目党委前置研究讨论，规范决策程序，提升决策水平，避免简化程序、仓促决策，防止违规决策；充分发挥事前沟通作用，提高效率，增强决策的科学性和实效性。</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第十八条</w:t>
      </w:r>
      <w:r>
        <w:rPr>
          <w:rFonts w:hint="eastAsia" w:ascii="方正仿宋简体" w:eastAsia="方正仿宋简体"/>
          <w:bCs/>
          <w:sz w:val="32"/>
          <w:szCs w:val="32"/>
        </w:rPr>
        <w:t xml:space="preserve">  企业投资项目决策前，应当从政策、市场、技术、效益、环境、安全、社会稳定等方面，做好全面充分的尽职调查、可行性研究、风险评估等前期工作。企业应强化对投资项目可行性研究报告的审查论证，建立项目专家库，组织专家审查论证，出具论证意见，作为投资决策的重要依据。</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第十九条 </w:t>
      </w:r>
      <w:r>
        <w:rPr>
          <w:rFonts w:hint="eastAsia" w:ascii="仿宋_GB2312" w:eastAsia="仿宋_GB2312"/>
          <w:bCs/>
          <w:sz w:val="32"/>
          <w:szCs w:val="32"/>
        </w:rPr>
        <w:t xml:space="preserve"> </w:t>
      </w:r>
      <w:r>
        <w:rPr>
          <w:rFonts w:hint="eastAsia" w:ascii="方正仿宋简体" w:eastAsia="方正仿宋简体"/>
          <w:bCs/>
          <w:sz w:val="32"/>
          <w:szCs w:val="32"/>
        </w:rPr>
        <w:t>企业投资决策机构应当按照公司章程和企业投资管理制度规定，对投资项目进行审议，审慎决策。各级投资决策机构对决策结果承担责任，同时负责审核项目立项、尽职调查、可行性研究、风险评估、审查论证等关键环节相关材料，所有参与决策人员应充分发表意见，并在决议、会议记录等决策文件上签字，连同项目材料一并归档保存，确保有案可查。</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第二十条</w:t>
      </w:r>
      <w:r>
        <w:rPr>
          <w:rFonts w:hint="eastAsia" w:ascii="仿宋_GB2312" w:eastAsia="仿宋_GB2312"/>
          <w:bCs/>
          <w:sz w:val="32"/>
          <w:szCs w:val="32"/>
        </w:rPr>
        <w:t xml:space="preserve">  </w:t>
      </w:r>
      <w:r>
        <w:rPr>
          <w:rFonts w:hint="eastAsia" w:ascii="方正仿宋简体" w:eastAsia="方正仿宋简体"/>
          <w:bCs/>
          <w:sz w:val="32"/>
          <w:szCs w:val="32"/>
        </w:rPr>
        <w:t>列入企业投资项目负面清单的特别监管类项目，企业应当在履行完内部决策程序、投资实施前，向市国资委报送项目申报材料（附件3）：</w:t>
      </w:r>
    </w:p>
    <w:p>
      <w:pPr>
        <w:spacing w:line="640" w:lineRule="exact"/>
        <w:ind w:firstLine="640" w:firstLineChars="200"/>
        <w:rPr>
          <w:rFonts w:ascii="仿宋_GB2312" w:eastAsia="仿宋_GB2312"/>
          <w:bCs/>
          <w:sz w:val="32"/>
          <w:szCs w:val="32"/>
        </w:rPr>
      </w:pPr>
      <w:r>
        <w:rPr>
          <w:rFonts w:hint="eastAsia" w:ascii="方正黑体简体" w:hAnsi="方正黑体简体" w:eastAsia="方正黑体简体" w:cs="宋体"/>
          <w:color w:val="000000" w:themeColor="text1"/>
          <w:kern w:val="0"/>
          <w:sz w:val="32"/>
          <w:szCs w:val="32"/>
        </w:rPr>
        <w:t>第二十一条</w:t>
      </w:r>
      <w:r>
        <w:rPr>
          <w:rFonts w:hint="eastAsia" w:ascii="仿宋_GB2312" w:eastAsia="仿宋_GB2312"/>
          <w:bCs/>
          <w:sz w:val="32"/>
          <w:szCs w:val="32"/>
        </w:rPr>
        <w:t xml:space="preserve">  企</w:t>
      </w:r>
      <w:r>
        <w:rPr>
          <w:rFonts w:hint="eastAsia" w:ascii="方正仿宋简体" w:eastAsia="方正仿宋简体"/>
          <w:bCs/>
          <w:sz w:val="32"/>
          <w:szCs w:val="32"/>
        </w:rPr>
        <w:t>业应当对项目申报材料内容的真实性、完整性负责，投资可行性研究、尽职调查、风险评估报告及防范化解预案、法律意见书等应由相关责任人签字，并承担相应责任。</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第二十二条</w:t>
      </w:r>
      <w:r>
        <w:rPr>
          <w:rFonts w:hint="eastAsia" w:ascii="仿宋_GB2312" w:eastAsia="仿宋_GB2312"/>
          <w:bCs/>
          <w:sz w:val="32"/>
          <w:szCs w:val="32"/>
        </w:rPr>
        <w:t xml:space="preserve">  </w:t>
      </w:r>
      <w:r>
        <w:rPr>
          <w:rFonts w:hint="eastAsia" w:ascii="方正仿宋简体" w:eastAsia="方正仿宋简体"/>
          <w:bCs/>
          <w:sz w:val="32"/>
          <w:szCs w:val="32"/>
        </w:rPr>
        <w:t>市国资委依据相关法律、法规和国有资产监管规定，从投资项目实施的必要性、对企业经营发展的影响程度、企业投资风险承受能力等方面，对特别监管类项目履行出资人审核程序并出具审核意见。特别监管类的特别重大投资项目，市国资委研究提出意见后，报市政府审议。</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第二十三条</w:t>
      </w:r>
      <w:r>
        <w:rPr>
          <w:rFonts w:hint="eastAsia" w:ascii="仿宋_GB2312" w:eastAsia="仿宋_GB2312"/>
          <w:bCs/>
          <w:sz w:val="32"/>
          <w:szCs w:val="32"/>
        </w:rPr>
        <w:t xml:space="preserve">  </w:t>
      </w:r>
      <w:r>
        <w:rPr>
          <w:rFonts w:hint="eastAsia" w:ascii="方正仿宋简体" w:eastAsia="方正仿宋简体"/>
          <w:bCs/>
          <w:sz w:val="32"/>
          <w:szCs w:val="32"/>
        </w:rPr>
        <w:t>投资项目决策后，出现以下情形之一的，应当按照规定重新履行决策程序：</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 xml:space="preserve">（一）初步设计概算超过可研估算20%（含）以上或投资额超过原概算20%（含）以上；                                    </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（二）资金来源及构成需进行重大调整，致使企业负债过高，</w:t>
      </w:r>
    </w:p>
    <w:p>
      <w:pPr>
        <w:spacing w:line="640" w:lineRule="exact"/>
        <w:rPr>
          <w:rFonts w:ascii="方正仿宋简体" w:eastAsia="方正仿宋简体"/>
          <w:bCs/>
          <w:sz w:val="32"/>
          <w:szCs w:val="32"/>
        </w:rPr>
      </w:pPr>
      <w:r>
        <w:rPr>
          <w:rFonts w:hint="eastAsia" w:ascii="方正仿宋简体" w:eastAsia="方正仿宋简体"/>
          <w:bCs/>
          <w:sz w:val="32"/>
          <w:szCs w:val="32"/>
        </w:rPr>
        <w:t>超出企业承受能力或影响企业正常发展；</w:t>
      </w:r>
    </w:p>
    <w:p>
      <w:pPr>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（三）投资对象股权结构发生重大变化，导致企业控制权转移；</w:t>
      </w:r>
    </w:p>
    <w:p>
      <w:pPr>
        <w:spacing w:line="640" w:lineRule="exact"/>
        <w:ind w:left="525" w:leftChars="250" w:firstLine="1"/>
        <w:rPr>
          <w:rFonts w:ascii="方正仿宋简体" w:eastAsia="方正仿宋简体"/>
          <w:bCs/>
          <w:sz w:val="32"/>
          <w:szCs w:val="32"/>
        </w:rPr>
      </w:pPr>
      <w:r>
        <w:rPr>
          <w:rFonts w:hint="eastAsia" w:ascii="方正仿宋简体" w:eastAsia="方正仿宋简体"/>
          <w:bCs/>
          <w:sz w:val="32"/>
          <w:szCs w:val="32"/>
        </w:rPr>
        <w:t>（四）投资项目合作方严重违约，损害企业利益；         （五）因不可控因素造成投资风险剧增或存在较大潜在损失</w:t>
      </w:r>
    </w:p>
    <w:p>
      <w:pPr>
        <w:spacing w:line="640" w:lineRule="exact"/>
        <w:rPr>
          <w:rFonts w:ascii="方正仿宋简体" w:eastAsia="方正仿宋简体"/>
          <w:bCs/>
          <w:sz w:val="32"/>
          <w:szCs w:val="32"/>
        </w:rPr>
      </w:pPr>
      <w:r>
        <w:rPr>
          <w:rFonts w:hint="eastAsia" w:ascii="方正仿宋简体" w:eastAsia="方正仿宋简体"/>
          <w:bCs/>
          <w:sz w:val="32"/>
          <w:szCs w:val="32"/>
        </w:rPr>
        <w:t>等重大变化，造成投资目的无法实现。</w:t>
      </w:r>
    </w:p>
    <w:p>
      <w:pPr>
        <w:spacing w:line="640" w:lineRule="exact"/>
        <w:ind w:firstLine="640" w:firstLineChars="200"/>
        <w:rPr>
          <w:rFonts w:ascii="仿宋_GB2312" w:eastAsia="仿宋_GB2312"/>
          <w:bCs/>
          <w:sz w:val="32"/>
          <w:szCs w:val="32"/>
        </w:rPr>
      </w:pPr>
      <w:r>
        <w:rPr>
          <w:rFonts w:hint="eastAsia" w:ascii="方正仿宋简体" w:eastAsia="方正仿宋简体"/>
          <w:bCs/>
          <w:sz w:val="32"/>
          <w:szCs w:val="32"/>
        </w:rPr>
        <w:t>特别监管类项目再决策的，企业应在决策后10个工作日内将有关情况报市国资委审核。</w:t>
      </w:r>
    </w:p>
    <w:p>
      <w:pPr>
        <w:spacing w:line="640" w:lineRule="exact"/>
        <w:ind w:firstLine="640" w:firstLineChars="200"/>
        <w:rPr>
          <w:rFonts w:ascii="仿宋_GB2312" w:hAnsi="仿宋" w:eastAsia="仿宋_GB2312" w:cs="宋体"/>
          <w:color w:val="000000" w:themeColor="text1"/>
          <w:kern w:val="0"/>
          <w:sz w:val="32"/>
          <w:szCs w:val="32"/>
        </w:rPr>
      </w:pPr>
    </w:p>
    <w:p>
      <w:pPr>
        <w:numPr>
          <w:ilvl w:val="0"/>
          <w:numId w:val="3"/>
        </w:num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 投资项目实施管理</w:t>
      </w:r>
    </w:p>
    <w:p>
      <w:pPr>
        <w:spacing w:line="640" w:lineRule="exact"/>
        <w:rPr>
          <w:rFonts w:ascii="仿宋_GB2312" w:hAnsi="仿宋" w:eastAsia="仿宋_GB2312" w:cs="宋体"/>
          <w:color w:val="000000" w:themeColor="text1"/>
          <w:kern w:val="0"/>
          <w:sz w:val="32"/>
          <w:szCs w:val="32"/>
        </w:rPr>
      </w:pP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第二十四条</w:t>
      </w:r>
      <w:r>
        <w:rPr>
          <w:rFonts w:hint="eastAsia" w:ascii="仿宋_GB2312" w:eastAsia="仿宋_GB2312"/>
          <w:bCs/>
          <w:sz w:val="32"/>
          <w:szCs w:val="32"/>
        </w:rPr>
        <w:t xml:space="preserve">  </w:t>
      </w:r>
      <w:r>
        <w:rPr>
          <w:rFonts w:hint="eastAsia" w:ascii="方正仿宋简体" w:hAnsi="仿宋" w:eastAsia="方正仿宋简体" w:cs="宋体"/>
          <w:color w:val="000000" w:themeColor="text1"/>
          <w:kern w:val="0"/>
          <w:sz w:val="32"/>
          <w:szCs w:val="32"/>
        </w:rPr>
        <w:t>企业投资涉及需财务审计、资产评估事项的，按有关规定履行相应程序。经核准或备案的资产评估结果，作为企业签订投资协议、出资或收购定价的参考依据，不得先定价后评估。</w:t>
      </w: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第二十五条</w:t>
      </w:r>
      <w:r>
        <w:rPr>
          <w:rFonts w:hint="eastAsia" w:ascii="仿宋_GB2312" w:hAnsi="仿宋" w:eastAsia="仿宋_GB2312" w:cs="宋体"/>
          <w:color w:val="000000" w:themeColor="text1"/>
          <w:kern w:val="0"/>
          <w:sz w:val="32"/>
          <w:szCs w:val="32"/>
        </w:rPr>
        <w:t xml:space="preserve">  </w:t>
      </w:r>
      <w:r>
        <w:rPr>
          <w:rFonts w:hint="eastAsia" w:ascii="方正仿宋简体" w:hAnsi="仿宋" w:eastAsia="方正仿宋简体" w:cs="宋体"/>
          <w:color w:val="000000" w:themeColor="text1"/>
          <w:kern w:val="0"/>
          <w:sz w:val="32"/>
          <w:szCs w:val="32"/>
        </w:rPr>
        <w:t>企业投资项目严禁违反城乡规划、土地管理、环境保护等法律法规和相关规定擅自开工建设。严格落实项目法人责任制、招标投标制、合同管理制和工程监理制，严格把握建设标准，严把设计、施工、材料质量关，精心组织项目实施。项目建成后，严格按照有关规定进行竣工验收并及时运营使用。</w:t>
      </w: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第二十六条</w:t>
      </w:r>
      <w:r>
        <w:rPr>
          <w:rFonts w:hint="eastAsia" w:ascii="仿宋_GB2312" w:eastAsia="仿宋_GB2312"/>
          <w:bCs/>
          <w:sz w:val="32"/>
          <w:szCs w:val="32"/>
        </w:rPr>
        <w:t xml:space="preserve">  </w:t>
      </w:r>
      <w:r>
        <w:rPr>
          <w:rFonts w:hint="eastAsia" w:ascii="方正仿宋简体" w:hAnsi="仿宋" w:eastAsia="方正仿宋简体" w:cs="宋体"/>
          <w:color w:val="000000" w:themeColor="text1"/>
          <w:kern w:val="0"/>
          <w:sz w:val="32"/>
          <w:szCs w:val="32"/>
        </w:rPr>
        <w:t>企业应当加强项目管理，全面掌握投资项目进展情况，做好跟踪管理和信息统计分析工作，关注项目是否按期推进、投资是否超预算、是否按期达产达效等，对出现的问题及时妥善处置。</w:t>
      </w:r>
    </w:p>
    <w:p>
      <w:pPr>
        <w:spacing w:line="640" w:lineRule="exact"/>
        <w:rPr>
          <w:rFonts w:ascii="方正楷体简体" w:hAnsi="仿宋" w:eastAsia="方正楷体简体" w:cs="宋体"/>
          <w:color w:val="000000" w:themeColor="text1"/>
          <w:kern w:val="0"/>
          <w:sz w:val="32"/>
          <w:szCs w:val="32"/>
        </w:rPr>
      </w:pPr>
    </w:p>
    <w:p>
      <w:p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第八章  投资项目后评价管理</w:t>
      </w:r>
    </w:p>
    <w:p>
      <w:pPr>
        <w:spacing w:line="640" w:lineRule="exact"/>
        <w:rPr>
          <w:rFonts w:ascii="方正楷体简体" w:hAnsi="仿宋" w:eastAsia="方正楷体简体" w:cs="宋体"/>
          <w:color w:val="000000" w:themeColor="text1"/>
          <w:kern w:val="0"/>
          <w:sz w:val="32"/>
          <w:szCs w:val="32"/>
        </w:rPr>
      </w:pP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第二十七条</w:t>
      </w:r>
      <w:r>
        <w:rPr>
          <w:rFonts w:hint="eastAsia" w:ascii="方正楷体简体" w:hAnsi="仿宋" w:eastAsia="方正楷体简体" w:cs="宋体"/>
          <w:color w:val="000000" w:themeColor="text1"/>
          <w:kern w:val="0"/>
          <w:sz w:val="32"/>
          <w:szCs w:val="32"/>
        </w:rPr>
        <w:t xml:space="preserve">  </w:t>
      </w:r>
      <w:r>
        <w:rPr>
          <w:rFonts w:hint="eastAsia" w:ascii="方正仿宋简体" w:hAnsi="仿宋" w:eastAsia="方正仿宋简体" w:cs="宋体"/>
          <w:color w:val="000000" w:themeColor="text1"/>
          <w:kern w:val="0"/>
          <w:sz w:val="32"/>
          <w:szCs w:val="32"/>
        </w:rPr>
        <w:t>市国资委建立企业投资项目后评价制度，作为企业开展后评价工作的重要依据。指导和监督企业开展后评价，必要时对部分重大投资项目直接组织后评价</w:t>
      </w: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第二十八条</w:t>
      </w:r>
      <w:r>
        <w:rPr>
          <w:rFonts w:hint="eastAsia" w:ascii="仿宋_GB2312" w:hAnsi="仿宋" w:eastAsia="仿宋_GB2312" w:cs="宋体"/>
          <w:color w:val="000000" w:themeColor="text1"/>
          <w:kern w:val="0"/>
          <w:sz w:val="32"/>
          <w:szCs w:val="32"/>
        </w:rPr>
        <w:t xml:space="preserve">  </w:t>
      </w:r>
      <w:r>
        <w:rPr>
          <w:rFonts w:hint="eastAsia" w:ascii="方正仿宋简体" w:hAnsi="仿宋" w:eastAsia="方正仿宋简体" w:cs="宋体"/>
          <w:color w:val="000000" w:themeColor="text1"/>
          <w:kern w:val="0"/>
          <w:sz w:val="32"/>
          <w:szCs w:val="32"/>
        </w:rPr>
        <w:t>企业应当</w:t>
      </w:r>
      <w:r>
        <w:rPr>
          <w:rFonts w:ascii="方正仿宋简体" w:hAnsi="仿宋" w:eastAsia="方正仿宋简体" w:cs="宋体"/>
          <w:color w:val="000000" w:themeColor="text1"/>
          <w:kern w:val="0"/>
          <w:sz w:val="32"/>
          <w:szCs w:val="32"/>
        </w:rPr>
        <w:t>每年选择部分已</w:t>
      </w:r>
      <w:r>
        <w:rPr>
          <w:rFonts w:hint="eastAsia" w:ascii="方正仿宋简体" w:hAnsi="仿宋" w:eastAsia="方正仿宋简体" w:cs="宋体"/>
          <w:color w:val="000000" w:themeColor="text1"/>
          <w:kern w:val="0"/>
          <w:sz w:val="32"/>
          <w:szCs w:val="32"/>
        </w:rPr>
        <w:t>建成</w:t>
      </w:r>
      <w:r>
        <w:rPr>
          <w:rFonts w:ascii="方正仿宋简体" w:hAnsi="仿宋" w:eastAsia="方正仿宋简体" w:cs="宋体"/>
          <w:color w:val="000000" w:themeColor="text1"/>
          <w:kern w:val="0"/>
          <w:sz w:val="32"/>
          <w:szCs w:val="32"/>
        </w:rPr>
        <w:t>的重大投资项目开展后评价，形成后评价报告，总结经验、揭示风险、制定对策，改进投资管理，并提出奖惩处理意见等</w:t>
      </w:r>
      <w:r>
        <w:rPr>
          <w:rFonts w:hint="eastAsia" w:ascii="方正仿宋简体" w:hAnsi="仿宋" w:eastAsia="方正仿宋简体" w:cs="宋体"/>
          <w:color w:val="000000" w:themeColor="text1"/>
          <w:kern w:val="0"/>
          <w:sz w:val="32"/>
          <w:szCs w:val="32"/>
        </w:rPr>
        <w:t>，</w:t>
      </w:r>
      <w:r>
        <w:rPr>
          <w:rFonts w:ascii="方正仿宋简体" w:hAnsi="仿宋" w:eastAsia="方正仿宋简体" w:cs="宋体"/>
          <w:color w:val="000000" w:themeColor="text1"/>
          <w:kern w:val="0"/>
          <w:sz w:val="32"/>
          <w:szCs w:val="32"/>
        </w:rPr>
        <w:t>并将后评价报告及时报送市国资委。</w:t>
      </w:r>
    </w:p>
    <w:p>
      <w:pPr>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第二十九条 </w:t>
      </w:r>
      <w:r>
        <w:rPr>
          <w:rFonts w:hint="eastAsia" w:ascii="仿宋_GB2312" w:hAnsi="仿宋" w:eastAsia="仿宋_GB2312" w:cs="宋体"/>
          <w:color w:val="000000" w:themeColor="text1"/>
          <w:kern w:val="0"/>
          <w:sz w:val="32"/>
          <w:szCs w:val="32"/>
        </w:rPr>
        <w:t xml:space="preserve"> </w:t>
      </w:r>
      <w:r>
        <w:rPr>
          <w:rFonts w:hint="eastAsia" w:ascii="方正仿宋简体" w:hAnsi="仿宋" w:eastAsia="方正仿宋简体" w:cs="宋体"/>
          <w:color w:val="000000" w:themeColor="text1"/>
          <w:kern w:val="0"/>
          <w:sz w:val="32"/>
          <w:szCs w:val="32"/>
        </w:rPr>
        <w:t>企业应当开展重大投资项目专项审计，对项目投资决策、投资方向、投资收益、投资风险管理等进行重点审计，并针对发行问题制定落实相应整改措施。</w:t>
      </w:r>
    </w:p>
    <w:p>
      <w:pPr>
        <w:spacing w:line="640" w:lineRule="exact"/>
        <w:ind w:firstLine="640" w:firstLineChars="200"/>
        <w:rPr>
          <w:rFonts w:ascii="方正仿宋简体" w:hAnsi="仿宋" w:eastAsia="方正仿宋简体" w:cs="宋体"/>
          <w:color w:val="000000" w:themeColor="text1"/>
          <w:kern w:val="0"/>
          <w:sz w:val="32"/>
          <w:szCs w:val="32"/>
        </w:rPr>
      </w:pPr>
    </w:p>
    <w:p>
      <w:p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第九章 投资风险管理</w:t>
      </w:r>
    </w:p>
    <w:p>
      <w:pPr>
        <w:spacing w:line="640" w:lineRule="exact"/>
        <w:ind w:left="1080"/>
        <w:rPr>
          <w:rFonts w:ascii="方正黑体简体" w:hAnsi="方正黑体简体" w:eastAsia="方正黑体简体" w:cs="宋体"/>
          <w:color w:val="000000" w:themeColor="text1"/>
          <w:kern w:val="0"/>
          <w:sz w:val="32"/>
          <w:szCs w:val="32"/>
        </w:rPr>
      </w:pP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第三十条 </w:t>
      </w:r>
      <w:r>
        <w:rPr>
          <w:rFonts w:hint="eastAsia" w:ascii="仿宋_GB2312" w:eastAsia="仿宋_GB2312"/>
          <w:bCs/>
          <w:sz w:val="32"/>
          <w:szCs w:val="32"/>
        </w:rPr>
        <w:t xml:space="preserve"> </w:t>
      </w:r>
      <w:r>
        <w:rPr>
          <w:rFonts w:hint="eastAsia" w:ascii="方正仿宋简体" w:eastAsia="方正仿宋简体"/>
          <w:bCs/>
          <w:sz w:val="32"/>
          <w:szCs w:val="32"/>
        </w:rPr>
        <w:t>企业应当建立投资全过程风险管理体系，强化投资事前风险评估和风险防控方案制定，做好项目实施过程中的风险监控、预警和处置，合理安排股权投资项目的退出时点与方式。对预估风险较大的投资项目，应由具备相应评估能力和条件的专业机构出具风险评估报告。</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第三十一条</w:t>
      </w:r>
      <w:r>
        <w:rPr>
          <w:rFonts w:hint="eastAsia" w:ascii="仿宋_GB2312" w:eastAsia="仿宋_GB2312"/>
          <w:bCs/>
          <w:sz w:val="32"/>
          <w:szCs w:val="32"/>
        </w:rPr>
        <w:t xml:space="preserve">  </w:t>
      </w:r>
      <w:r>
        <w:rPr>
          <w:rFonts w:hint="eastAsia" w:ascii="方正仿宋简体" w:eastAsia="方正仿宋简体"/>
          <w:bCs/>
          <w:sz w:val="32"/>
          <w:szCs w:val="32"/>
        </w:rPr>
        <w:t>鼓励企业商业性投资项目积极引入各类投资机构参与，对具备条件的新上投资项目采取项目团队跟投、风险抵押金等方式，实现项目收益共享、风险共担。对合资合作及并购项目，企业应设置有效的权益保护措施，强化对投资相关合同、协议及标的公司章程等法律文本的审查，维护国有股东权益，不得违反合同约定提前支付并购价款，不得为其他合资合作方提供垫资，或通过高溢价并购等手段向关联方输送利益。</w:t>
      </w:r>
    </w:p>
    <w:p>
      <w:pPr>
        <w:spacing w:line="640" w:lineRule="exact"/>
        <w:ind w:firstLine="640" w:firstLineChars="200"/>
        <w:rPr>
          <w:rFonts w:ascii="仿宋_GB2312" w:eastAsia="仿宋_GB2312"/>
          <w:bCs/>
          <w:sz w:val="32"/>
          <w:szCs w:val="32"/>
        </w:rPr>
      </w:pPr>
      <w:r>
        <w:rPr>
          <w:rFonts w:hint="eastAsia" w:ascii="方正黑体简体" w:hAnsi="方正黑体简体" w:eastAsia="方正黑体简体" w:cs="宋体"/>
          <w:color w:val="000000" w:themeColor="text1"/>
          <w:kern w:val="0"/>
          <w:sz w:val="32"/>
          <w:szCs w:val="32"/>
        </w:rPr>
        <w:t>第三十二条</w:t>
      </w:r>
      <w:r>
        <w:rPr>
          <w:rFonts w:hint="eastAsia" w:ascii="仿宋_GB2312" w:eastAsia="仿宋_GB2312"/>
          <w:bCs/>
          <w:sz w:val="32"/>
          <w:szCs w:val="32"/>
        </w:rPr>
        <w:t xml:space="preserve">  </w:t>
      </w:r>
      <w:r>
        <w:rPr>
          <w:rFonts w:hint="eastAsia" w:ascii="方正仿宋简体" w:eastAsia="方正仿宋简体"/>
          <w:bCs/>
          <w:sz w:val="32"/>
          <w:szCs w:val="32"/>
        </w:rPr>
        <w:t>市国资委指导督促企业加强投资风险管理，必要时组织专业机构或相关专家对企业投资风险管理体系进行评价，及时将评价结果反馈企业。企业应按照评价结果对存在的问题及时整改，完善投资风险管理体系，提高抗风险能力。</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第三十三条</w:t>
      </w:r>
      <w:r>
        <w:rPr>
          <w:rFonts w:hint="eastAsia" w:ascii="仿宋_GB2312" w:eastAsia="仿宋_GB2312"/>
          <w:bCs/>
          <w:sz w:val="32"/>
          <w:szCs w:val="32"/>
        </w:rPr>
        <w:t xml:space="preserve">  </w:t>
      </w:r>
      <w:r>
        <w:rPr>
          <w:rFonts w:hint="eastAsia" w:ascii="方正仿宋简体" w:eastAsia="方正仿宋简体"/>
          <w:bCs/>
          <w:sz w:val="32"/>
          <w:szCs w:val="32"/>
        </w:rPr>
        <w:t>企业应严格控制除套期保值以外的金融衍生品、证券市场投机交易等高风险投资。</w:t>
      </w: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第三十四条 </w:t>
      </w:r>
      <w:r>
        <w:rPr>
          <w:rFonts w:hint="eastAsia" w:ascii="方正仿宋简体" w:eastAsia="方正仿宋简体"/>
          <w:bCs/>
          <w:sz w:val="32"/>
          <w:szCs w:val="32"/>
        </w:rPr>
        <w:t xml:space="preserve"> 企业应吸取投资风险事件教训，以案为鉴，强化风险识别能力，严控投资风险，提升风险管理水平，严防国有资产流失。</w:t>
      </w:r>
    </w:p>
    <w:p>
      <w:pPr>
        <w:numPr>
          <w:ilvl w:val="0"/>
          <w:numId w:val="4"/>
        </w:num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  责任追究管理</w:t>
      </w:r>
    </w:p>
    <w:p>
      <w:pPr>
        <w:spacing w:line="640" w:lineRule="exact"/>
        <w:rPr>
          <w:rFonts w:ascii="方正黑体简体" w:hAnsi="方正黑体简体" w:eastAsia="方正黑体简体" w:cs="宋体"/>
          <w:color w:val="000000" w:themeColor="text1"/>
          <w:kern w:val="0"/>
          <w:sz w:val="32"/>
          <w:szCs w:val="32"/>
        </w:rPr>
      </w:pPr>
    </w:p>
    <w:p>
      <w:pPr>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第三十五条</w:t>
      </w:r>
      <w:r>
        <w:rPr>
          <w:rFonts w:hint="eastAsia" w:ascii="仿宋_GB2312" w:eastAsia="仿宋_GB2312"/>
          <w:bCs/>
          <w:sz w:val="32"/>
          <w:szCs w:val="32"/>
        </w:rPr>
        <w:t xml:space="preserve">  企业是维护国有资本安全、实现国有资产保值增值、防止投资损失的责任主体，应建立健全内部投资管理责任追究制度，建立与流程匹配、可追溯的投资管理责任链，明确各</w:t>
      </w:r>
      <w:r>
        <w:rPr>
          <w:rFonts w:hint="eastAsia" w:ascii="方正仿宋简体" w:eastAsia="方正仿宋简体"/>
          <w:bCs/>
          <w:sz w:val="32"/>
          <w:szCs w:val="32"/>
        </w:rPr>
        <w:t>环节责任主体及相应责任，完善投资管理工作考核评估和奖惩机制。对投资过程中的违规违纪行为，按照有关规定实施责任追究。</w:t>
      </w:r>
    </w:p>
    <w:p>
      <w:pPr>
        <w:spacing w:line="640" w:lineRule="exact"/>
        <w:ind w:firstLine="640" w:firstLineChars="200"/>
        <w:rPr>
          <w:rFonts w:ascii="方正仿宋简体" w:hAnsi="仿宋" w:eastAsia="方正仿宋简体" w:cs="宋体"/>
          <w:color w:val="000000"/>
          <w:kern w:val="0"/>
          <w:sz w:val="32"/>
          <w:szCs w:val="32"/>
        </w:rPr>
      </w:pPr>
      <w:r>
        <w:rPr>
          <w:rFonts w:hint="eastAsia" w:ascii="方正黑体简体" w:hAnsi="方正黑体简体" w:eastAsia="方正黑体简体" w:cs="宋体"/>
          <w:color w:val="000000" w:themeColor="text1"/>
          <w:kern w:val="0"/>
          <w:sz w:val="32"/>
          <w:szCs w:val="32"/>
        </w:rPr>
        <w:t>第三十六条</w:t>
      </w:r>
      <w:r>
        <w:rPr>
          <w:rFonts w:hint="eastAsia" w:ascii="仿宋_GB2312" w:eastAsia="仿宋_GB2312"/>
          <w:bCs/>
          <w:sz w:val="32"/>
          <w:szCs w:val="32"/>
        </w:rPr>
        <w:t xml:space="preserve">  </w:t>
      </w:r>
      <w:r>
        <w:rPr>
          <w:rFonts w:hint="eastAsia" w:ascii="方正仿宋简体" w:eastAsia="方正仿宋简体"/>
          <w:bCs/>
          <w:sz w:val="32"/>
          <w:szCs w:val="32"/>
        </w:rPr>
        <w:t>企业违反本规定，未履行或未正确履行投资管理职责，造成国有资产损失或严重不良后果的，</w:t>
      </w:r>
      <w:r>
        <w:rPr>
          <w:rFonts w:hint="eastAsia" w:ascii="方正仿宋简体" w:hAnsi="仿宋" w:eastAsia="方正仿宋简体" w:cs="宋体"/>
          <w:color w:val="000000"/>
          <w:kern w:val="0"/>
          <w:sz w:val="32"/>
          <w:szCs w:val="32"/>
        </w:rPr>
        <w:t>按照《济宁市市管企业违规经营投资责任追究实施办法（试行）》（</w:t>
      </w:r>
      <w:r>
        <w:rPr>
          <w:rFonts w:hint="eastAsia" w:ascii="方正仿宋简体" w:eastAsia="方正仿宋简体"/>
          <w:bCs/>
          <w:sz w:val="32"/>
          <w:szCs w:val="32"/>
        </w:rPr>
        <w:t>济国资〔2020〕31号）</w:t>
      </w:r>
      <w:r>
        <w:rPr>
          <w:rFonts w:hint="eastAsia" w:ascii="方正仿宋简体" w:hAnsi="仿宋" w:eastAsia="方正仿宋简体" w:cs="宋体"/>
          <w:color w:val="000000"/>
          <w:kern w:val="0"/>
          <w:sz w:val="32"/>
          <w:szCs w:val="32"/>
        </w:rPr>
        <w:t>有关规定对企业相关人员进行责任追究，涉嫌犯罪的，移送司法机关依法处理。</w:t>
      </w:r>
    </w:p>
    <w:p>
      <w:pPr>
        <w:spacing w:line="640" w:lineRule="exact"/>
        <w:ind w:firstLine="640" w:firstLineChars="200"/>
        <w:rPr>
          <w:rFonts w:ascii="仿宋_GB2312" w:hAnsi="仿宋" w:eastAsia="仿宋_GB2312" w:cs="宋体"/>
          <w:color w:val="000000"/>
          <w:kern w:val="0"/>
          <w:sz w:val="32"/>
          <w:szCs w:val="32"/>
        </w:rPr>
      </w:pPr>
    </w:p>
    <w:p>
      <w:pPr>
        <w:spacing w:line="640" w:lineRule="exact"/>
        <w:jc w:val="center"/>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第十一章  附则</w:t>
      </w:r>
    </w:p>
    <w:p>
      <w:pPr>
        <w:spacing w:line="640" w:lineRule="exact"/>
        <w:rPr>
          <w:rFonts w:ascii="仿宋_GB2312" w:hAnsi="仿宋" w:eastAsia="仿宋_GB2312" w:cs="宋体"/>
          <w:color w:val="000000"/>
          <w:kern w:val="0"/>
          <w:sz w:val="32"/>
          <w:szCs w:val="32"/>
        </w:rPr>
      </w:pPr>
    </w:p>
    <w:p>
      <w:pPr>
        <w:autoSpaceDE w:val="0"/>
        <w:spacing w:line="640" w:lineRule="exact"/>
        <w:ind w:firstLine="640" w:firstLineChars="200"/>
        <w:rPr>
          <w:rFonts w:ascii="方正仿宋简体" w:eastAsia="方正仿宋简体"/>
          <w:bCs/>
          <w:sz w:val="32"/>
          <w:szCs w:val="32"/>
        </w:rPr>
      </w:pPr>
      <w:r>
        <w:rPr>
          <w:rFonts w:hint="eastAsia" w:ascii="方正黑体简体" w:hAnsi="方正黑体简体" w:eastAsia="方正黑体简体" w:cs="宋体"/>
          <w:color w:val="000000" w:themeColor="text1"/>
          <w:kern w:val="0"/>
          <w:sz w:val="32"/>
          <w:szCs w:val="32"/>
        </w:rPr>
        <w:t xml:space="preserve">第三十七条 </w:t>
      </w:r>
      <w:r>
        <w:rPr>
          <w:rFonts w:hint="eastAsia" w:ascii="宋体" w:hAnsi="宋体" w:cs="宋体"/>
          <w:color w:val="000000"/>
          <w:sz w:val="24"/>
        </w:rPr>
        <w:t xml:space="preserve"> </w:t>
      </w:r>
      <w:r>
        <w:rPr>
          <w:rFonts w:hint="eastAsia" w:ascii="方正仿宋简体" w:eastAsia="方正仿宋简体"/>
          <w:bCs/>
          <w:sz w:val="32"/>
          <w:szCs w:val="32"/>
        </w:rPr>
        <w:t>本规定由市国资委负责解释。</w:t>
      </w:r>
    </w:p>
    <w:p>
      <w:pPr>
        <w:autoSpaceDE w:val="0"/>
        <w:spacing w:line="640" w:lineRule="exact"/>
        <w:ind w:firstLine="640" w:firstLineChars="200"/>
        <w:rPr>
          <w:rFonts w:ascii="方正仿宋简体" w:hAnsi="宋体"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 xml:space="preserve">第三十八条 </w:t>
      </w:r>
      <w:r>
        <w:rPr>
          <w:rFonts w:hint="eastAsia" w:ascii="仿宋_GB2312" w:eastAsia="仿宋_GB2312"/>
          <w:bCs/>
          <w:sz w:val="32"/>
          <w:szCs w:val="32"/>
        </w:rPr>
        <w:t xml:space="preserve"> </w:t>
      </w:r>
      <w:r>
        <w:rPr>
          <w:rFonts w:hint="eastAsia" w:ascii="方正仿宋简体" w:eastAsia="方正仿宋简体"/>
          <w:bCs/>
          <w:sz w:val="32"/>
          <w:szCs w:val="32"/>
        </w:rPr>
        <w:t>本规定自2021年  月  日起施行。</w:t>
      </w:r>
    </w:p>
    <w:p>
      <w:pPr>
        <w:widowControl/>
        <w:spacing w:line="640" w:lineRule="exact"/>
        <w:ind w:firstLine="5440" w:firstLineChars="1700"/>
        <w:rPr>
          <w:rFonts w:ascii="宋体" w:hAnsi="宋体" w:eastAsia="仿宋_GB2312" w:cs="宋体"/>
          <w:color w:val="000000" w:themeColor="text1"/>
          <w:kern w:val="0"/>
          <w:sz w:val="32"/>
          <w:szCs w:val="32"/>
        </w:rPr>
      </w:pPr>
    </w:p>
    <w:p>
      <w:pPr>
        <w:widowControl/>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附件：1.市管企业主业清单</w:t>
      </w:r>
    </w:p>
    <w:p>
      <w:pPr>
        <w:widowControl/>
        <w:spacing w:line="640" w:lineRule="exact"/>
        <w:ind w:firstLine="640" w:firstLineChars="200"/>
        <w:rPr>
          <w:rFonts w:ascii="方正仿宋简体" w:eastAsia="方正仿宋简体"/>
          <w:bCs/>
          <w:sz w:val="32"/>
          <w:szCs w:val="32"/>
        </w:rPr>
      </w:pPr>
      <w:r>
        <w:rPr>
          <w:rFonts w:hint="eastAsia" w:ascii="方正仿宋简体" w:eastAsia="方正仿宋简体"/>
          <w:bCs/>
          <w:sz w:val="32"/>
          <w:szCs w:val="32"/>
        </w:rPr>
        <w:t xml:space="preserve">      2.市管企业投资项目负面清单（2021年版）</w:t>
      </w:r>
    </w:p>
    <w:p>
      <w:pPr>
        <w:widowControl/>
        <w:spacing w:line="640" w:lineRule="exact"/>
        <w:ind w:firstLine="640" w:firstLineChars="200"/>
        <w:rPr>
          <w:rFonts w:ascii="方正仿宋简体" w:eastAsia="方正仿宋简体" w:cs="宋体" w:hAnsiTheme="minorEastAsia"/>
          <w:b/>
          <w:color w:val="000000" w:themeColor="text1"/>
          <w:kern w:val="0"/>
          <w:sz w:val="44"/>
          <w:szCs w:val="44"/>
        </w:rPr>
      </w:pPr>
      <w:r>
        <w:rPr>
          <w:rFonts w:hint="eastAsia" w:ascii="方正仿宋简体" w:eastAsia="方正仿宋简体"/>
          <w:bCs/>
          <w:sz w:val="32"/>
          <w:szCs w:val="32"/>
        </w:rPr>
        <w:t xml:space="preserve">      3. 市管企业投资项目材料清单</w:t>
      </w:r>
    </w:p>
    <w:p>
      <w:pPr>
        <w:widowControl/>
        <w:spacing w:line="640" w:lineRule="exact"/>
        <w:rPr>
          <w:rFonts w:ascii="方正黑体简体" w:hAnsi="方正黑体简体" w:eastAsia="方正黑体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附件1</w:t>
      </w:r>
    </w:p>
    <w:p>
      <w:pPr>
        <w:widowControl/>
        <w:spacing w:line="640" w:lineRule="exact"/>
        <w:jc w:val="center"/>
        <w:rPr>
          <w:rFonts w:ascii="方正黑体简体" w:hAnsi="方正黑体简体" w:eastAsia="方正黑体简体" w:cs="宋体"/>
          <w:color w:val="000000" w:themeColor="text1"/>
          <w:kern w:val="0"/>
          <w:sz w:val="44"/>
          <w:szCs w:val="44"/>
        </w:rPr>
      </w:pPr>
      <w:r>
        <w:rPr>
          <w:rFonts w:hint="eastAsia" w:ascii="方正黑体简体" w:hAnsi="方正黑体简体" w:eastAsia="方正黑体简体" w:cs="宋体"/>
          <w:color w:val="000000" w:themeColor="text1"/>
          <w:kern w:val="0"/>
          <w:sz w:val="44"/>
          <w:szCs w:val="44"/>
        </w:rPr>
        <w:t>市管企业主业清单</w:t>
      </w:r>
    </w:p>
    <w:tbl>
      <w:tblPr>
        <w:tblStyle w:val="7"/>
        <w:tblpPr w:leftFromText="180" w:rightFromText="180" w:vertAnchor="text" w:horzAnchor="margin" w:tblpXSpec="center" w:tblpY="589"/>
        <w:tblW w:w="98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311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tcMar>
              <w:top w:w="0" w:type="dxa"/>
              <w:left w:w="70" w:type="dxa"/>
              <w:bottom w:w="0" w:type="dxa"/>
              <w:right w:w="70" w:type="dxa"/>
            </w:tcMar>
            <w:vAlign w:val="center"/>
          </w:tcPr>
          <w:p>
            <w:pPr>
              <w:adjustRightInd w:val="0"/>
              <w:ind w:right="105" w:rightChars="50"/>
              <w:jc w:val="center"/>
              <w:rPr>
                <w:rFonts w:ascii="方正仿宋简体" w:eastAsia="方正仿宋简体"/>
                <w:bCs/>
                <w:sz w:val="30"/>
                <w:szCs w:val="30"/>
              </w:rPr>
            </w:pPr>
            <w:r>
              <w:rPr>
                <w:rFonts w:hint="eastAsia" w:ascii="方正仿宋简体" w:eastAsia="方正仿宋简体"/>
                <w:bCs/>
                <w:sz w:val="30"/>
                <w:szCs w:val="30"/>
              </w:rPr>
              <w:t>序号</w:t>
            </w:r>
          </w:p>
        </w:tc>
        <w:tc>
          <w:tcPr>
            <w:tcW w:w="3118" w:type="dxa"/>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企业名称</w:t>
            </w:r>
          </w:p>
        </w:tc>
        <w:tc>
          <w:tcPr>
            <w:tcW w:w="5812" w:type="dxa"/>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主业名称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1</w:t>
            </w:r>
          </w:p>
        </w:tc>
        <w:tc>
          <w:tcPr>
            <w:tcW w:w="3118" w:type="dxa"/>
            <w:vMerge w:val="restart"/>
            <w:tcMar>
              <w:top w:w="0" w:type="dxa"/>
              <w:left w:w="70" w:type="dxa"/>
              <w:bottom w:w="0" w:type="dxa"/>
              <w:right w:w="70" w:type="dxa"/>
            </w:tcMar>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济宁能源发展</w:t>
            </w:r>
          </w:p>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集团有限公司</w:t>
            </w: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煤炭、电力、新能源的生产贸易及配套服务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firstLine="600" w:firstLineChars="20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物流贸易及配套服务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firstLine="600" w:firstLineChars="20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专用设备、电气设备制造及配套服务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2</w:t>
            </w:r>
          </w:p>
        </w:tc>
        <w:tc>
          <w:tcPr>
            <w:tcW w:w="3118" w:type="dxa"/>
            <w:vMerge w:val="restart"/>
            <w:tcMar>
              <w:top w:w="0" w:type="dxa"/>
              <w:left w:w="70" w:type="dxa"/>
              <w:bottom w:w="0" w:type="dxa"/>
              <w:right w:w="70" w:type="dxa"/>
            </w:tcMar>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山东公用控股</w:t>
            </w:r>
          </w:p>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有限公司</w:t>
            </w: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电力、热力、燃气、水生产供应及环境治理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城市基础设施及配套产业的投资建设、运营管理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3</w:t>
            </w:r>
          </w:p>
        </w:tc>
        <w:tc>
          <w:tcPr>
            <w:tcW w:w="3118" w:type="dxa"/>
            <w:vMerge w:val="restart"/>
            <w:tcMar>
              <w:top w:w="0" w:type="dxa"/>
              <w:left w:w="70" w:type="dxa"/>
              <w:bottom w:w="0" w:type="dxa"/>
              <w:right w:w="70" w:type="dxa"/>
            </w:tcMar>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济宁城投控股</w:t>
            </w:r>
          </w:p>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集团有限公司</w:t>
            </w: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基础设施建设与房地产开发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商业运营与信息科技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4</w:t>
            </w:r>
          </w:p>
        </w:tc>
        <w:tc>
          <w:tcPr>
            <w:tcW w:w="3118" w:type="dxa"/>
            <w:vMerge w:val="restart"/>
            <w:tcMar>
              <w:top w:w="0" w:type="dxa"/>
              <w:left w:w="70" w:type="dxa"/>
              <w:bottom w:w="0" w:type="dxa"/>
              <w:right w:w="70" w:type="dxa"/>
            </w:tcMar>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济宁市国有资产投资控股有限公司</w:t>
            </w:r>
          </w:p>
        </w:tc>
        <w:tc>
          <w:tcPr>
            <w:tcW w:w="5812" w:type="dxa"/>
            <w:vAlign w:val="center"/>
          </w:tcPr>
          <w:p>
            <w:pPr>
              <w:autoSpaceDE w:val="0"/>
              <w:autoSpaceDN w:val="0"/>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投资与资产管理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5812" w:type="dxa"/>
            <w:vAlign w:val="center"/>
          </w:tcPr>
          <w:p>
            <w:pPr>
              <w:autoSpaceDE w:val="0"/>
              <w:autoSpaceDN w:val="0"/>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5812" w:type="dxa"/>
            <w:vAlign w:val="center"/>
          </w:tcPr>
          <w:p>
            <w:pPr>
              <w:autoSpaceDE w:val="0"/>
              <w:autoSpaceDN w:val="0"/>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物流贸易及配套服务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5</w:t>
            </w:r>
          </w:p>
        </w:tc>
        <w:tc>
          <w:tcPr>
            <w:tcW w:w="3118" w:type="dxa"/>
            <w:vMerge w:val="restart"/>
            <w:tcMar>
              <w:top w:w="0" w:type="dxa"/>
              <w:left w:w="70" w:type="dxa"/>
              <w:bottom w:w="0" w:type="dxa"/>
              <w:right w:w="70" w:type="dxa"/>
            </w:tcMar>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济宁孔子文化旅游</w:t>
            </w:r>
          </w:p>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集团有限公司</w:t>
            </w: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文化旅游及相关产业经营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现代高效农业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restart"/>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6</w:t>
            </w:r>
          </w:p>
        </w:tc>
        <w:tc>
          <w:tcPr>
            <w:tcW w:w="3118" w:type="dxa"/>
            <w:vMerge w:val="restart"/>
            <w:tcMar>
              <w:top w:w="0" w:type="dxa"/>
              <w:left w:w="70" w:type="dxa"/>
              <w:bottom w:w="0" w:type="dxa"/>
              <w:right w:w="70" w:type="dxa"/>
            </w:tcMar>
            <w:vAlign w:val="center"/>
          </w:tcPr>
          <w:p>
            <w:pPr>
              <w:pStyle w:val="17"/>
              <w:ind w:left="105" w:leftChars="50" w:right="105" w:rightChars="50"/>
              <w:rPr>
                <w:rFonts w:ascii="方正仿宋简体" w:hAnsi="Times New Roman" w:eastAsia="方正仿宋简体" w:cs="Times New Roman"/>
                <w:bCs/>
                <w:color w:val="auto"/>
                <w:kern w:val="2"/>
                <w:sz w:val="30"/>
                <w:szCs w:val="30"/>
              </w:rPr>
            </w:pPr>
            <w:r>
              <w:fldChar w:fldCharType="begin"/>
            </w:r>
            <w:r>
              <w:instrText xml:space="preserve"> HYPERLINK "https://www.so.com/link?m=a54XzDDd7JqDSZoh4Qf%2FgL0t6mDlaI56fvCSb22k0DIsxoP5ePGsyQz1K3OwiPWxqmC%2Bf8VfspTgkJZwzl2jRWfwcuYfX%2BKq7ka5pP%2F%2FihhiVmIrZ3%2B7uUJirZ5bmDK2WWZIMQ5cUfnjOhwY71UZ73OG1IqR3OI9C3D6khSaiggXtqU4D6%2FVODUvEx1GVO7nk0%2FtrOtG3pvLGpFvn6c%2Frouw1ogK3wlOjtG5NY%2Fkrm1eUg%2BId%2BxIHPB1i70UkCo4L%2FvRPwSNderOql8WV4cdGG%2F3qsGNtDSqcDpRrRQ%3D%3D" \t "_blank" </w:instrText>
            </w:r>
            <w:r>
              <w:fldChar w:fldCharType="separate"/>
            </w:r>
            <w:r>
              <w:rPr>
                <w:rFonts w:hint="eastAsia" w:ascii="方正仿宋简体" w:hAnsi="Times New Roman" w:eastAsia="方正仿宋简体" w:cs="Times New Roman"/>
                <w:bCs/>
                <w:color w:val="auto"/>
                <w:kern w:val="2"/>
                <w:sz w:val="30"/>
                <w:szCs w:val="30"/>
              </w:rPr>
              <w:t>济宁市土地发展集团有限公司</w:t>
            </w:r>
            <w:r>
              <w:rPr>
                <w:rFonts w:hint="eastAsia" w:ascii="方正仿宋简体" w:hAnsi="Times New Roman" w:eastAsia="方正仿宋简体" w:cs="Times New Roman"/>
                <w:bCs/>
                <w:color w:val="auto"/>
                <w:kern w:val="2"/>
                <w:sz w:val="30"/>
                <w:szCs w:val="30"/>
              </w:rPr>
              <w:fldChar w:fldCharType="end"/>
            </w:r>
          </w:p>
        </w:tc>
        <w:tc>
          <w:tcPr>
            <w:tcW w:w="5812" w:type="dxa"/>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土地综合利用、管理服务及配套产业的投资经营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3118"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5812" w:type="dxa"/>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非金属矿物及制品的生产与销售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restart"/>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r>
              <w:rPr>
                <w:rFonts w:hint="eastAsia" w:ascii="方正仿宋简体" w:eastAsia="方正仿宋简体"/>
                <w:bCs/>
                <w:sz w:val="30"/>
                <w:szCs w:val="30"/>
              </w:rPr>
              <w:t>7</w:t>
            </w:r>
          </w:p>
        </w:tc>
        <w:tc>
          <w:tcPr>
            <w:tcW w:w="3118" w:type="dxa"/>
            <w:vMerge w:val="restart"/>
            <w:tcMar>
              <w:top w:w="0" w:type="dxa"/>
              <w:left w:w="70" w:type="dxa"/>
              <w:bottom w:w="0" w:type="dxa"/>
              <w:right w:w="70" w:type="dxa"/>
            </w:tcMar>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山东鲁泰控股集团</w:t>
            </w:r>
          </w:p>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有限公司</w:t>
            </w: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化学原料和新材料生产贸易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煤炭、热电生产贸易及配套服务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continue"/>
            <w:tcMar>
              <w:top w:w="0" w:type="dxa"/>
              <w:left w:w="70" w:type="dxa"/>
              <w:bottom w:w="0" w:type="dxa"/>
              <w:right w:w="70" w:type="dxa"/>
            </w:tcMar>
            <w:vAlign w:val="center"/>
          </w:tcPr>
          <w:p>
            <w:pPr>
              <w:adjustRightInd w:val="0"/>
              <w:ind w:left="105" w:leftChars="50" w:right="105" w:rightChars="50"/>
              <w:jc w:val="center"/>
              <w:rPr>
                <w:rFonts w:ascii="方正仿宋简体" w:eastAsia="方正仿宋简体"/>
                <w:bCs/>
                <w:sz w:val="30"/>
                <w:szCs w:val="30"/>
              </w:rPr>
            </w:pPr>
          </w:p>
        </w:tc>
        <w:tc>
          <w:tcPr>
            <w:tcW w:w="3118" w:type="dxa"/>
            <w:vMerge w:val="continue"/>
            <w:tcMar>
              <w:top w:w="0" w:type="dxa"/>
              <w:left w:w="70" w:type="dxa"/>
              <w:bottom w:w="0" w:type="dxa"/>
              <w:right w:w="70" w:type="dxa"/>
            </w:tcMar>
            <w:vAlign w:val="center"/>
          </w:tcPr>
          <w:p>
            <w:pPr>
              <w:adjustRightInd w:val="0"/>
              <w:ind w:left="105" w:leftChars="50" w:right="105" w:rightChars="50" w:firstLine="600" w:firstLineChars="200"/>
              <w:jc w:val="center"/>
              <w:rPr>
                <w:rFonts w:ascii="方正仿宋简体" w:eastAsia="方正仿宋简体"/>
                <w:bCs/>
                <w:sz w:val="30"/>
                <w:szCs w:val="30"/>
              </w:rPr>
            </w:pPr>
          </w:p>
        </w:tc>
        <w:tc>
          <w:tcPr>
            <w:tcW w:w="5812" w:type="dxa"/>
            <w:vAlign w:val="center"/>
          </w:tcPr>
          <w:p>
            <w:pPr>
              <w:adjustRightInd w:val="0"/>
              <w:ind w:left="105" w:leftChars="50" w:right="105" w:rightChars="50"/>
              <w:jc w:val="left"/>
              <w:rPr>
                <w:rFonts w:ascii="方正仿宋简体" w:eastAsia="方正仿宋简体"/>
                <w:bCs/>
                <w:sz w:val="30"/>
                <w:szCs w:val="30"/>
              </w:rPr>
            </w:pPr>
            <w:r>
              <w:rPr>
                <w:rFonts w:hint="eastAsia" w:ascii="方正仿宋简体" w:eastAsia="方正仿宋简体"/>
                <w:bCs/>
                <w:sz w:val="30"/>
                <w:szCs w:val="30"/>
              </w:rPr>
              <w:t>供应链物流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restart"/>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8</w:t>
            </w:r>
          </w:p>
        </w:tc>
        <w:tc>
          <w:tcPr>
            <w:tcW w:w="3118" w:type="dxa"/>
            <w:vMerge w:val="restart"/>
            <w:tcMar>
              <w:top w:w="0" w:type="dxa"/>
              <w:left w:w="70" w:type="dxa"/>
              <w:bottom w:w="0" w:type="dxa"/>
              <w:right w:w="70" w:type="dxa"/>
            </w:tcMar>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济宁市公共交通集团有限公司</w:t>
            </w:r>
          </w:p>
        </w:tc>
        <w:tc>
          <w:tcPr>
            <w:tcW w:w="5812" w:type="dxa"/>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道路旅客运输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blHeader/>
        </w:trPr>
        <w:tc>
          <w:tcPr>
            <w:tcW w:w="921"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3118" w:type="dxa"/>
            <w:vMerge w:val="continue"/>
            <w:tcMar>
              <w:top w:w="0" w:type="dxa"/>
              <w:left w:w="70" w:type="dxa"/>
              <w:bottom w:w="0" w:type="dxa"/>
              <w:right w:w="70" w:type="dxa"/>
            </w:tcMar>
            <w:vAlign w:val="center"/>
          </w:tcPr>
          <w:p>
            <w:pPr>
              <w:pStyle w:val="17"/>
              <w:ind w:left="105" w:leftChars="50" w:right="105" w:rightChars="50"/>
              <w:jc w:val="center"/>
              <w:rPr>
                <w:rFonts w:ascii="方正仿宋简体" w:hAnsi="Times New Roman" w:eastAsia="方正仿宋简体" w:cs="Times New Roman"/>
                <w:bCs/>
                <w:color w:val="auto"/>
                <w:kern w:val="2"/>
                <w:sz w:val="30"/>
                <w:szCs w:val="30"/>
              </w:rPr>
            </w:pPr>
          </w:p>
        </w:tc>
        <w:tc>
          <w:tcPr>
            <w:tcW w:w="5812" w:type="dxa"/>
            <w:vAlign w:val="center"/>
          </w:tcPr>
          <w:p>
            <w:pPr>
              <w:pStyle w:val="17"/>
              <w:ind w:left="105" w:leftChars="50" w:right="105" w:rightChars="50"/>
              <w:rPr>
                <w:rFonts w:ascii="方正仿宋简体" w:hAnsi="Times New Roman" w:eastAsia="方正仿宋简体" w:cs="Times New Roman"/>
                <w:bCs/>
                <w:color w:val="auto"/>
                <w:kern w:val="2"/>
                <w:sz w:val="30"/>
                <w:szCs w:val="30"/>
              </w:rPr>
            </w:pPr>
            <w:r>
              <w:rPr>
                <w:rFonts w:hint="eastAsia" w:ascii="方正仿宋简体" w:hAnsi="Times New Roman" w:eastAsia="方正仿宋简体" w:cs="Times New Roman"/>
                <w:bCs/>
                <w:color w:val="auto"/>
                <w:kern w:val="2"/>
                <w:sz w:val="30"/>
                <w:szCs w:val="30"/>
              </w:rPr>
              <w:t>机动车零配件和燃料及其他动力销售</w:t>
            </w:r>
          </w:p>
        </w:tc>
      </w:tr>
    </w:tbl>
    <w:p>
      <w:pPr>
        <w:widowControl/>
        <w:spacing w:line="640" w:lineRule="exact"/>
        <w:ind w:firstLine="450" w:firstLineChars="150"/>
        <w:jc w:val="center"/>
        <w:rPr>
          <w:rFonts w:ascii="方正仿宋简体" w:eastAsia="方正仿宋简体"/>
          <w:bCs/>
          <w:sz w:val="30"/>
          <w:szCs w:val="30"/>
        </w:rPr>
      </w:pPr>
    </w:p>
    <w:p>
      <w:pPr>
        <w:widowControl/>
        <w:spacing w:line="640" w:lineRule="exact"/>
        <w:ind w:firstLine="450" w:firstLineChars="150"/>
        <w:jc w:val="center"/>
        <w:rPr>
          <w:rFonts w:ascii="方正黑体简体" w:hAnsi="方正黑体简体" w:eastAsia="方正黑体简体" w:cs="宋体"/>
          <w:color w:val="000000" w:themeColor="text1"/>
          <w:kern w:val="0"/>
          <w:sz w:val="30"/>
          <w:szCs w:val="30"/>
        </w:rPr>
      </w:pPr>
    </w:p>
    <w:p>
      <w:pPr>
        <w:widowControl/>
        <w:spacing w:line="640" w:lineRule="exact"/>
        <w:ind w:firstLine="480" w:firstLineChars="150"/>
        <w:jc w:val="center"/>
        <w:rPr>
          <w:rFonts w:ascii="方正黑体简体" w:hAnsi="方正黑体简体" w:eastAsia="方正黑体简体" w:cs="宋体"/>
          <w:color w:val="000000" w:themeColor="text1"/>
          <w:kern w:val="0"/>
          <w:sz w:val="32"/>
          <w:szCs w:val="32"/>
        </w:rPr>
      </w:pPr>
    </w:p>
    <w:p>
      <w:pPr>
        <w:widowControl/>
        <w:spacing w:line="640" w:lineRule="exact"/>
        <w:ind w:firstLine="1"/>
        <w:rPr>
          <w:rFonts w:ascii="方正黑体简体" w:hAnsi="方正黑体简体" w:eastAsia="方正黑体简体" w:cs="宋体"/>
          <w:color w:val="000000" w:themeColor="text1"/>
          <w:kern w:val="0"/>
          <w:sz w:val="30"/>
          <w:szCs w:val="30"/>
        </w:rPr>
      </w:pPr>
      <w:r>
        <w:rPr>
          <w:rFonts w:hint="eastAsia" w:ascii="方正黑体简体" w:hAnsi="方正黑体简体" w:eastAsia="方正黑体简体" w:cs="宋体"/>
          <w:color w:val="000000" w:themeColor="text1"/>
          <w:kern w:val="0"/>
          <w:sz w:val="30"/>
          <w:szCs w:val="30"/>
        </w:rPr>
        <w:t xml:space="preserve">附件2 </w:t>
      </w:r>
    </w:p>
    <w:p>
      <w:pPr>
        <w:widowControl/>
        <w:spacing w:line="640" w:lineRule="exact"/>
        <w:ind w:firstLine="660" w:firstLineChars="150"/>
        <w:jc w:val="center"/>
        <w:rPr>
          <w:rFonts w:ascii="方正黑体简体" w:hAnsi="方正黑体简体" w:eastAsia="方正黑体简体" w:cs="宋体"/>
          <w:color w:val="000000" w:themeColor="text1"/>
          <w:kern w:val="0"/>
          <w:sz w:val="44"/>
          <w:szCs w:val="44"/>
        </w:rPr>
      </w:pPr>
      <w:r>
        <w:rPr>
          <w:rFonts w:hint="eastAsia" w:ascii="方正黑体简体" w:hAnsi="方正黑体简体" w:eastAsia="方正黑体简体" w:cs="宋体"/>
          <w:color w:val="000000" w:themeColor="text1"/>
          <w:kern w:val="0"/>
          <w:sz w:val="44"/>
          <w:szCs w:val="44"/>
        </w:rPr>
        <w:t>市管企业投资项目负面清单</w:t>
      </w:r>
    </w:p>
    <w:p>
      <w:pPr>
        <w:widowControl/>
        <w:spacing w:line="640" w:lineRule="exact"/>
        <w:ind w:firstLine="660" w:firstLineChars="150"/>
        <w:jc w:val="center"/>
        <w:rPr>
          <w:rFonts w:ascii="方正黑体简体" w:hAnsi="方正黑体简体" w:eastAsia="方正黑体简体" w:cs="宋体"/>
          <w:color w:val="000000" w:themeColor="text1"/>
          <w:kern w:val="0"/>
          <w:sz w:val="44"/>
          <w:szCs w:val="44"/>
        </w:rPr>
      </w:pPr>
      <w:r>
        <w:rPr>
          <w:rFonts w:hint="eastAsia" w:ascii="方正黑体简体" w:hAnsi="方正黑体简体" w:eastAsia="方正黑体简体" w:cs="宋体"/>
          <w:color w:val="000000" w:themeColor="text1"/>
          <w:kern w:val="0"/>
          <w:sz w:val="44"/>
          <w:szCs w:val="44"/>
        </w:rPr>
        <w:t>（2021年版）</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黑体简体" w:hAnsi="方正黑体简体" w:eastAsia="方正黑体简体" w:cs="宋体"/>
          <w:color w:val="000000" w:themeColor="text1"/>
          <w:kern w:val="0"/>
          <w:sz w:val="32"/>
          <w:szCs w:val="32"/>
        </w:rPr>
        <w:t>（一）禁止类</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1.不符合国家、省、市产业政策、发展规划、行业准入要求的投资项目；</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2.不符合环保、土地、能源消耗、污染排放、安全生产等有关法律法规的项目；</w:t>
      </w:r>
    </w:p>
    <w:p>
      <w:pPr>
        <w:widowControl/>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3.不符合企业发展战略规划、投资管理制度及未按规定履行投资决策、审批程序的投资项目；</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4.投资预期收益率低于5年期国债利率的商业性投资项目；   </w:t>
      </w:r>
    </w:p>
    <w:p>
      <w:pPr>
        <w:widowControl/>
        <w:spacing w:line="640" w:lineRule="exact"/>
        <w:jc w:val="center"/>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 xml:space="preserve">    5.未明确融资、投资、管理方式和相关责任人的投资项目，</w:t>
      </w:r>
    </w:p>
    <w:p>
      <w:pPr>
        <w:widowControl/>
        <w:spacing w:line="640" w:lineRule="exact"/>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以及未明确退出方式的股权投资项目；</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6.项目资本金低于国家相关规定要求的固定资产投资项目；</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7.将一个完整项目分拆为若干个子项目以规避可能的出资人审查的投资项目；</w:t>
      </w:r>
    </w:p>
    <w:p>
      <w:pPr>
        <w:widowControl/>
        <w:spacing w:line="640" w:lineRule="exact"/>
        <w:ind w:firstLine="66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8.对产权关系不明晰或存在重大或有负债风险企业的投资项目；</w:t>
      </w:r>
    </w:p>
    <w:p>
      <w:pPr>
        <w:widowControl/>
        <w:spacing w:line="640" w:lineRule="exact"/>
        <w:ind w:firstLine="66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9.对被列入企业诚信黑名单、资信不佳、资产质量状况较差或明显缺乏投资能力的企业合作出资的投资项目；</w:t>
      </w:r>
      <w:r>
        <w:rPr>
          <w:rFonts w:hint="eastAsia" w:ascii="方正仿宋简体" w:hAnsi="仿宋"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10.投资规模明显超过企业实际能力的投资项目;</w:t>
      </w:r>
    </w:p>
    <w:p>
      <w:pPr>
        <w:widowControl/>
        <w:spacing w:line="580" w:lineRule="exact"/>
        <w:ind w:left="315" w:leftChars="150" w:right="-315" w:rightChars="-150" w:firstLine="320" w:firstLineChars="100"/>
        <w:outlineLvl w:val="3"/>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 xml:space="preserve">11.向资不抵债、长期亏损且扭亏无望的权属企业增资的项目。 </w:t>
      </w:r>
      <w:r>
        <w:rPr>
          <w:rFonts w:hint="eastAsia" w:ascii="方正黑体简体" w:hAnsi="方正黑体简体" w:eastAsia="方正黑体简体" w:cs="宋体"/>
          <w:color w:val="000000" w:themeColor="text1"/>
          <w:kern w:val="0"/>
          <w:sz w:val="32"/>
          <w:szCs w:val="32"/>
        </w:rPr>
        <w:t>（二）特别监管类</w:t>
      </w:r>
      <w:r>
        <w:rPr>
          <w:rFonts w:hint="eastAsia" w:ascii="方正仿宋简体" w:hAnsi="黑体" w:eastAsia="方正仿宋简体" w:cs="宋体"/>
          <w:color w:val="000000" w:themeColor="text1"/>
          <w:kern w:val="0"/>
          <w:sz w:val="32"/>
          <w:szCs w:val="32"/>
        </w:rPr>
        <w:br w:type="textWrapping"/>
      </w:r>
      <w:r>
        <w:rPr>
          <w:rFonts w:hint="eastAsia" w:ascii="方正仿宋简体" w:hAnsi="仿宋" w:eastAsia="方正仿宋简体" w:cs="宋体"/>
          <w:color w:val="000000" w:themeColor="text1"/>
          <w:kern w:val="0"/>
          <w:sz w:val="32"/>
          <w:szCs w:val="32"/>
        </w:rPr>
        <w:t xml:space="preserve"> 1.需报省政府及以上核准或备案的投资项目；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2.市管企业（含权属企业）单项投资额超过最近一期经审计合并会计报表期末净资产10%的投资项目；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3.年度投资计划外的非主业投资项目；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4.超过负债率管控线的高负债企业年度投资计划外且推高负债率的过1000万元的投资项目；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5.市外、境外的投资项目；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6.三级及以下权属企业的股权投资项目；</w:t>
      </w:r>
    </w:p>
    <w:p>
      <w:pPr>
        <w:widowControl/>
        <w:spacing w:line="640" w:lineRule="exact"/>
        <w:ind w:firstLine="480" w:firstLineChars="15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7.以投资为主业的企业在省、市“十强”产业及对新旧动能转换具有支撑保障作用的重要基础设施、公共服务领域之外的投资项目；</w:t>
      </w:r>
    </w:p>
    <w:p>
      <w:pPr>
        <w:widowControl/>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8.通过新设、收购等方式新增公司的投资项目；</w:t>
      </w:r>
    </w:p>
    <w:p>
      <w:pPr>
        <w:widowControl/>
        <w:spacing w:line="64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9.对全市经济社会发展有重大影响的其他投资项目。</w:t>
      </w:r>
    </w:p>
    <w:p>
      <w:pPr>
        <w:spacing w:line="600" w:lineRule="exact"/>
        <w:ind w:firstLine="627" w:firstLineChars="196"/>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上述项目不含政府交办的任务项目。</w:t>
      </w:r>
      <w:r>
        <w:rPr>
          <w:rFonts w:hint="eastAsia" w:ascii="宋体" w:hAnsi="宋体" w:eastAsia="方正仿宋简体" w:cs="宋体"/>
          <w:color w:val="000000" w:themeColor="text1"/>
          <w:kern w:val="0"/>
          <w:sz w:val="32"/>
          <w:szCs w:val="32"/>
        </w:rPr>
        <w:t>   </w:t>
      </w:r>
    </w:p>
    <w:p>
      <w:pPr>
        <w:widowControl/>
        <w:spacing w:line="600" w:lineRule="exact"/>
        <w:rPr>
          <w:rFonts w:ascii="方正仿宋简体" w:hAnsi="宋体" w:eastAsia="方正仿宋简体" w:cs="宋体"/>
          <w:color w:val="000000" w:themeColor="text1"/>
          <w:kern w:val="0"/>
          <w:sz w:val="32"/>
          <w:szCs w:val="32"/>
        </w:rPr>
      </w:pPr>
    </w:p>
    <w:tbl>
      <w:tblPr>
        <w:tblStyle w:val="7"/>
        <w:tblpPr w:leftFromText="180" w:rightFromText="180" w:vertAnchor="text" w:horzAnchor="margin" w:tblpY="200"/>
        <w:tblW w:w="9432" w:type="dxa"/>
        <w:tblInd w:w="0" w:type="dxa"/>
        <w:tblLayout w:type="autofit"/>
        <w:tblCellMar>
          <w:top w:w="0" w:type="dxa"/>
          <w:left w:w="108" w:type="dxa"/>
          <w:bottom w:w="0" w:type="dxa"/>
          <w:right w:w="108" w:type="dxa"/>
        </w:tblCellMar>
      </w:tblPr>
      <w:tblGrid>
        <w:gridCol w:w="728"/>
        <w:gridCol w:w="1987"/>
        <w:gridCol w:w="463"/>
        <w:gridCol w:w="617"/>
        <w:gridCol w:w="1080"/>
        <w:gridCol w:w="769"/>
        <w:gridCol w:w="491"/>
        <w:gridCol w:w="360"/>
        <w:gridCol w:w="720"/>
        <w:gridCol w:w="66"/>
        <w:gridCol w:w="1194"/>
        <w:gridCol w:w="957"/>
      </w:tblGrid>
      <w:tr>
        <w:tblPrEx>
          <w:tblCellMar>
            <w:top w:w="0" w:type="dxa"/>
            <w:left w:w="108" w:type="dxa"/>
            <w:bottom w:w="0" w:type="dxa"/>
            <w:right w:w="108" w:type="dxa"/>
          </w:tblCellMar>
        </w:tblPrEx>
        <w:trPr>
          <w:trHeight w:val="721" w:hRule="atLeast"/>
        </w:trPr>
        <w:tc>
          <w:tcPr>
            <w:tcW w:w="9432" w:type="dxa"/>
            <w:gridSpan w:val="12"/>
            <w:noWrap/>
            <w:vAlign w:val="center"/>
          </w:tcPr>
          <w:p>
            <w:pPr>
              <w:widowControl/>
              <w:spacing w:line="500" w:lineRule="exact"/>
              <w:rPr>
                <w:rFonts w:ascii="方正黑体简体" w:hAnsi="方正黑体简体" w:eastAsia="方正黑体简体" w:cs="宋体"/>
                <w:color w:val="333333"/>
                <w:kern w:val="0"/>
                <w:sz w:val="32"/>
                <w:szCs w:val="32"/>
              </w:rPr>
            </w:pPr>
            <w:r>
              <w:rPr>
                <w:rFonts w:hint="eastAsia" w:ascii="方正黑体简体" w:hAnsi="方正黑体简体" w:eastAsia="方正黑体简体" w:cs="宋体"/>
                <w:color w:val="000000" w:themeColor="text1"/>
                <w:kern w:val="0"/>
                <w:sz w:val="32"/>
                <w:szCs w:val="32"/>
              </w:rPr>
              <w:t>附件3</w:t>
            </w:r>
            <w:r>
              <w:rPr>
                <w:rFonts w:hint="eastAsia" w:ascii="方正黑体简体" w:hAnsi="方正黑体简体" w:eastAsia="方正黑体简体" w:cs="宋体"/>
                <w:color w:val="333333"/>
                <w:kern w:val="0"/>
                <w:sz w:val="32"/>
                <w:szCs w:val="32"/>
              </w:rPr>
              <w:t xml:space="preserve">      </w:t>
            </w:r>
          </w:p>
          <w:p>
            <w:pPr>
              <w:widowControl/>
              <w:spacing w:line="500" w:lineRule="exact"/>
              <w:jc w:val="center"/>
              <w:rPr>
                <w:rFonts w:ascii="方正黑体简体" w:hAnsi="方正黑体简体" w:eastAsia="方正黑体简体" w:cs="宋体"/>
                <w:color w:val="333333"/>
                <w:kern w:val="0"/>
                <w:sz w:val="32"/>
                <w:szCs w:val="32"/>
              </w:rPr>
            </w:pPr>
            <w:r>
              <w:rPr>
                <w:rFonts w:hint="eastAsia" w:ascii="方正黑体简体" w:hAnsi="方正黑体简体" w:eastAsia="方正黑体简体" w:cs="宋体"/>
                <w:bCs/>
                <w:kern w:val="0"/>
                <w:sz w:val="44"/>
                <w:szCs w:val="44"/>
              </w:rPr>
              <w:t>市管企业投资项目材料清单</w:t>
            </w:r>
          </w:p>
          <w:p>
            <w:pPr>
              <w:widowControl/>
              <w:spacing w:line="300" w:lineRule="exact"/>
              <w:rPr>
                <w:rFonts w:ascii="方正黑体简体" w:hAnsi="方正黑体简体" w:eastAsia="方正黑体简体" w:cs="宋体"/>
                <w:color w:val="333333"/>
                <w:kern w:val="0"/>
                <w:sz w:val="32"/>
                <w:szCs w:val="32"/>
              </w:rPr>
            </w:pPr>
          </w:p>
        </w:tc>
      </w:tr>
      <w:tr>
        <w:tblPrEx>
          <w:tblCellMar>
            <w:top w:w="0" w:type="dxa"/>
            <w:left w:w="108" w:type="dxa"/>
            <w:bottom w:w="0" w:type="dxa"/>
            <w:right w:w="108" w:type="dxa"/>
          </w:tblCellMar>
        </w:tblPrEx>
        <w:trPr>
          <w:trHeight w:val="541" w:hRule="atLeast"/>
        </w:trPr>
        <w:tc>
          <w:tcPr>
            <w:tcW w:w="3178" w:type="dxa"/>
            <w:gridSpan w:val="3"/>
            <w:tcBorders>
              <w:top w:val="nil"/>
              <w:left w:val="nil"/>
              <w:bottom w:val="single" w:color="auto" w:sz="4" w:space="0"/>
              <w:right w:val="nil"/>
            </w:tcBorders>
            <w:noWrap/>
            <w:vAlign w:val="center"/>
          </w:tcPr>
          <w:p>
            <w:pPr>
              <w:widowControl/>
              <w:spacing w:line="3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 企业名称：                                          </w:t>
            </w:r>
          </w:p>
        </w:tc>
        <w:tc>
          <w:tcPr>
            <w:tcW w:w="2466" w:type="dxa"/>
            <w:gridSpan w:val="3"/>
            <w:tcBorders>
              <w:top w:val="nil"/>
              <w:left w:val="nil"/>
              <w:bottom w:val="single" w:color="auto" w:sz="4" w:space="0"/>
              <w:right w:val="nil"/>
            </w:tcBorders>
            <w:noWrap/>
            <w:vAlign w:val="center"/>
          </w:tcPr>
          <w:p>
            <w:pPr>
              <w:widowControl/>
              <w:spacing w:line="300" w:lineRule="exact"/>
              <w:rPr>
                <w:rFonts w:ascii="方正仿宋简体" w:hAnsi="宋体" w:eastAsia="方正仿宋简体" w:cs="宋体"/>
                <w:kern w:val="0"/>
                <w:sz w:val="24"/>
              </w:rPr>
            </w:pPr>
          </w:p>
        </w:tc>
        <w:tc>
          <w:tcPr>
            <w:tcW w:w="1637" w:type="dxa"/>
            <w:gridSpan w:val="4"/>
            <w:noWrap/>
            <w:vAlign w:val="center"/>
          </w:tcPr>
          <w:p>
            <w:pPr>
              <w:widowControl/>
              <w:spacing w:line="300" w:lineRule="exact"/>
              <w:jc w:val="center"/>
              <w:rPr>
                <w:rFonts w:ascii="方正仿宋简体" w:hAnsi="宋体" w:eastAsia="方正仿宋简体" w:cs="宋体"/>
                <w:b/>
                <w:bCs/>
                <w:kern w:val="0"/>
                <w:sz w:val="24"/>
              </w:rPr>
            </w:pPr>
          </w:p>
        </w:tc>
        <w:tc>
          <w:tcPr>
            <w:tcW w:w="2151" w:type="dxa"/>
            <w:gridSpan w:val="2"/>
            <w:noWrap/>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 xml:space="preserve"> 单位：万元</w:t>
            </w:r>
          </w:p>
        </w:tc>
      </w:tr>
      <w:tr>
        <w:trPr>
          <w:trHeight w:val="414" w:hRule="atLeast"/>
        </w:trPr>
        <w:tc>
          <w:tcPr>
            <w:tcW w:w="2715" w:type="dxa"/>
            <w:gridSpan w:val="2"/>
            <w:vMerge w:val="restart"/>
            <w:tcBorders>
              <w:top w:val="nil"/>
              <w:left w:val="single" w:color="auto" w:sz="4" w:space="0"/>
            </w:tcBorders>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项目名称</w:t>
            </w:r>
          </w:p>
        </w:tc>
        <w:tc>
          <w:tcPr>
            <w:tcW w:w="2929"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方正仿宋简体" w:hAnsi="宋体" w:eastAsia="方正仿宋简体" w:cs="宋体"/>
                <w:kern w:val="0"/>
                <w:sz w:val="24"/>
              </w:rPr>
            </w:pPr>
          </w:p>
        </w:tc>
        <w:tc>
          <w:tcPr>
            <w:tcW w:w="163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项目负责人</w:t>
            </w:r>
          </w:p>
        </w:tc>
        <w:tc>
          <w:tcPr>
            <w:tcW w:w="2151"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方正仿宋简体" w:hAnsi="宋体" w:eastAsia="方正仿宋简体" w:cs="宋体"/>
                <w:kern w:val="0"/>
                <w:sz w:val="24"/>
              </w:rPr>
            </w:pPr>
          </w:p>
        </w:tc>
      </w:tr>
      <w:tr>
        <w:tblPrEx>
          <w:tblCellMar>
            <w:top w:w="0" w:type="dxa"/>
            <w:left w:w="108" w:type="dxa"/>
            <w:bottom w:w="0" w:type="dxa"/>
            <w:right w:w="108" w:type="dxa"/>
          </w:tblCellMar>
        </w:tblPrEx>
        <w:trPr>
          <w:trHeight w:val="153" w:hRule="atLeast"/>
        </w:trPr>
        <w:tc>
          <w:tcPr>
            <w:tcW w:w="2715" w:type="dxa"/>
            <w:gridSpan w:val="2"/>
            <w:vMerge w:val="continue"/>
            <w:tcBorders>
              <w:left w:val="single" w:color="auto" w:sz="4" w:space="0"/>
              <w:bottom w:val="single" w:color="auto" w:sz="4" w:space="0"/>
            </w:tcBorders>
            <w:vAlign w:val="center"/>
          </w:tcPr>
          <w:p>
            <w:pPr>
              <w:widowControl/>
              <w:spacing w:line="300" w:lineRule="exact"/>
              <w:jc w:val="center"/>
              <w:rPr>
                <w:rFonts w:ascii="方正仿宋简体" w:hAnsi="宋体" w:eastAsia="方正仿宋简体" w:cs="宋体"/>
                <w:kern w:val="0"/>
                <w:sz w:val="24"/>
              </w:rPr>
            </w:pPr>
          </w:p>
        </w:tc>
        <w:tc>
          <w:tcPr>
            <w:tcW w:w="292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方正仿宋简体" w:hAnsi="宋体" w:eastAsia="方正仿宋简体" w:cs="宋体"/>
                <w:kern w:val="0"/>
                <w:sz w:val="24"/>
              </w:rPr>
            </w:pPr>
          </w:p>
        </w:tc>
        <w:tc>
          <w:tcPr>
            <w:tcW w:w="1637"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联系电话</w:t>
            </w:r>
          </w:p>
        </w:tc>
        <w:tc>
          <w:tcPr>
            <w:tcW w:w="2151" w:type="dxa"/>
            <w:gridSpan w:val="2"/>
            <w:tcBorders>
              <w:top w:val="nil"/>
              <w:left w:val="nil"/>
              <w:bottom w:val="single" w:color="auto" w:sz="4" w:space="0"/>
              <w:right w:val="single" w:color="auto" w:sz="4" w:space="0"/>
            </w:tcBorders>
            <w:noWrap/>
            <w:vAlign w:val="center"/>
          </w:tcPr>
          <w:p>
            <w:pPr>
              <w:widowControl/>
              <w:spacing w:line="300" w:lineRule="exact"/>
              <w:jc w:val="center"/>
              <w:rPr>
                <w:rFonts w:ascii="方正仿宋简体" w:hAnsi="宋体" w:eastAsia="方正仿宋简体" w:cs="宋体"/>
                <w:kern w:val="0"/>
                <w:sz w:val="24"/>
              </w:rPr>
            </w:pPr>
          </w:p>
        </w:tc>
      </w:tr>
      <w:tr>
        <w:tblPrEx>
          <w:tblCellMar>
            <w:top w:w="0" w:type="dxa"/>
            <w:left w:w="108" w:type="dxa"/>
            <w:bottom w:w="0" w:type="dxa"/>
            <w:right w:w="108" w:type="dxa"/>
          </w:tblCellMar>
        </w:tblPrEx>
        <w:trPr>
          <w:trHeight w:val="461" w:hRule="atLeast"/>
        </w:trPr>
        <w:tc>
          <w:tcPr>
            <w:tcW w:w="2715" w:type="dxa"/>
            <w:gridSpan w:val="2"/>
            <w:tcBorders>
              <w:top w:val="single" w:color="auto" w:sz="4" w:space="0"/>
              <w:left w:val="single" w:color="auto" w:sz="4" w:space="0"/>
              <w:bottom w:val="single" w:color="auto" w:sz="4" w:space="0"/>
            </w:tcBorders>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项目类别</w:t>
            </w:r>
          </w:p>
        </w:tc>
        <w:tc>
          <w:tcPr>
            <w:tcW w:w="6717" w:type="dxa"/>
            <w:gridSpan w:val="10"/>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□固定资产投资项目         □长期股权投资项目</w:t>
            </w:r>
          </w:p>
        </w:tc>
      </w:tr>
      <w:tr>
        <w:tblPrEx>
          <w:tblCellMar>
            <w:top w:w="0" w:type="dxa"/>
            <w:left w:w="108" w:type="dxa"/>
            <w:bottom w:w="0" w:type="dxa"/>
            <w:right w:w="108" w:type="dxa"/>
          </w:tblCellMar>
        </w:tblPrEx>
        <w:trPr>
          <w:cantSplit/>
          <w:trHeight w:val="4239" w:hRule="exact"/>
        </w:trPr>
        <w:tc>
          <w:tcPr>
            <w:tcW w:w="7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 xml:space="preserve">   报送   材料</w:t>
            </w:r>
          </w:p>
        </w:tc>
        <w:tc>
          <w:tcPr>
            <w:tcW w:w="8704" w:type="dxa"/>
            <w:gridSpan w:val="11"/>
            <w:tcBorders>
              <w:top w:val="single" w:color="auto" w:sz="4" w:space="0"/>
              <w:left w:val="nil"/>
              <w:bottom w:val="single" w:color="auto" w:sz="4" w:space="0"/>
              <w:right w:val="single" w:color="000000" w:sz="4" w:space="0"/>
            </w:tcBorders>
          </w:tcPr>
          <w:p>
            <w:pPr>
              <w:widowControl/>
              <w:spacing w:line="3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□书面申报文件</w:t>
            </w:r>
          </w:p>
          <w:p>
            <w:pPr>
              <w:widowControl/>
              <w:spacing w:line="3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□党委会纪要</w:t>
            </w:r>
          </w:p>
          <w:p>
            <w:pPr>
              <w:widowControl/>
              <w:spacing w:line="3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□董事会决议、议案及会议记录</w:t>
            </w:r>
          </w:p>
          <w:p>
            <w:pPr>
              <w:widowControl/>
              <w:spacing w:line="3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□董事会决策依据材料：</w:t>
            </w:r>
          </w:p>
          <w:p>
            <w:pPr>
              <w:widowControl/>
              <w:spacing w:line="3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 xml:space="preserve">     □投资可行性研究报告</w:t>
            </w:r>
          </w:p>
          <w:p>
            <w:pPr>
              <w:widowControl/>
              <w:spacing w:line="300" w:lineRule="exact"/>
              <w:ind w:firstLine="525" w:firstLineChars="250"/>
              <w:jc w:val="left"/>
              <w:rPr>
                <w:rFonts w:ascii="方正仿宋简体" w:hAnsi="宋体" w:eastAsia="方正仿宋简体" w:cs="宋体"/>
                <w:kern w:val="0"/>
                <w:szCs w:val="21"/>
              </w:rPr>
            </w:pPr>
            <w:r>
              <w:rPr>
                <w:rFonts w:hint="eastAsia" w:ascii="方正仿宋简体" w:hAnsi="宋体" w:eastAsia="方正仿宋简体" w:cs="宋体"/>
                <w:kern w:val="0"/>
                <w:szCs w:val="21"/>
              </w:rPr>
              <w:t>□尽职调查报告</w:t>
            </w:r>
          </w:p>
          <w:p>
            <w:pPr>
              <w:widowControl/>
              <w:spacing w:line="300" w:lineRule="exact"/>
              <w:ind w:firstLine="525" w:firstLineChars="250"/>
              <w:jc w:val="left"/>
              <w:rPr>
                <w:rFonts w:ascii="方正仿宋简体" w:hAnsi="宋体" w:eastAsia="方正仿宋简体" w:cs="宋体"/>
                <w:kern w:val="0"/>
                <w:szCs w:val="21"/>
              </w:rPr>
            </w:pPr>
            <w:r>
              <w:rPr>
                <w:rFonts w:hint="eastAsia" w:ascii="方正仿宋简体" w:hAnsi="宋体" w:eastAsia="方正仿宋简体" w:cs="宋体"/>
                <w:kern w:val="0"/>
                <w:szCs w:val="21"/>
              </w:rPr>
              <w:t>□风险评估报告及防范化解预案</w:t>
            </w:r>
          </w:p>
          <w:p>
            <w:pPr>
              <w:widowControl/>
              <w:spacing w:line="300" w:lineRule="exact"/>
              <w:ind w:firstLine="525" w:firstLineChars="250"/>
              <w:jc w:val="left"/>
              <w:rPr>
                <w:rFonts w:ascii="方正仿宋简体" w:hAnsi="宋体" w:eastAsia="方正仿宋简体" w:cs="宋体"/>
                <w:kern w:val="0"/>
                <w:szCs w:val="21"/>
              </w:rPr>
            </w:pPr>
            <w:r>
              <w:rPr>
                <w:rFonts w:hint="eastAsia" w:ascii="方正仿宋简体" w:hAnsi="宋体" w:eastAsia="方正仿宋简体" w:cs="宋体"/>
                <w:kern w:val="0"/>
                <w:szCs w:val="21"/>
              </w:rPr>
              <w:t>□专家论证意见</w:t>
            </w:r>
          </w:p>
          <w:p>
            <w:pPr>
              <w:widowControl/>
              <w:spacing w:line="300" w:lineRule="exact"/>
              <w:ind w:firstLine="525" w:firstLineChars="250"/>
              <w:jc w:val="left"/>
              <w:rPr>
                <w:rFonts w:ascii="方正仿宋简体" w:hAnsi="宋体" w:eastAsia="方正仿宋简体" w:cs="宋体"/>
                <w:kern w:val="0"/>
                <w:szCs w:val="21"/>
              </w:rPr>
            </w:pPr>
            <w:r>
              <w:rPr>
                <w:rFonts w:hint="eastAsia" w:ascii="方正仿宋简体" w:hAnsi="宋体" w:eastAsia="方正仿宋简体" w:cs="宋体"/>
                <w:kern w:val="0"/>
                <w:szCs w:val="21"/>
              </w:rPr>
              <w:t>□法律意见书</w:t>
            </w:r>
          </w:p>
          <w:p>
            <w:pPr>
              <w:widowControl/>
              <w:spacing w:line="300" w:lineRule="exact"/>
              <w:ind w:firstLine="504" w:firstLineChars="240"/>
              <w:jc w:val="left"/>
              <w:rPr>
                <w:rFonts w:ascii="方正仿宋简体" w:hAnsi="宋体" w:eastAsia="方正仿宋简体" w:cs="宋体"/>
                <w:kern w:val="0"/>
                <w:szCs w:val="21"/>
              </w:rPr>
            </w:pPr>
            <w:r>
              <w:rPr>
                <w:rFonts w:hint="eastAsia" w:ascii="方正仿宋简体" w:hAnsi="宋体" w:eastAsia="方正仿宋简体" w:cs="宋体"/>
                <w:kern w:val="0"/>
                <w:szCs w:val="21"/>
              </w:rPr>
              <w:t>□财务总监审核意见书</w:t>
            </w:r>
          </w:p>
          <w:p>
            <w:pPr>
              <w:widowControl/>
              <w:spacing w:line="300" w:lineRule="exact"/>
              <w:ind w:firstLine="504" w:firstLineChars="240"/>
              <w:jc w:val="left"/>
              <w:rPr>
                <w:rFonts w:ascii="方正仿宋简体" w:hAnsi="宋体" w:eastAsia="方正仿宋简体" w:cs="宋体"/>
                <w:kern w:val="0"/>
                <w:szCs w:val="21"/>
              </w:rPr>
            </w:pPr>
            <w:r>
              <w:rPr>
                <w:rFonts w:hint="eastAsia" w:ascii="方正仿宋简体" w:hAnsi="宋体" w:eastAsia="方正仿宋简体" w:cs="宋体"/>
                <w:kern w:val="0"/>
                <w:szCs w:val="21"/>
              </w:rPr>
              <w:t>□投资资金来源说明及证明材料</w:t>
            </w:r>
          </w:p>
          <w:p>
            <w:pPr>
              <w:widowControl/>
              <w:spacing w:line="300" w:lineRule="exact"/>
              <w:ind w:firstLine="504" w:firstLineChars="240"/>
              <w:jc w:val="left"/>
              <w:rPr>
                <w:rFonts w:ascii="方正仿宋简体" w:hAnsi="宋体" w:eastAsia="方正仿宋简体" w:cs="宋体"/>
                <w:kern w:val="0"/>
                <w:szCs w:val="21"/>
              </w:rPr>
            </w:pPr>
            <w:r>
              <w:rPr>
                <w:rFonts w:hint="eastAsia" w:ascii="方正仿宋简体" w:hAnsi="宋体" w:eastAsia="方正仿宋简体" w:cs="宋体"/>
                <w:kern w:val="0"/>
                <w:szCs w:val="21"/>
              </w:rPr>
              <w:t>□有关投资协议草案及合作方情况说明</w:t>
            </w:r>
          </w:p>
          <w:p>
            <w:pPr>
              <w:widowControl/>
              <w:spacing w:line="300" w:lineRule="exact"/>
              <w:ind w:firstLine="504" w:firstLineChars="240"/>
              <w:jc w:val="left"/>
              <w:rPr>
                <w:rFonts w:ascii="方正仿宋简体" w:hAnsi="宋体" w:eastAsia="方正仿宋简体" w:cs="宋体"/>
                <w:kern w:val="0"/>
                <w:szCs w:val="21"/>
              </w:rPr>
            </w:pPr>
            <w:r>
              <w:rPr>
                <w:rFonts w:hint="eastAsia" w:ascii="方正仿宋简体" w:hAnsi="宋体" w:eastAsia="方正仿宋简体" w:cs="宋体"/>
                <w:kern w:val="0"/>
                <w:szCs w:val="21"/>
              </w:rPr>
              <w:t>□项目管理相关责任人清单</w:t>
            </w:r>
          </w:p>
          <w:p>
            <w:pPr>
              <w:widowControl/>
              <w:spacing w:line="300" w:lineRule="exact"/>
              <w:jc w:val="left"/>
              <w:rPr>
                <w:rFonts w:ascii="方正仿宋简体" w:hAnsi="宋体" w:eastAsia="方正仿宋简体" w:cs="宋体"/>
                <w:kern w:val="0"/>
                <w:sz w:val="28"/>
                <w:szCs w:val="28"/>
              </w:rPr>
            </w:pPr>
            <w:r>
              <w:rPr>
                <w:rFonts w:hint="eastAsia" w:ascii="方正仿宋简体" w:hAnsi="宋体" w:eastAsia="方正仿宋简体" w:cs="宋体"/>
                <w:kern w:val="0"/>
                <w:szCs w:val="21"/>
              </w:rPr>
              <w:t>□其他文件材料 （请注明材料名称）</w:t>
            </w:r>
            <w:r>
              <w:rPr>
                <w:rFonts w:hint="eastAsia" w:ascii="方正仿宋简体" w:hAnsi="宋体" w:eastAsia="方正仿宋简体" w:cs="宋体"/>
                <w:kern w:val="0"/>
                <w:szCs w:val="21"/>
                <w:u w:val="single"/>
              </w:rPr>
              <w:t xml:space="preserve">                               </w:t>
            </w:r>
            <w:r>
              <w:rPr>
                <w:rFonts w:hint="eastAsia" w:ascii="方正仿宋简体" w:hAnsi="宋体" w:eastAsia="方正仿宋简体" w:cs="宋体"/>
                <w:kern w:val="0"/>
                <w:szCs w:val="21"/>
              </w:rPr>
              <w:t xml:space="preserve"> </w:t>
            </w:r>
          </w:p>
        </w:tc>
      </w:tr>
      <w:tr>
        <w:tblPrEx>
          <w:tblCellMar>
            <w:top w:w="0" w:type="dxa"/>
            <w:left w:w="108" w:type="dxa"/>
            <w:bottom w:w="0" w:type="dxa"/>
            <w:right w:w="108" w:type="dxa"/>
          </w:tblCellMar>
        </w:tblPrEx>
        <w:trPr>
          <w:trHeight w:val="439" w:hRule="atLeast"/>
        </w:trPr>
        <w:tc>
          <w:tcPr>
            <w:tcW w:w="728"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可研</w:t>
            </w:r>
          </w:p>
          <w:p>
            <w:pPr>
              <w:widowControl/>
              <w:spacing w:line="3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报告</w:t>
            </w:r>
          </w:p>
          <w:p>
            <w:pPr>
              <w:widowControl/>
              <w:spacing w:line="3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主要</w:t>
            </w:r>
          </w:p>
          <w:p>
            <w:pPr>
              <w:widowControl/>
              <w:spacing w:line="300" w:lineRule="exact"/>
              <w:jc w:val="left"/>
              <w:rPr>
                <w:rFonts w:ascii="方正仿宋简体" w:eastAsia="方正仿宋简体"/>
              </w:rPr>
            </w:pPr>
            <w:r>
              <w:rPr>
                <w:rFonts w:hint="eastAsia" w:ascii="方正仿宋简体" w:hAnsi="宋体" w:eastAsia="方正仿宋简体" w:cs="宋体"/>
                <w:sz w:val="24"/>
              </w:rPr>
              <w:t>信息</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30" w:leftChars="100" w:hanging="120" w:hangingChars="50"/>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项目进度安排       </w:t>
            </w:r>
          </w:p>
          <w:p>
            <w:pPr>
              <w:spacing w:line="300" w:lineRule="exact"/>
              <w:ind w:left="330" w:leftChars="157" w:firstLine="120" w:firstLineChars="50"/>
              <w:jc w:val="left"/>
              <w:rPr>
                <w:rFonts w:ascii="方正仿宋简体" w:hAnsi="宋体" w:eastAsia="方正仿宋简体" w:cs="宋体"/>
                <w:kern w:val="0"/>
                <w:sz w:val="24"/>
              </w:rPr>
            </w:pPr>
            <w:r>
              <w:rPr>
                <w:rFonts w:hint="eastAsia" w:ascii="方正仿宋简体" w:hAnsi="宋体" w:eastAsia="方正仿宋简体" w:cs="宋体"/>
                <w:kern w:val="0"/>
                <w:sz w:val="24"/>
              </w:rPr>
              <w:t>（年月）</w:t>
            </w:r>
          </w:p>
        </w:tc>
        <w:tc>
          <w:tcPr>
            <w:tcW w:w="3780" w:type="dxa"/>
            <w:gridSpan w:val="6"/>
            <w:tcBorders>
              <w:top w:val="single" w:color="auto" w:sz="4" w:space="0"/>
              <w:left w:val="nil"/>
              <w:bottom w:val="single" w:color="auto" w:sz="4" w:space="0"/>
              <w:right w:val="single" w:color="auto" w:sz="4" w:space="0"/>
            </w:tcBorders>
            <w:vAlign w:val="center"/>
          </w:tcPr>
          <w:p>
            <w:pPr>
              <w:widowControl/>
              <w:spacing w:line="300" w:lineRule="exact"/>
              <w:ind w:firstLine="576" w:firstLineChars="240"/>
              <w:jc w:val="left"/>
              <w:rPr>
                <w:rFonts w:ascii="方正仿宋简体" w:hAnsi="宋体" w:eastAsia="方正仿宋简体" w:cs="宋体"/>
                <w:kern w:val="0"/>
                <w:sz w:val="24"/>
              </w:rPr>
            </w:pPr>
            <w:r>
              <w:rPr>
                <w:rFonts w:hint="eastAsia" w:ascii="方正仿宋简体" w:hAnsi="宋体" w:eastAsia="方正仿宋简体" w:cs="宋体"/>
                <w:kern w:val="0"/>
                <w:sz w:val="24"/>
              </w:rPr>
              <w:t>项目开工（投资）时间</w:t>
            </w:r>
          </w:p>
        </w:tc>
        <w:tc>
          <w:tcPr>
            <w:tcW w:w="293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简体" w:hAnsi="宋体" w:eastAsia="方正仿宋简体" w:cs="宋体"/>
                <w:kern w:val="0"/>
                <w:szCs w:val="21"/>
              </w:rPr>
            </w:pPr>
          </w:p>
        </w:tc>
      </w:tr>
      <w:tr>
        <w:tblPrEx>
          <w:tblCellMar>
            <w:top w:w="0" w:type="dxa"/>
            <w:left w:w="108" w:type="dxa"/>
            <w:bottom w:w="0" w:type="dxa"/>
            <w:right w:w="108" w:type="dxa"/>
          </w:tblCellMar>
        </w:tblPrEx>
        <w:trPr>
          <w:trHeight w:val="428" w:hRule="atLeast"/>
        </w:trPr>
        <w:tc>
          <w:tcPr>
            <w:tcW w:w="728" w:type="dxa"/>
            <w:vMerge w:val="continue"/>
            <w:tcBorders>
              <w:left w:val="single" w:color="auto" w:sz="4" w:space="0"/>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left="330" w:leftChars="100" w:hanging="120" w:hangingChars="50"/>
              <w:jc w:val="left"/>
              <w:rPr>
                <w:rFonts w:ascii="方正仿宋简体" w:hAnsi="宋体" w:eastAsia="方正仿宋简体" w:cs="宋体"/>
                <w:kern w:val="0"/>
                <w:sz w:val="24"/>
              </w:rPr>
            </w:pPr>
          </w:p>
        </w:tc>
        <w:tc>
          <w:tcPr>
            <w:tcW w:w="3780" w:type="dxa"/>
            <w:gridSpan w:val="6"/>
            <w:tcBorders>
              <w:top w:val="single" w:color="auto" w:sz="4" w:space="0"/>
              <w:left w:val="nil"/>
              <w:bottom w:val="single" w:color="auto" w:sz="4" w:space="0"/>
              <w:right w:val="single" w:color="auto" w:sz="4" w:space="0"/>
            </w:tcBorders>
            <w:vAlign w:val="center"/>
          </w:tcPr>
          <w:p>
            <w:pPr>
              <w:widowControl/>
              <w:spacing w:line="300" w:lineRule="exact"/>
              <w:ind w:firstLine="576" w:firstLineChars="240"/>
              <w:jc w:val="left"/>
              <w:rPr>
                <w:rFonts w:ascii="方正仿宋简体" w:hAnsi="宋体" w:eastAsia="方正仿宋简体" w:cs="宋体"/>
                <w:kern w:val="0"/>
                <w:sz w:val="24"/>
              </w:rPr>
            </w:pPr>
            <w:r>
              <w:rPr>
                <w:rFonts w:hint="eastAsia" w:ascii="方正仿宋简体" w:hAnsi="宋体" w:eastAsia="方正仿宋简体" w:cs="宋体"/>
                <w:kern w:val="0"/>
                <w:sz w:val="24"/>
              </w:rPr>
              <w:t>项目完工（完成投资）时间</w:t>
            </w:r>
          </w:p>
        </w:tc>
        <w:tc>
          <w:tcPr>
            <w:tcW w:w="293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简体" w:hAnsi="宋体" w:eastAsia="方正仿宋简体" w:cs="宋体"/>
                <w:kern w:val="0"/>
                <w:szCs w:val="21"/>
              </w:rPr>
            </w:pPr>
          </w:p>
        </w:tc>
      </w:tr>
      <w:tr>
        <w:tblPrEx>
          <w:tblCellMar>
            <w:top w:w="0" w:type="dxa"/>
            <w:left w:w="108" w:type="dxa"/>
            <w:bottom w:w="0" w:type="dxa"/>
            <w:right w:w="108" w:type="dxa"/>
          </w:tblCellMar>
        </w:tblPrEx>
        <w:trPr>
          <w:trHeight w:val="418" w:hRule="atLeast"/>
        </w:trPr>
        <w:tc>
          <w:tcPr>
            <w:tcW w:w="728" w:type="dxa"/>
            <w:vMerge w:val="continue"/>
            <w:tcBorders>
              <w:left w:val="single" w:color="auto" w:sz="4" w:space="0"/>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left="330" w:leftChars="100" w:hanging="120" w:hangingChars="50"/>
              <w:jc w:val="left"/>
              <w:rPr>
                <w:rFonts w:ascii="方正仿宋简体" w:hAnsi="宋体" w:eastAsia="方正仿宋简体" w:cs="宋体"/>
                <w:kern w:val="0"/>
                <w:sz w:val="24"/>
              </w:rPr>
            </w:pPr>
          </w:p>
        </w:tc>
        <w:tc>
          <w:tcPr>
            <w:tcW w:w="3780" w:type="dxa"/>
            <w:gridSpan w:val="6"/>
            <w:tcBorders>
              <w:top w:val="single" w:color="auto" w:sz="4" w:space="0"/>
              <w:left w:val="nil"/>
              <w:bottom w:val="single" w:color="auto" w:sz="4" w:space="0"/>
              <w:right w:val="single" w:color="auto" w:sz="4" w:space="0"/>
            </w:tcBorders>
            <w:vAlign w:val="center"/>
          </w:tcPr>
          <w:p>
            <w:pPr>
              <w:widowControl/>
              <w:spacing w:line="300" w:lineRule="exact"/>
              <w:ind w:firstLine="576" w:firstLineChars="240"/>
              <w:jc w:val="left"/>
              <w:rPr>
                <w:rFonts w:ascii="方正仿宋简体" w:hAnsi="宋体" w:eastAsia="方正仿宋简体" w:cs="宋体"/>
                <w:kern w:val="0"/>
                <w:sz w:val="24"/>
              </w:rPr>
            </w:pPr>
            <w:r>
              <w:rPr>
                <w:rFonts w:hint="eastAsia" w:ascii="方正仿宋简体" w:hAnsi="宋体" w:eastAsia="方正仿宋简体" w:cs="宋体"/>
                <w:kern w:val="0"/>
                <w:sz w:val="24"/>
              </w:rPr>
              <w:t>预计达产达效时间</w:t>
            </w:r>
          </w:p>
        </w:tc>
        <w:tc>
          <w:tcPr>
            <w:tcW w:w="2937"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简体" w:hAnsi="宋体" w:eastAsia="方正仿宋简体" w:cs="宋体"/>
                <w:kern w:val="0"/>
                <w:szCs w:val="21"/>
              </w:rPr>
            </w:pPr>
          </w:p>
        </w:tc>
      </w:tr>
      <w:tr>
        <w:tblPrEx>
          <w:tblCellMar>
            <w:top w:w="0" w:type="dxa"/>
            <w:left w:w="108" w:type="dxa"/>
            <w:bottom w:w="0" w:type="dxa"/>
            <w:right w:w="108" w:type="dxa"/>
          </w:tblCellMar>
        </w:tblPrEx>
        <w:trPr>
          <w:trHeight w:val="408" w:hRule="atLeast"/>
        </w:trPr>
        <w:tc>
          <w:tcPr>
            <w:tcW w:w="728" w:type="dxa"/>
            <w:vMerge w:val="continue"/>
            <w:tcBorders>
              <w:left w:val="single" w:color="auto" w:sz="4" w:space="0"/>
              <w:bottom w:val="nil"/>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restart"/>
            <w:tcBorders>
              <w:top w:val="single" w:color="auto" w:sz="4" w:space="0"/>
              <w:left w:val="single" w:color="auto" w:sz="4" w:space="0"/>
              <w:bottom w:val="nil"/>
              <w:right w:val="single" w:color="auto" w:sz="4" w:space="0"/>
            </w:tcBorders>
            <w:vAlign w:val="center"/>
          </w:tcPr>
          <w:p>
            <w:pPr>
              <w:spacing w:line="300" w:lineRule="exact"/>
              <w:ind w:left="330" w:leftChars="100" w:hanging="120" w:hangingChars="50"/>
              <w:jc w:val="left"/>
              <w:rPr>
                <w:rFonts w:ascii="方正仿宋简体" w:hAnsi="宋体" w:eastAsia="方正仿宋简体" w:cs="宋体"/>
                <w:kern w:val="0"/>
                <w:sz w:val="24"/>
              </w:rPr>
            </w:pPr>
            <w:r>
              <w:rPr>
                <w:rFonts w:hint="eastAsia" w:ascii="方正仿宋简体" w:hAnsi="宋体" w:eastAsia="方正仿宋简体" w:cs="宋体"/>
                <w:kern w:val="0"/>
                <w:sz w:val="24"/>
              </w:rPr>
              <w:t>项目预期效益</w:t>
            </w:r>
          </w:p>
        </w:tc>
        <w:tc>
          <w:tcPr>
            <w:tcW w:w="3780" w:type="dxa"/>
            <w:gridSpan w:val="6"/>
            <w:tcBorders>
              <w:top w:val="single" w:color="auto" w:sz="4" w:space="0"/>
              <w:left w:val="nil"/>
              <w:bottom w:val="single" w:color="auto" w:sz="4" w:space="0"/>
              <w:right w:val="single" w:color="auto" w:sz="4" w:space="0"/>
            </w:tcBorders>
            <w:vAlign w:val="center"/>
          </w:tcPr>
          <w:p>
            <w:pPr>
              <w:widowControl/>
              <w:spacing w:line="300" w:lineRule="exact"/>
              <w:ind w:firstLine="576" w:firstLineChars="240"/>
              <w:jc w:val="left"/>
              <w:rPr>
                <w:rFonts w:ascii="方正仿宋简体" w:hAnsi="宋体" w:eastAsia="方正仿宋简体" w:cs="宋体"/>
                <w:kern w:val="0"/>
                <w:sz w:val="24"/>
              </w:rPr>
            </w:pPr>
            <w:r>
              <w:rPr>
                <w:rFonts w:hint="eastAsia" w:ascii="方正仿宋简体" w:hAnsi="宋体" w:eastAsia="方正仿宋简体" w:cs="宋体"/>
                <w:kern w:val="0"/>
                <w:sz w:val="24"/>
              </w:rPr>
              <w:t>项目内含报酬率</w:t>
            </w:r>
          </w:p>
        </w:tc>
        <w:tc>
          <w:tcPr>
            <w:tcW w:w="2937"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r>
      <w:tr>
        <w:tblPrEx>
          <w:tblCellMar>
            <w:top w:w="0" w:type="dxa"/>
            <w:left w:w="108" w:type="dxa"/>
            <w:bottom w:w="0" w:type="dxa"/>
            <w:right w:w="108" w:type="dxa"/>
          </w:tblCellMar>
        </w:tblPrEx>
        <w:trPr>
          <w:trHeight w:val="418" w:hRule="atLeast"/>
        </w:trPr>
        <w:tc>
          <w:tcPr>
            <w:tcW w:w="728" w:type="dxa"/>
            <w:vMerge w:val="continue"/>
            <w:tcBorders>
              <w:left w:val="single" w:color="auto" w:sz="4" w:space="0"/>
              <w:bottom w:val="nil"/>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continue"/>
            <w:tcBorders>
              <w:top w:val="single" w:color="auto" w:sz="4" w:space="0"/>
              <w:left w:val="single" w:color="auto" w:sz="4" w:space="0"/>
              <w:bottom w:val="nil"/>
              <w:right w:val="single" w:color="auto" w:sz="4" w:space="0"/>
            </w:tcBorders>
            <w:vAlign w:val="center"/>
          </w:tcPr>
          <w:p>
            <w:pPr>
              <w:spacing w:line="300" w:lineRule="exact"/>
              <w:ind w:left="330" w:leftChars="100" w:hanging="120" w:hangingChars="50"/>
              <w:jc w:val="left"/>
              <w:rPr>
                <w:rFonts w:ascii="方正仿宋简体" w:hAnsi="宋体" w:eastAsia="方正仿宋简体" w:cs="宋体"/>
                <w:kern w:val="0"/>
                <w:sz w:val="24"/>
              </w:rPr>
            </w:pPr>
          </w:p>
        </w:tc>
        <w:tc>
          <w:tcPr>
            <w:tcW w:w="2160"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投产（投资）第一年</w:t>
            </w:r>
          </w:p>
        </w:tc>
        <w:tc>
          <w:tcPr>
            <w:tcW w:w="234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投产（投资）第二年</w:t>
            </w:r>
          </w:p>
        </w:tc>
        <w:tc>
          <w:tcPr>
            <w:tcW w:w="2217"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投产（投资）第三年</w:t>
            </w:r>
          </w:p>
        </w:tc>
      </w:tr>
      <w:tr>
        <w:tblPrEx>
          <w:tblCellMar>
            <w:top w:w="0" w:type="dxa"/>
            <w:left w:w="108" w:type="dxa"/>
            <w:bottom w:w="0" w:type="dxa"/>
            <w:right w:w="108" w:type="dxa"/>
          </w:tblCellMar>
        </w:tblPrEx>
        <w:trPr>
          <w:trHeight w:val="151" w:hRule="atLeast"/>
        </w:trPr>
        <w:tc>
          <w:tcPr>
            <w:tcW w:w="728"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continue"/>
            <w:tcBorders>
              <w:left w:val="single" w:color="auto" w:sz="4" w:space="0"/>
              <w:right w:val="single" w:color="auto" w:sz="4" w:space="0"/>
            </w:tcBorders>
            <w:vAlign w:val="center"/>
          </w:tcPr>
          <w:p>
            <w:pPr>
              <w:widowControl/>
              <w:spacing w:line="300" w:lineRule="exact"/>
              <w:ind w:left="330" w:leftChars="100" w:hanging="120" w:hangingChars="50"/>
              <w:jc w:val="left"/>
              <w:rPr>
                <w:rFonts w:ascii="方正仿宋简体" w:hAnsi="宋体" w:eastAsia="方正仿宋简体" w:cs="宋体"/>
                <w:kern w:val="0"/>
                <w:sz w:val="24"/>
              </w:rPr>
            </w:pPr>
          </w:p>
        </w:tc>
        <w:tc>
          <w:tcPr>
            <w:tcW w:w="10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销售收入</w:t>
            </w:r>
          </w:p>
        </w:tc>
        <w:tc>
          <w:tcPr>
            <w:tcW w:w="1080"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净利润</w:t>
            </w:r>
          </w:p>
        </w:tc>
        <w:tc>
          <w:tcPr>
            <w:tcW w:w="126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销售收入</w:t>
            </w:r>
          </w:p>
        </w:tc>
        <w:tc>
          <w:tcPr>
            <w:tcW w:w="10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净利润</w:t>
            </w:r>
          </w:p>
        </w:tc>
        <w:tc>
          <w:tcPr>
            <w:tcW w:w="126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销售收入</w:t>
            </w:r>
          </w:p>
        </w:tc>
        <w:tc>
          <w:tcPr>
            <w:tcW w:w="957"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r>
              <w:rPr>
                <w:rFonts w:hint="eastAsia" w:ascii="方正仿宋简体" w:hAnsi="宋体" w:eastAsia="方正仿宋简体" w:cs="宋体"/>
                <w:kern w:val="0"/>
                <w:szCs w:val="21"/>
              </w:rPr>
              <w:t>净利润</w:t>
            </w:r>
          </w:p>
        </w:tc>
      </w:tr>
      <w:tr>
        <w:tblPrEx>
          <w:tblCellMar>
            <w:top w:w="0" w:type="dxa"/>
            <w:left w:w="108" w:type="dxa"/>
            <w:bottom w:w="0" w:type="dxa"/>
            <w:right w:w="108" w:type="dxa"/>
          </w:tblCellMar>
        </w:tblPrEx>
        <w:trPr>
          <w:trHeight w:val="493"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简体" w:hAnsi="宋体" w:eastAsia="方正仿宋简体" w:cs="宋体"/>
                <w:kern w:val="0"/>
                <w:sz w:val="24"/>
              </w:rPr>
            </w:pPr>
          </w:p>
        </w:tc>
        <w:tc>
          <w:tcPr>
            <w:tcW w:w="1987" w:type="dxa"/>
            <w:vMerge w:val="continue"/>
            <w:tcBorders>
              <w:left w:val="single" w:color="auto" w:sz="4" w:space="0"/>
              <w:bottom w:val="single" w:color="auto" w:sz="4" w:space="0"/>
              <w:right w:val="single" w:color="auto" w:sz="4" w:space="0"/>
            </w:tcBorders>
            <w:vAlign w:val="center"/>
          </w:tcPr>
          <w:p>
            <w:pPr>
              <w:widowControl/>
              <w:spacing w:line="300" w:lineRule="exact"/>
              <w:ind w:left="330" w:leftChars="100" w:hanging="120" w:hangingChars="50"/>
              <w:jc w:val="left"/>
              <w:rPr>
                <w:rFonts w:ascii="方正仿宋简体" w:hAnsi="宋体" w:eastAsia="方正仿宋简体" w:cs="宋体"/>
                <w:kern w:val="0"/>
                <w:sz w:val="24"/>
              </w:rPr>
            </w:pPr>
          </w:p>
        </w:tc>
        <w:tc>
          <w:tcPr>
            <w:tcW w:w="10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c>
          <w:tcPr>
            <w:tcW w:w="1080"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c>
          <w:tcPr>
            <w:tcW w:w="126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c>
          <w:tcPr>
            <w:tcW w:w="108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c>
          <w:tcPr>
            <w:tcW w:w="126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c>
          <w:tcPr>
            <w:tcW w:w="957"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简体" w:hAnsi="宋体" w:eastAsia="方正仿宋简体" w:cs="宋体"/>
                <w:kern w:val="0"/>
                <w:szCs w:val="21"/>
              </w:rPr>
            </w:pPr>
          </w:p>
        </w:tc>
      </w:tr>
      <w:tr>
        <w:trPr>
          <w:trHeight w:val="704" w:hRule="atLeast"/>
        </w:trPr>
        <w:tc>
          <w:tcPr>
            <w:tcW w:w="728" w:type="dxa"/>
            <w:tcBorders>
              <w:top w:val="single" w:color="auto" w:sz="4" w:space="0"/>
              <w:left w:val="single" w:color="auto" w:sz="4" w:space="0"/>
              <w:bottom w:val="nil"/>
              <w:right w:val="single" w:color="auto" w:sz="4" w:space="0"/>
            </w:tcBorders>
            <w:vAlign w:val="center"/>
          </w:tcPr>
          <w:p>
            <w:pPr>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承诺</w:t>
            </w:r>
          </w:p>
          <w:p>
            <w:pPr>
              <w:spacing w:line="300" w:lineRule="exact"/>
              <w:jc w:val="center"/>
              <w:rPr>
                <w:rFonts w:ascii="方正仿宋简体" w:hAnsi="宋体" w:eastAsia="方正仿宋简体" w:cs="宋体"/>
                <w:kern w:val="0"/>
                <w:sz w:val="24"/>
              </w:rPr>
            </w:pPr>
            <w:r>
              <w:rPr>
                <w:rFonts w:hint="eastAsia" w:ascii="方正仿宋简体" w:hAnsi="宋体" w:eastAsia="方正仿宋简体" w:cs="宋体"/>
                <w:kern w:val="0"/>
                <w:sz w:val="24"/>
              </w:rPr>
              <w:t>事项</w:t>
            </w:r>
          </w:p>
        </w:tc>
        <w:tc>
          <w:tcPr>
            <w:tcW w:w="8704" w:type="dxa"/>
            <w:gridSpan w:val="11"/>
            <w:tcBorders>
              <w:top w:val="single" w:color="auto" w:sz="4" w:space="0"/>
              <w:left w:val="nil"/>
              <w:bottom w:val="single" w:color="auto" w:sz="4" w:space="0"/>
              <w:right w:val="single" w:color="000000" w:sz="4" w:space="0"/>
            </w:tcBorders>
          </w:tcPr>
          <w:p>
            <w:pPr>
              <w:adjustRightInd w:val="0"/>
              <w:snapToGrid w:val="0"/>
              <w:spacing w:line="300" w:lineRule="exact"/>
              <w:jc w:val="left"/>
              <w:rPr>
                <w:rFonts w:ascii="方正仿宋简体" w:hAnsi="宋体" w:eastAsia="方正仿宋简体" w:cs="宋体"/>
                <w:kern w:val="0"/>
                <w:sz w:val="24"/>
              </w:rPr>
            </w:pPr>
          </w:p>
          <w:p>
            <w:pPr>
              <w:adjustRightInd w:val="0"/>
              <w:snapToGrid w:val="0"/>
              <w:spacing w:line="300" w:lineRule="exact"/>
              <w:ind w:firstLine="480" w:firstLineChars="200"/>
              <w:jc w:val="left"/>
              <w:rPr>
                <w:rFonts w:ascii="方正仿宋简体" w:hAnsi="宋体" w:eastAsia="方正仿宋简体" w:cs="宋体"/>
                <w:kern w:val="0"/>
                <w:sz w:val="24"/>
              </w:rPr>
            </w:pPr>
            <w:r>
              <w:rPr>
                <w:rFonts w:hint="eastAsia" w:ascii="方正仿宋简体" w:hAnsi="宋体" w:eastAsia="方正仿宋简体" w:cs="宋体"/>
                <w:kern w:val="0"/>
                <w:sz w:val="24"/>
              </w:rPr>
              <w:t>经认真对照《市管企业投资项目负面清单》，本项目不属于负面清单禁止类项目，符合法律法规、国家和省产业政策、发展规划和企业投资管理制度，已按规定履行政府审批程序和企业内部决策程序；报送材料真实、完整。</w:t>
            </w:r>
          </w:p>
          <w:p>
            <w:pPr>
              <w:adjustRightInd w:val="0"/>
              <w:snapToGrid w:val="0"/>
              <w:spacing w:line="300" w:lineRule="exact"/>
              <w:ind w:firstLine="555"/>
              <w:jc w:val="left"/>
              <w:rPr>
                <w:rFonts w:ascii="方正仿宋简体" w:hAnsi="宋体" w:eastAsia="方正仿宋简体" w:cs="宋体"/>
                <w:kern w:val="0"/>
                <w:sz w:val="24"/>
              </w:rPr>
            </w:pPr>
            <w:r>
              <w:rPr>
                <w:rFonts w:hint="eastAsia" w:ascii="方正仿宋简体" w:hAnsi="宋体" w:eastAsia="方正仿宋简体" w:cs="宋体"/>
                <w:kern w:val="0"/>
                <w:sz w:val="28"/>
                <w:szCs w:val="28"/>
              </w:rPr>
              <w:t xml:space="preserve">                                    </w:t>
            </w:r>
            <w:r>
              <w:rPr>
                <w:rFonts w:hint="eastAsia" w:ascii="方正仿宋简体" w:hAnsi="宋体" w:eastAsia="方正仿宋简体" w:cs="宋体"/>
                <w:kern w:val="0"/>
                <w:sz w:val="24"/>
              </w:rPr>
              <w:t>年   月   日</w:t>
            </w:r>
          </w:p>
          <w:p>
            <w:pPr>
              <w:adjustRightInd w:val="0"/>
              <w:snapToGrid w:val="0"/>
              <w:spacing w:line="300" w:lineRule="exact"/>
              <w:ind w:right="1120" w:firstLine="555"/>
              <w:jc w:val="center"/>
              <w:rPr>
                <w:rFonts w:ascii="方正仿宋简体" w:hAnsi="宋体" w:eastAsia="方正仿宋简体" w:cs="宋体"/>
                <w:kern w:val="0"/>
                <w:sz w:val="28"/>
                <w:szCs w:val="28"/>
              </w:rPr>
            </w:pPr>
            <w:r>
              <w:rPr>
                <w:rFonts w:hint="eastAsia" w:ascii="方正仿宋简体" w:hAnsi="宋体" w:eastAsia="方正仿宋简体" w:cs="宋体"/>
                <w:kern w:val="0"/>
                <w:sz w:val="28"/>
                <w:szCs w:val="28"/>
              </w:rPr>
              <w:t xml:space="preserve">                                </w:t>
            </w:r>
            <w:r>
              <w:rPr>
                <w:rFonts w:hint="eastAsia" w:ascii="方正仿宋简体" w:hAnsi="宋体" w:eastAsia="方正仿宋简体" w:cs="宋体"/>
                <w:kern w:val="0"/>
                <w:sz w:val="24"/>
              </w:rPr>
              <w:t xml:space="preserve">（企业公章） </w:t>
            </w:r>
            <w:r>
              <w:rPr>
                <w:rFonts w:hint="eastAsia" w:ascii="方正仿宋简体" w:hAnsi="宋体" w:eastAsia="方正仿宋简体" w:cs="宋体"/>
                <w:kern w:val="0"/>
                <w:sz w:val="28"/>
                <w:szCs w:val="28"/>
              </w:rPr>
              <w:t xml:space="preserve">      </w:t>
            </w:r>
          </w:p>
        </w:tc>
      </w:tr>
      <w:tr>
        <w:tblPrEx>
          <w:tblCellMar>
            <w:top w:w="0" w:type="dxa"/>
            <w:left w:w="108" w:type="dxa"/>
            <w:bottom w:w="0" w:type="dxa"/>
            <w:right w:w="108" w:type="dxa"/>
          </w:tblCellMar>
        </w:tblPrEx>
        <w:trPr>
          <w:trHeight w:val="64" w:hRule="atLeast"/>
        </w:trPr>
        <w:tc>
          <w:tcPr>
            <w:tcW w:w="9432" w:type="dxa"/>
            <w:gridSpan w:val="12"/>
            <w:tcBorders>
              <w:top w:val="single" w:color="auto" w:sz="4" w:space="0"/>
              <w:left w:val="nil"/>
              <w:bottom w:val="nil"/>
              <w:right w:val="nil"/>
            </w:tcBorders>
            <w:noWrap/>
            <w:vAlign w:val="center"/>
          </w:tcPr>
          <w:p>
            <w:pPr>
              <w:widowControl/>
              <w:spacing w:line="3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报送人：             联系电话：           报送日期：</w:t>
            </w:r>
          </w:p>
        </w:tc>
      </w:tr>
    </w:tbl>
    <w:p>
      <w:pPr>
        <w:widowControl/>
        <w:spacing w:line="600" w:lineRule="exact"/>
        <w:ind w:firstLine="5440" w:firstLineChars="1700"/>
        <w:rPr>
          <w:rFonts w:ascii="方正仿宋简体" w:hAnsi="宋体" w:eastAsia="方正仿宋简体" w:cs="宋体"/>
          <w:color w:val="000000" w:themeColor="text1"/>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widowControl/>
        <w:spacing w:line="640" w:lineRule="exact"/>
        <w:rPr>
          <w:rFonts w:ascii="方正仿宋简体" w:hAnsi="宋体" w:eastAsia="方正仿宋简体" w:cs="宋体"/>
          <w:color w:val="333333"/>
          <w:kern w:val="0"/>
          <w:sz w:val="32"/>
          <w:szCs w:val="32"/>
        </w:rPr>
      </w:pPr>
    </w:p>
    <w:p>
      <w:pPr>
        <w:spacing w:line="680" w:lineRule="exact"/>
        <w:rPr>
          <w:rFonts w:ascii="方正仿宋简体" w:hAnsi="宋体" w:eastAsia="方正仿宋简体" w:cs="宋体"/>
          <w:color w:val="333333"/>
          <w:kern w:val="0"/>
          <w:sz w:val="32"/>
          <w:szCs w:val="32"/>
        </w:rPr>
      </w:pPr>
      <w:r>
        <w:rPr>
          <w:rFonts w:ascii="方正仿宋简体" w:eastAsia="方正仿宋简体"/>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474345</wp:posOffset>
                </wp:positionV>
                <wp:extent cx="5579745" cy="0"/>
                <wp:effectExtent l="0" t="0" r="0" b="0"/>
                <wp:wrapNone/>
                <wp:docPr id="1" name="直线 2"/>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pt;margin-top:37.35pt;height:0pt;width:439.35pt;z-index:251659264;mso-width-relative:page;mso-height-relative:page;" filled="f" stroked="t" coordsize="21600,21600" o:gfxdata="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m2pVdcA&#10;AAAJAQAADwAAAAAAAAABACAAAAAiAAAAZHJzL2Rvd25yZXYueG1sUEsBAhQAFAAAAAgAh07iQDHn&#10;3zjnAQAA2wMAAA4AAAAAAAAAAQAgAAAAJgEAAGRycy9lMm9Eb2MueG1sUEsFBgAAAAAGAAYAWQEA&#10;AH8FAAAAAA==&#10;">
                <v:fill on="f" focussize="0,0"/>
                <v:stroke color="#000000" joinstyle="round"/>
                <v:imagedata o:title=""/>
                <o:lock v:ext="edit" aspectratio="f"/>
              </v:line>
            </w:pict>
          </mc:Fallback>
        </mc:AlternateContent>
      </w:r>
      <w:r>
        <w:rPr>
          <w:rFonts w:ascii="方正仿宋简体" w:eastAsia="方正仿宋简体"/>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80645</wp:posOffset>
                </wp:positionV>
                <wp:extent cx="5579745" cy="0"/>
                <wp:effectExtent l="0" t="0" r="0" b="0"/>
                <wp:wrapNone/>
                <wp:docPr id="2" name="直线 3"/>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pt;margin-top:6.35pt;height:0pt;width:439.35pt;z-index:251659264;mso-width-relative:page;mso-height-relative:page;" filled="f" stroked="t" coordsize="21600,21600" o:gfxdata="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ulCNYA&#10;AAAJAQAADwAAAAAAAAABACAAAAAiAAAAZHJzL2Rvd25yZXYueG1sUEsBAhQAFAAAAAgAh07iQNYO&#10;NqvoAQAA2wMAAA4AAAAAAAAAAQAgAAAAJQEAAGRycy9lMm9Eb2MueG1sUEsFBgAAAAAGAAYAWQEA&#10;AH8FAAAAAA==&#10;">
                <v:fill on="f" focussize="0,0"/>
                <v:stroke color="#000000" joinstyle="round"/>
                <v:imagedata o:title=""/>
                <o:lock v:ext="edit" aspectratio="f"/>
              </v:line>
            </w:pict>
          </mc:Fallback>
        </mc:AlternateContent>
      </w:r>
      <w:r>
        <w:rPr>
          <w:rFonts w:hint="eastAsia" w:ascii="方正仿宋简体" w:hAnsi="仿宋" w:eastAsia="方正仿宋简体" w:cs="宋体"/>
          <w:color w:val="333333"/>
          <w:kern w:val="0"/>
          <w:sz w:val="32"/>
          <w:szCs w:val="32"/>
        </w:rPr>
        <w:t>济宁市国资委办公室</w:t>
      </w:r>
      <w:r>
        <w:rPr>
          <w:rFonts w:hint="eastAsia" w:ascii="方正仿宋简体" w:eastAsia="方正仿宋简体"/>
          <w:sz w:val="30"/>
          <w:szCs w:val="30"/>
        </w:rPr>
        <w:t xml:space="preserve">                </w:t>
      </w:r>
      <w:r>
        <w:rPr>
          <w:rFonts w:hint="eastAsia" w:ascii="方正仿宋简体" w:hAnsi="仿宋" w:eastAsia="方正仿宋简体" w:cs="宋体"/>
          <w:color w:val="333333"/>
          <w:kern w:val="0"/>
          <w:sz w:val="32"/>
          <w:szCs w:val="32"/>
        </w:rPr>
        <w:t>2021年</w:t>
      </w:r>
      <w:r>
        <w:rPr>
          <w:rFonts w:hint="eastAsia" w:ascii="方正仿宋简体" w:hAnsi="仿宋" w:eastAsia="方正仿宋简体" w:cs="宋体"/>
          <w:color w:val="333333"/>
          <w:kern w:val="0"/>
          <w:sz w:val="32"/>
          <w:szCs w:val="32"/>
          <w:lang w:val="en-US" w:eastAsia="zh-CN"/>
        </w:rPr>
        <w:t>4</w:t>
      </w:r>
      <w:r>
        <w:rPr>
          <w:rFonts w:hint="eastAsia" w:ascii="方正仿宋简体" w:hAnsi="仿宋" w:eastAsia="方正仿宋简体" w:cs="宋体"/>
          <w:color w:val="333333"/>
          <w:kern w:val="0"/>
          <w:sz w:val="32"/>
          <w:szCs w:val="32"/>
        </w:rPr>
        <w:t>月</w:t>
      </w:r>
      <w:r>
        <w:rPr>
          <w:rFonts w:hint="eastAsia" w:ascii="方正仿宋简体" w:hAnsi="仿宋" w:eastAsia="方正仿宋简体" w:cs="宋体"/>
          <w:color w:val="333333"/>
          <w:kern w:val="0"/>
          <w:sz w:val="32"/>
          <w:szCs w:val="32"/>
          <w:lang w:val="en-US" w:eastAsia="zh-CN"/>
        </w:rPr>
        <w:t>6</w:t>
      </w:r>
      <w:r>
        <w:rPr>
          <w:rFonts w:hint="eastAsia" w:ascii="方正仿宋简体" w:hAnsi="仿宋" w:eastAsia="方正仿宋简体" w:cs="宋体"/>
          <w:color w:val="333333"/>
          <w:kern w:val="0"/>
          <w:sz w:val="32"/>
          <w:szCs w:val="32"/>
        </w:rPr>
        <w:t>日印发</w:t>
      </w:r>
    </w:p>
    <w:sectPr>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- 2 -</w:t>
    </w:r>
    <w:r>
      <w:rPr>
        <w:rStyle w:val="10"/>
      </w:rPr>
      <w:fldChar w:fldCharType="end"/>
    </w:r>
  </w:p>
  <w:p>
    <w:pPr>
      <w:pStyle w:val="5"/>
      <w:ind w:right="360"/>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05FAD"/>
    <w:multiLevelType w:val="multilevel"/>
    <w:tmpl w:val="14A05FAD"/>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1F7089"/>
    <w:multiLevelType w:val="multilevel"/>
    <w:tmpl w:val="191F7089"/>
    <w:lvl w:ilvl="0" w:tentative="0">
      <w:start w:val="10"/>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402E55"/>
    <w:multiLevelType w:val="multilevel"/>
    <w:tmpl w:val="3F402E55"/>
    <w:lvl w:ilvl="0" w:tentative="0">
      <w:start w:val="6"/>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4E3A58"/>
    <w:multiLevelType w:val="multilevel"/>
    <w:tmpl w:val="6C4E3A58"/>
    <w:lvl w:ilvl="0" w:tentative="0">
      <w:start w:val="7"/>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E8"/>
    <w:rsid w:val="00001413"/>
    <w:rsid w:val="000053B6"/>
    <w:rsid w:val="0000710F"/>
    <w:rsid w:val="00011B2C"/>
    <w:rsid w:val="0001714F"/>
    <w:rsid w:val="0002265E"/>
    <w:rsid w:val="0002412C"/>
    <w:rsid w:val="00024283"/>
    <w:rsid w:val="00047C06"/>
    <w:rsid w:val="0005068C"/>
    <w:rsid w:val="000610B8"/>
    <w:rsid w:val="00070920"/>
    <w:rsid w:val="000773CA"/>
    <w:rsid w:val="00081CCE"/>
    <w:rsid w:val="00084C9E"/>
    <w:rsid w:val="00085BB9"/>
    <w:rsid w:val="000A6671"/>
    <w:rsid w:val="000B0635"/>
    <w:rsid w:val="000B3684"/>
    <w:rsid w:val="000C510E"/>
    <w:rsid w:val="000C73F7"/>
    <w:rsid w:val="000C7945"/>
    <w:rsid w:val="000C7E9A"/>
    <w:rsid w:val="000E2218"/>
    <w:rsid w:val="000E5E74"/>
    <w:rsid w:val="00114319"/>
    <w:rsid w:val="00116B55"/>
    <w:rsid w:val="00122C56"/>
    <w:rsid w:val="0012791A"/>
    <w:rsid w:val="00131103"/>
    <w:rsid w:val="00133720"/>
    <w:rsid w:val="001348E8"/>
    <w:rsid w:val="001350BD"/>
    <w:rsid w:val="001455E3"/>
    <w:rsid w:val="00157340"/>
    <w:rsid w:val="00163A9D"/>
    <w:rsid w:val="00166DFF"/>
    <w:rsid w:val="00167A34"/>
    <w:rsid w:val="00177139"/>
    <w:rsid w:val="0017740F"/>
    <w:rsid w:val="001805DC"/>
    <w:rsid w:val="001813E2"/>
    <w:rsid w:val="00191D1E"/>
    <w:rsid w:val="00194B18"/>
    <w:rsid w:val="001A0B23"/>
    <w:rsid w:val="001A2256"/>
    <w:rsid w:val="001A2C84"/>
    <w:rsid w:val="001B13D6"/>
    <w:rsid w:val="001B7C6F"/>
    <w:rsid w:val="001E5385"/>
    <w:rsid w:val="001E6807"/>
    <w:rsid w:val="001E7609"/>
    <w:rsid w:val="001F092B"/>
    <w:rsid w:val="001F35AB"/>
    <w:rsid w:val="002008C4"/>
    <w:rsid w:val="00202626"/>
    <w:rsid w:val="00215BDC"/>
    <w:rsid w:val="0022250B"/>
    <w:rsid w:val="0022346C"/>
    <w:rsid w:val="00224456"/>
    <w:rsid w:val="00225E61"/>
    <w:rsid w:val="00226BE0"/>
    <w:rsid w:val="0023064A"/>
    <w:rsid w:val="00230C09"/>
    <w:rsid w:val="00247A98"/>
    <w:rsid w:val="00271859"/>
    <w:rsid w:val="00285024"/>
    <w:rsid w:val="00286BD2"/>
    <w:rsid w:val="002968DF"/>
    <w:rsid w:val="002A2F43"/>
    <w:rsid w:val="002B0107"/>
    <w:rsid w:val="002C3D6E"/>
    <w:rsid w:val="002D1A31"/>
    <w:rsid w:val="002F0C22"/>
    <w:rsid w:val="002F4E4A"/>
    <w:rsid w:val="002F77AA"/>
    <w:rsid w:val="002F7BB1"/>
    <w:rsid w:val="00306C7A"/>
    <w:rsid w:val="0031726A"/>
    <w:rsid w:val="00325162"/>
    <w:rsid w:val="00342759"/>
    <w:rsid w:val="00342DB9"/>
    <w:rsid w:val="00353314"/>
    <w:rsid w:val="00354D81"/>
    <w:rsid w:val="0036132F"/>
    <w:rsid w:val="003703AD"/>
    <w:rsid w:val="00374ACB"/>
    <w:rsid w:val="003829D7"/>
    <w:rsid w:val="00395CE1"/>
    <w:rsid w:val="003A71DA"/>
    <w:rsid w:val="003A7EF2"/>
    <w:rsid w:val="003B53A6"/>
    <w:rsid w:val="003C58EB"/>
    <w:rsid w:val="004016B7"/>
    <w:rsid w:val="004208CF"/>
    <w:rsid w:val="00430701"/>
    <w:rsid w:val="0045606F"/>
    <w:rsid w:val="00457586"/>
    <w:rsid w:val="004620C0"/>
    <w:rsid w:val="004818AC"/>
    <w:rsid w:val="00482E9A"/>
    <w:rsid w:val="00492C15"/>
    <w:rsid w:val="004A063F"/>
    <w:rsid w:val="004A3427"/>
    <w:rsid w:val="004A35B6"/>
    <w:rsid w:val="004A6F8C"/>
    <w:rsid w:val="004B7756"/>
    <w:rsid w:val="004C4DEA"/>
    <w:rsid w:val="004D352A"/>
    <w:rsid w:val="004D4E5F"/>
    <w:rsid w:val="004F3223"/>
    <w:rsid w:val="004F7A44"/>
    <w:rsid w:val="00501072"/>
    <w:rsid w:val="00521B54"/>
    <w:rsid w:val="00524319"/>
    <w:rsid w:val="0053025B"/>
    <w:rsid w:val="005336C8"/>
    <w:rsid w:val="00546302"/>
    <w:rsid w:val="00552102"/>
    <w:rsid w:val="00563B4B"/>
    <w:rsid w:val="00574680"/>
    <w:rsid w:val="005815F7"/>
    <w:rsid w:val="005919D1"/>
    <w:rsid w:val="00595D7C"/>
    <w:rsid w:val="005B128E"/>
    <w:rsid w:val="005B62CC"/>
    <w:rsid w:val="005D48E6"/>
    <w:rsid w:val="005D725D"/>
    <w:rsid w:val="005E06E5"/>
    <w:rsid w:val="005F30FA"/>
    <w:rsid w:val="005F6A52"/>
    <w:rsid w:val="005F6F01"/>
    <w:rsid w:val="006001CC"/>
    <w:rsid w:val="00604608"/>
    <w:rsid w:val="00610AFC"/>
    <w:rsid w:val="00610EFC"/>
    <w:rsid w:val="00615F8D"/>
    <w:rsid w:val="006164BE"/>
    <w:rsid w:val="00617276"/>
    <w:rsid w:val="006225F5"/>
    <w:rsid w:val="00626A4F"/>
    <w:rsid w:val="0062759F"/>
    <w:rsid w:val="00627634"/>
    <w:rsid w:val="00627F5C"/>
    <w:rsid w:val="00633545"/>
    <w:rsid w:val="00657A8B"/>
    <w:rsid w:val="00667A66"/>
    <w:rsid w:val="00684728"/>
    <w:rsid w:val="00690C30"/>
    <w:rsid w:val="006942B9"/>
    <w:rsid w:val="006A6969"/>
    <w:rsid w:val="006E0653"/>
    <w:rsid w:val="006E1222"/>
    <w:rsid w:val="006E2253"/>
    <w:rsid w:val="006F519D"/>
    <w:rsid w:val="006F61A1"/>
    <w:rsid w:val="006F69E9"/>
    <w:rsid w:val="0070121D"/>
    <w:rsid w:val="00717944"/>
    <w:rsid w:val="00724DCB"/>
    <w:rsid w:val="00725E74"/>
    <w:rsid w:val="00727B00"/>
    <w:rsid w:val="007321B9"/>
    <w:rsid w:val="007338F4"/>
    <w:rsid w:val="00735DFD"/>
    <w:rsid w:val="00741AAF"/>
    <w:rsid w:val="0074492F"/>
    <w:rsid w:val="00744ABA"/>
    <w:rsid w:val="00746467"/>
    <w:rsid w:val="00747278"/>
    <w:rsid w:val="00747592"/>
    <w:rsid w:val="007546EF"/>
    <w:rsid w:val="00754736"/>
    <w:rsid w:val="00765BE1"/>
    <w:rsid w:val="007727F8"/>
    <w:rsid w:val="007A5FAD"/>
    <w:rsid w:val="007A7AFF"/>
    <w:rsid w:val="007B29DF"/>
    <w:rsid w:val="007B5994"/>
    <w:rsid w:val="007C120B"/>
    <w:rsid w:val="007C5228"/>
    <w:rsid w:val="007D303C"/>
    <w:rsid w:val="007E020E"/>
    <w:rsid w:val="007E0E27"/>
    <w:rsid w:val="007F4114"/>
    <w:rsid w:val="007F638D"/>
    <w:rsid w:val="0080254B"/>
    <w:rsid w:val="00804A87"/>
    <w:rsid w:val="00806E81"/>
    <w:rsid w:val="00821E19"/>
    <w:rsid w:val="00827269"/>
    <w:rsid w:val="00837708"/>
    <w:rsid w:val="008474D5"/>
    <w:rsid w:val="0085427B"/>
    <w:rsid w:val="008640DD"/>
    <w:rsid w:val="0086731F"/>
    <w:rsid w:val="00873D53"/>
    <w:rsid w:val="00876546"/>
    <w:rsid w:val="008976A2"/>
    <w:rsid w:val="008A5DD9"/>
    <w:rsid w:val="008B113E"/>
    <w:rsid w:val="008B1357"/>
    <w:rsid w:val="008B45EB"/>
    <w:rsid w:val="008B588F"/>
    <w:rsid w:val="008C5679"/>
    <w:rsid w:val="008D18C5"/>
    <w:rsid w:val="008D1C89"/>
    <w:rsid w:val="008D5361"/>
    <w:rsid w:val="008E0D28"/>
    <w:rsid w:val="008E4CE2"/>
    <w:rsid w:val="008F404C"/>
    <w:rsid w:val="008F7127"/>
    <w:rsid w:val="00914780"/>
    <w:rsid w:val="009178C4"/>
    <w:rsid w:val="009211C8"/>
    <w:rsid w:val="0092435B"/>
    <w:rsid w:val="00926575"/>
    <w:rsid w:val="00932617"/>
    <w:rsid w:val="00933259"/>
    <w:rsid w:val="00950608"/>
    <w:rsid w:val="00957A3D"/>
    <w:rsid w:val="00957ABA"/>
    <w:rsid w:val="00961544"/>
    <w:rsid w:val="009634D3"/>
    <w:rsid w:val="009664A1"/>
    <w:rsid w:val="009671FF"/>
    <w:rsid w:val="009676EB"/>
    <w:rsid w:val="009733FE"/>
    <w:rsid w:val="009766BA"/>
    <w:rsid w:val="0098157C"/>
    <w:rsid w:val="00986B64"/>
    <w:rsid w:val="00996A0A"/>
    <w:rsid w:val="009A5F41"/>
    <w:rsid w:val="009C0BF1"/>
    <w:rsid w:val="009C703E"/>
    <w:rsid w:val="009C7DF4"/>
    <w:rsid w:val="009E2AA5"/>
    <w:rsid w:val="009F0FC2"/>
    <w:rsid w:val="00A1224C"/>
    <w:rsid w:val="00A15125"/>
    <w:rsid w:val="00A2005C"/>
    <w:rsid w:val="00A26003"/>
    <w:rsid w:val="00A26BCF"/>
    <w:rsid w:val="00A55E3B"/>
    <w:rsid w:val="00A676B1"/>
    <w:rsid w:val="00A72DED"/>
    <w:rsid w:val="00A77A2E"/>
    <w:rsid w:val="00A94CA3"/>
    <w:rsid w:val="00A9534C"/>
    <w:rsid w:val="00AA0C9B"/>
    <w:rsid w:val="00AA765A"/>
    <w:rsid w:val="00AB5064"/>
    <w:rsid w:val="00AC01AA"/>
    <w:rsid w:val="00AD2A8C"/>
    <w:rsid w:val="00AD67FF"/>
    <w:rsid w:val="00AE0AF4"/>
    <w:rsid w:val="00AE2484"/>
    <w:rsid w:val="00AF4359"/>
    <w:rsid w:val="00B06779"/>
    <w:rsid w:val="00B067A9"/>
    <w:rsid w:val="00B2684F"/>
    <w:rsid w:val="00B43E01"/>
    <w:rsid w:val="00B45990"/>
    <w:rsid w:val="00B47AE8"/>
    <w:rsid w:val="00B47F31"/>
    <w:rsid w:val="00B55A76"/>
    <w:rsid w:val="00B57555"/>
    <w:rsid w:val="00B57E1C"/>
    <w:rsid w:val="00B657AF"/>
    <w:rsid w:val="00B85311"/>
    <w:rsid w:val="00B86A13"/>
    <w:rsid w:val="00B91098"/>
    <w:rsid w:val="00B926BC"/>
    <w:rsid w:val="00B937C6"/>
    <w:rsid w:val="00B97052"/>
    <w:rsid w:val="00BC00B6"/>
    <w:rsid w:val="00BC664C"/>
    <w:rsid w:val="00BE1251"/>
    <w:rsid w:val="00BF0367"/>
    <w:rsid w:val="00C222BF"/>
    <w:rsid w:val="00C24B73"/>
    <w:rsid w:val="00C31CD4"/>
    <w:rsid w:val="00C52FB2"/>
    <w:rsid w:val="00C57888"/>
    <w:rsid w:val="00C7326F"/>
    <w:rsid w:val="00C750FD"/>
    <w:rsid w:val="00C7665C"/>
    <w:rsid w:val="00C86BF3"/>
    <w:rsid w:val="00C92166"/>
    <w:rsid w:val="00C934A2"/>
    <w:rsid w:val="00C95FB2"/>
    <w:rsid w:val="00CA6E91"/>
    <w:rsid w:val="00CE0606"/>
    <w:rsid w:val="00CE662F"/>
    <w:rsid w:val="00CF2F02"/>
    <w:rsid w:val="00CF4CFF"/>
    <w:rsid w:val="00CF5F9C"/>
    <w:rsid w:val="00D0295D"/>
    <w:rsid w:val="00D27AE9"/>
    <w:rsid w:val="00D30087"/>
    <w:rsid w:val="00D42D8F"/>
    <w:rsid w:val="00D44E74"/>
    <w:rsid w:val="00D4613E"/>
    <w:rsid w:val="00D631A4"/>
    <w:rsid w:val="00D729A8"/>
    <w:rsid w:val="00D7453E"/>
    <w:rsid w:val="00D76331"/>
    <w:rsid w:val="00D81EF3"/>
    <w:rsid w:val="00DA2EB6"/>
    <w:rsid w:val="00DC01AC"/>
    <w:rsid w:val="00DC670F"/>
    <w:rsid w:val="00DD218C"/>
    <w:rsid w:val="00DE4A1C"/>
    <w:rsid w:val="00DF6E2A"/>
    <w:rsid w:val="00E072D4"/>
    <w:rsid w:val="00E10618"/>
    <w:rsid w:val="00E122D5"/>
    <w:rsid w:val="00E12A93"/>
    <w:rsid w:val="00E24109"/>
    <w:rsid w:val="00E30C5A"/>
    <w:rsid w:val="00E4370C"/>
    <w:rsid w:val="00E5436E"/>
    <w:rsid w:val="00E60418"/>
    <w:rsid w:val="00E6121E"/>
    <w:rsid w:val="00E87B01"/>
    <w:rsid w:val="00E9078F"/>
    <w:rsid w:val="00E91E07"/>
    <w:rsid w:val="00EB1FD2"/>
    <w:rsid w:val="00EC77F5"/>
    <w:rsid w:val="00EC78AE"/>
    <w:rsid w:val="00EE3261"/>
    <w:rsid w:val="00EF6990"/>
    <w:rsid w:val="00F160C4"/>
    <w:rsid w:val="00F169DB"/>
    <w:rsid w:val="00F2494C"/>
    <w:rsid w:val="00F41984"/>
    <w:rsid w:val="00F46ED1"/>
    <w:rsid w:val="00F533FF"/>
    <w:rsid w:val="00F53415"/>
    <w:rsid w:val="00F6719B"/>
    <w:rsid w:val="00F77EC2"/>
    <w:rsid w:val="00F85E97"/>
    <w:rsid w:val="00F923B0"/>
    <w:rsid w:val="00F924BE"/>
    <w:rsid w:val="00F9607D"/>
    <w:rsid w:val="00FC4D21"/>
    <w:rsid w:val="00FD1E1F"/>
    <w:rsid w:val="00FD771A"/>
    <w:rsid w:val="00FD7EC2"/>
    <w:rsid w:val="00FE53DE"/>
    <w:rsid w:val="00FF3013"/>
    <w:rsid w:val="6F6E16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1"/>
    <w:qFormat/>
    <w:locked/>
    <w:uiPriority w:val="99"/>
    <w:pPr>
      <w:widowControl/>
      <w:spacing w:before="100" w:beforeAutospacing="1" w:after="100" w:afterAutospacing="1"/>
      <w:jc w:val="left"/>
      <w:outlineLvl w:val="3"/>
    </w:pPr>
    <w:rPr>
      <w:rFonts w:ascii="宋体" w:hAnsi="宋体" w:cs="宋体"/>
      <w:b/>
      <w:bCs/>
      <w:kern w:val="0"/>
      <w:sz w:val="24"/>
    </w:rPr>
  </w:style>
  <w:style w:type="paragraph" w:styleId="3">
    <w:name w:val="heading 5"/>
    <w:basedOn w:val="1"/>
    <w:next w:val="1"/>
    <w:link w:val="12"/>
    <w:qFormat/>
    <w:locked/>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customStyle="1" w:styleId="11">
    <w:name w:val="标题 4 Char"/>
    <w:basedOn w:val="8"/>
    <w:link w:val="2"/>
    <w:locked/>
    <w:uiPriority w:val="99"/>
    <w:rPr>
      <w:rFonts w:ascii="宋体" w:eastAsia="宋体" w:cs="宋体"/>
      <w:b/>
      <w:bCs/>
      <w:sz w:val="24"/>
      <w:szCs w:val="24"/>
    </w:rPr>
  </w:style>
  <w:style w:type="character" w:customStyle="1" w:styleId="12">
    <w:name w:val="标题 5 Char"/>
    <w:basedOn w:val="8"/>
    <w:link w:val="3"/>
    <w:qFormat/>
    <w:locked/>
    <w:uiPriority w:val="99"/>
    <w:rPr>
      <w:rFonts w:ascii="宋体" w:eastAsia="宋体" w:cs="宋体"/>
      <w:b/>
      <w:bCs/>
    </w:rPr>
  </w:style>
  <w:style w:type="character" w:customStyle="1" w:styleId="13">
    <w:name w:val="apple-converted-space"/>
    <w:basedOn w:val="8"/>
    <w:qFormat/>
    <w:uiPriority w:val="99"/>
    <w:rPr>
      <w:rFonts w:cs="Times New Roman"/>
    </w:rPr>
  </w:style>
  <w:style w:type="character" w:customStyle="1" w:styleId="14">
    <w:name w:val="页眉 Char"/>
    <w:basedOn w:val="8"/>
    <w:link w:val="6"/>
    <w:semiHidden/>
    <w:qFormat/>
    <w:locked/>
    <w:uiPriority w:val="99"/>
    <w:rPr>
      <w:rFonts w:ascii="Times New Roman" w:hAnsi="Times New Roman" w:cs="Times New Roman"/>
      <w:kern w:val="2"/>
      <w:sz w:val="18"/>
      <w:szCs w:val="18"/>
    </w:rPr>
  </w:style>
  <w:style w:type="character" w:customStyle="1" w:styleId="15">
    <w:name w:val="页脚 Char"/>
    <w:basedOn w:val="8"/>
    <w:link w:val="5"/>
    <w:qFormat/>
    <w:locked/>
    <w:uiPriority w:val="99"/>
    <w:rPr>
      <w:rFonts w:ascii="Times New Roman" w:hAnsi="Times New Roman" w:cs="Times New Roman"/>
      <w:kern w:val="2"/>
      <w:sz w:val="18"/>
      <w:szCs w:val="18"/>
    </w:rPr>
  </w:style>
  <w:style w:type="character" w:customStyle="1" w:styleId="16">
    <w:name w:val="批注框文本 Char"/>
    <w:basedOn w:val="8"/>
    <w:link w:val="4"/>
    <w:semiHidden/>
    <w:qFormat/>
    <w:locked/>
    <w:uiPriority w:val="99"/>
    <w:rPr>
      <w:rFonts w:ascii="Times New Roman" w:hAnsi="Times New Roman" w:cs="Times New Roman"/>
      <w:sz w:val="2"/>
    </w:rPr>
  </w:style>
  <w:style w:type="paragraph" w:customStyle="1" w:styleId="17">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31D70-2AAE-415B-97BA-35A88F02F88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1176</Words>
  <Characters>6707</Characters>
  <Lines>55</Lines>
  <Paragraphs>15</Paragraphs>
  <TotalTime>4063</TotalTime>
  <ScaleCrop>false</ScaleCrop>
  <LinksUpToDate>false</LinksUpToDate>
  <CharactersWithSpaces>7868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2018-09-13T07:55:00Z</dcterms:created>
  <dc:creator>Administrator</dc:creator>
  <cp:lastModifiedBy>倾说</cp:lastModifiedBy>
  <cp:lastPrinted>2021-01-14T08:20:00Z</cp:lastPrinted>
  <dcterms:modified xsi:type="dcterms:W3CDTF">2021-10-19T07:00:31Z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A864138047B945C3A1D7334261E1DFC4</vt:lpwstr>
  </property>
</Properties>
</file>