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85" w:lineRule="atLeast"/>
        <w:ind w:left="0" w:right="0" w:firstLine="645"/>
        <w:jc w:val="center"/>
        <w:rPr>
          <w:rStyle w:val="5"/>
          <w:rFonts w:ascii="方正仿宋简体" w:hAnsi="方正仿宋简体" w:eastAsia="方正仿宋简体" w:cs="方正仿宋简体"/>
          <w:sz w:val="44"/>
          <w:szCs w:val="44"/>
        </w:rPr>
      </w:pPr>
      <w:r>
        <w:rPr>
          <w:rStyle w:val="5"/>
          <w:rFonts w:hint="eastAsia" w:ascii="方正小标宋简体" w:hAnsi="方正小标宋简体" w:eastAsia="方正小标宋简体" w:cs="方正小标宋简体"/>
          <w:b/>
          <w:bCs w:val="0"/>
          <w:sz w:val="44"/>
          <w:szCs w:val="44"/>
        </w:rPr>
        <w:t>济宁市医疗保障局2021年政府信息公开工作年度报告</w:t>
      </w:r>
    </w:p>
    <w:p>
      <w:pPr>
        <w:pStyle w:val="2"/>
        <w:keepNext w:val="0"/>
        <w:keepLines w:val="0"/>
        <w:widowControl/>
        <w:suppressLineNumbers w:val="0"/>
        <w:spacing w:before="0" w:beforeAutospacing="0" w:after="0" w:afterAutospacing="0" w:line="585" w:lineRule="atLeast"/>
        <w:ind w:right="0"/>
        <w:rPr>
          <w:rStyle w:val="5"/>
          <w:rFonts w:ascii="方正仿宋简体" w:hAnsi="方正仿宋简体" w:eastAsia="方正仿宋简体" w:cs="方正仿宋简体"/>
          <w:sz w:val="31"/>
          <w:szCs w:val="31"/>
        </w:rPr>
      </w:pPr>
    </w:p>
    <w:p>
      <w:pPr>
        <w:pStyle w:val="2"/>
        <w:keepNext w:val="0"/>
        <w:keepLines w:val="0"/>
        <w:widowControl/>
        <w:suppressLineNumbers w:val="0"/>
        <w:spacing w:before="0" w:beforeAutospacing="0" w:after="0" w:afterAutospacing="0" w:line="585" w:lineRule="atLeast"/>
        <w:ind w:left="0" w:right="0" w:firstLine="645"/>
      </w:pPr>
      <w:r>
        <w:rPr>
          <w:rStyle w:val="5"/>
          <w:rFonts w:ascii="方正仿宋简体" w:hAnsi="方正仿宋简体" w:eastAsia="方正仿宋简体" w:cs="方正仿宋简体"/>
          <w:sz w:val="31"/>
          <w:szCs w:val="31"/>
        </w:rPr>
        <w:t>本报告由</w:t>
      </w:r>
      <w:r>
        <w:rPr>
          <w:rStyle w:val="5"/>
          <w:rFonts w:hint="eastAsia" w:ascii="方正仿宋简体" w:hAnsi="方正仿宋简体" w:eastAsia="方正仿宋简体" w:cs="方正仿宋简体"/>
          <w:sz w:val="31"/>
          <w:szCs w:val="31"/>
        </w:rPr>
        <w:t>济宁市医疗保障局按照《中华人民共和国政府信息公开条例》（以下简称《条例》）和《中华人民共和国政府信息公开工作年度报告格式》（国办公开办函〔</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w:t>
      </w:r>
      <w:r>
        <w:rPr>
          <w:rStyle w:val="5"/>
          <w:rFonts w:hint="default" w:ascii="Times New Roman" w:hAnsi="Times New Roman" w:cs="Times New Roman"/>
          <w:sz w:val="31"/>
          <w:szCs w:val="31"/>
        </w:rPr>
        <w:t>30</w:t>
      </w:r>
      <w:r>
        <w:rPr>
          <w:rStyle w:val="5"/>
          <w:rFonts w:hint="eastAsia" w:ascii="方正仿宋简体" w:hAnsi="方正仿宋简体" w:eastAsia="方正仿宋简体" w:cs="方正仿宋简体"/>
          <w:sz w:val="31"/>
          <w:szCs w:val="31"/>
        </w:rPr>
        <w:t>号）要求编制。</w:t>
      </w:r>
    </w:p>
    <w:p>
      <w:pPr>
        <w:pStyle w:val="2"/>
        <w:keepNext w:val="0"/>
        <w:keepLines w:val="0"/>
        <w:widowControl/>
        <w:suppressLineNumbers w:val="0"/>
        <w:spacing w:before="0" w:beforeAutospacing="0" w:after="0" w:afterAutospacing="0" w:line="585" w:lineRule="atLeast"/>
        <w:ind w:left="0" w:right="0" w:firstLine="645"/>
      </w:pPr>
      <w:r>
        <w:rPr>
          <w:rStyle w:val="5"/>
          <w:rFonts w:hint="eastAsia" w:ascii="方正仿宋简体" w:hAnsi="方正仿宋简体" w:eastAsia="方正仿宋简体" w:cs="方正仿宋简体"/>
          <w:sz w:val="31"/>
          <w:szCs w:val="31"/>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widowControl/>
        <w:suppressLineNumbers w:val="0"/>
        <w:spacing w:before="0" w:beforeAutospacing="0" w:after="0" w:afterAutospacing="0" w:line="420" w:lineRule="atLeast"/>
        <w:ind w:left="0" w:right="0" w:firstLine="645"/>
      </w:pPr>
      <w:r>
        <w:rPr>
          <w:rStyle w:val="5"/>
          <w:rFonts w:hint="eastAsia" w:ascii="方正仿宋简体" w:hAnsi="方正仿宋简体" w:eastAsia="方正仿宋简体" w:cs="方正仿宋简体"/>
          <w:sz w:val="31"/>
          <w:szCs w:val="31"/>
        </w:rPr>
        <w:t>本报告所列数据的统计期限自</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w:t>
      </w:r>
      <w:r>
        <w:rPr>
          <w:rStyle w:val="5"/>
          <w:rFonts w:hint="default" w:ascii="Times New Roman" w:hAnsi="Times New Roman" w:cs="Times New Roman"/>
          <w:sz w:val="31"/>
          <w:szCs w:val="31"/>
        </w:rPr>
        <w:t>1</w:t>
      </w:r>
      <w:r>
        <w:rPr>
          <w:rStyle w:val="5"/>
          <w:rFonts w:hint="eastAsia" w:ascii="方正仿宋简体" w:hAnsi="方正仿宋简体" w:eastAsia="方正仿宋简体" w:cs="方正仿宋简体"/>
          <w:sz w:val="31"/>
          <w:szCs w:val="31"/>
        </w:rPr>
        <w:t>月</w:t>
      </w:r>
      <w:r>
        <w:rPr>
          <w:rStyle w:val="5"/>
          <w:rFonts w:hint="default" w:ascii="Times New Roman" w:hAnsi="Times New Roman" w:cs="Times New Roman"/>
          <w:sz w:val="31"/>
          <w:szCs w:val="31"/>
        </w:rPr>
        <w:t>1</w:t>
      </w:r>
      <w:r>
        <w:rPr>
          <w:rStyle w:val="5"/>
          <w:rFonts w:hint="eastAsia" w:ascii="方正仿宋简体" w:hAnsi="方正仿宋简体" w:eastAsia="方正仿宋简体" w:cs="方正仿宋简体"/>
          <w:sz w:val="31"/>
          <w:szCs w:val="31"/>
        </w:rPr>
        <w:t>日起至</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w:t>
      </w:r>
      <w:r>
        <w:rPr>
          <w:rStyle w:val="5"/>
          <w:rFonts w:hint="default" w:ascii="Times New Roman" w:hAnsi="Times New Roman" w:cs="Times New Roman"/>
          <w:sz w:val="31"/>
          <w:szCs w:val="31"/>
        </w:rPr>
        <w:t>12</w:t>
      </w:r>
      <w:r>
        <w:rPr>
          <w:rStyle w:val="5"/>
          <w:rFonts w:hint="eastAsia" w:ascii="方正仿宋简体" w:hAnsi="方正仿宋简体" w:eastAsia="方正仿宋简体" w:cs="方正仿宋简体"/>
          <w:sz w:val="31"/>
          <w:szCs w:val="31"/>
        </w:rPr>
        <w:t>月</w:t>
      </w:r>
      <w:r>
        <w:rPr>
          <w:rStyle w:val="5"/>
          <w:rFonts w:hint="default" w:ascii="Times New Roman" w:hAnsi="Times New Roman" w:cs="Times New Roman"/>
          <w:sz w:val="31"/>
          <w:szCs w:val="31"/>
        </w:rPr>
        <w:t>31</w:t>
      </w:r>
      <w:r>
        <w:rPr>
          <w:rStyle w:val="5"/>
          <w:rFonts w:hint="eastAsia" w:ascii="方正仿宋简体" w:hAnsi="方正仿宋简体" w:eastAsia="方正仿宋简体" w:cs="方正仿宋简体"/>
          <w:sz w:val="31"/>
          <w:szCs w:val="31"/>
        </w:rPr>
        <w:t>日止。本报告电子版可在“中国·济宁”政府门户网站</w:t>
      </w:r>
      <w:r>
        <w:rPr>
          <w:rStyle w:val="5"/>
          <w:rFonts w:hint="default" w:ascii="Times New Roman" w:hAnsi="Times New Roman" w:cs="Times New Roman"/>
          <w:sz w:val="31"/>
          <w:szCs w:val="31"/>
        </w:rPr>
        <w:t>(https://www.jining.gov.cn/col/col61540/index.html?jh=263</w:t>
      </w:r>
      <w:r>
        <w:rPr>
          <w:rStyle w:val="5"/>
          <w:rFonts w:hint="eastAsia" w:ascii="方正仿宋简体" w:hAnsi="方正仿宋简体" w:eastAsia="方正仿宋简体" w:cs="方正仿宋简体"/>
          <w:sz w:val="31"/>
          <w:szCs w:val="31"/>
        </w:rPr>
        <w:t>）查阅或下载。如对本报告有疑问，请与济宁市医疗保障局联系（地址：济宁市太白湖新区省运会指挥中心</w:t>
      </w:r>
      <w:r>
        <w:rPr>
          <w:rStyle w:val="5"/>
          <w:rFonts w:hint="default" w:ascii="Times New Roman" w:hAnsi="Times New Roman" w:cs="Times New Roman"/>
          <w:sz w:val="31"/>
          <w:szCs w:val="31"/>
        </w:rPr>
        <w:t>B</w:t>
      </w:r>
      <w:r>
        <w:rPr>
          <w:rStyle w:val="5"/>
          <w:rFonts w:hint="eastAsia" w:ascii="方正仿宋简体" w:hAnsi="方正仿宋简体" w:eastAsia="方正仿宋简体" w:cs="方正仿宋简体"/>
          <w:sz w:val="31"/>
          <w:szCs w:val="31"/>
        </w:rPr>
        <w:t>区</w:t>
      </w:r>
      <w:r>
        <w:rPr>
          <w:rStyle w:val="5"/>
          <w:rFonts w:hint="default" w:ascii="Times New Roman" w:hAnsi="Times New Roman" w:cs="Times New Roman"/>
          <w:sz w:val="31"/>
          <w:szCs w:val="31"/>
        </w:rPr>
        <w:t>5</w:t>
      </w:r>
      <w:r>
        <w:rPr>
          <w:rStyle w:val="5"/>
          <w:rFonts w:hint="eastAsia" w:ascii="方正仿宋简体" w:hAnsi="方正仿宋简体" w:eastAsia="方正仿宋简体" w:cs="方正仿宋简体"/>
          <w:sz w:val="31"/>
          <w:szCs w:val="31"/>
        </w:rPr>
        <w:t>楼，联系电话：</w:t>
      </w:r>
      <w:r>
        <w:rPr>
          <w:rStyle w:val="5"/>
          <w:rFonts w:hint="default" w:ascii="Times New Roman" w:hAnsi="Times New Roman" w:cs="Times New Roman"/>
          <w:sz w:val="31"/>
          <w:szCs w:val="31"/>
        </w:rPr>
        <w:t>0537-2969500</w:t>
      </w:r>
      <w:r>
        <w:rPr>
          <w:rStyle w:val="5"/>
          <w:rFonts w:hint="eastAsia" w:ascii="方正仿宋简体" w:hAnsi="方正仿宋简体" w:eastAsia="方正仿宋简体" w:cs="方正仿宋简体"/>
          <w:sz w:val="31"/>
          <w:szCs w:val="31"/>
        </w:rPr>
        <w:t>）。</w:t>
      </w:r>
    </w:p>
    <w:p>
      <w:pPr>
        <w:pStyle w:val="2"/>
        <w:keepNext w:val="0"/>
        <w:keepLines w:val="0"/>
        <w:widowControl/>
        <w:suppressLineNumbers w:val="0"/>
        <w:spacing w:before="0" w:beforeAutospacing="0" w:after="0" w:afterAutospacing="0" w:line="585" w:lineRule="atLeast"/>
        <w:ind w:left="0" w:right="0" w:firstLine="645"/>
      </w:pPr>
      <w:r>
        <w:rPr>
          <w:rStyle w:val="5"/>
          <w:rFonts w:ascii="方正黑体简体" w:hAnsi="方正黑体简体" w:eastAsia="方正黑体简体" w:cs="方正黑体简体"/>
          <w:sz w:val="31"/>
          <w:szCs w:val="31"/>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45"/>
        <w:jc w:val="both"/>
      </w:pPr>
      <w:r>
        <w:rPr>
          <w:rStyle w:val="5"/>
          <w:rFonts w:ascii="仿宋_GB2312" w:eastAsia="仿宋_GB2312" w:cs="仿宋_GB2312"/>
          <w:spacing w:val="0"/>
          <w:sz w:val="31"/>
          <w:szCs w:val="31"/>
          <w:shd w:val="clear" w:fill="FFFFFF"/>
        </w:rPr>
        <w:t>医疗保障是事关人民群众健康福祉的重大民生工程，做好医疗保障政务公开工作是贯彻落实市委市政府有关医疗保障工作决策部署的重要举措和有力保障。</w:t>
      </w:r>
    </w:p>
    <w:p>
      <w:pPr>
        <w:pStyle w:val="2"/>
        <w:keepNext w:val="0"/>
        <w:keepLines w:val="0"/>
        <w:widowControl/>
        <w:suppressLineNumbers w:val="0"/>
        <w:spacing w:before="0" w:beforeAutospacing="0" w:after="0" w:afterAutospacing="0" w:line="585" w:lineRule="atLeast"/>
        <w:ind w:left="0" w:right="0" w:firstLine="645"/>
      </w:pPr>
      <w:r>
        <w:rPr>
          <w:rStyle w:val="5"/>
          <w:rFonts w:ascii="方正楷体简体" w:hAnsi="方正楷体简体" w:eastAsia="方正楷体简体" w:cs="方正楷体简体"/>
          <w:sz w:val="31"/>
          <w:szCs w:val="31"/>
        </w:rPr>
        <w:t>（一）主动公开情况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45"/>
        <w:jc w:val="both"/>
      </w:pPr>
      <w:r>
        <w:rPr>
          <w:rStyle w:val="5"/>
          <w:rFonts w:hint="default" w:ascii="Times New Roman" w:hAnsi="Times New Roman" w:cs="Times New Roman"/>
          <w:sz w:val="31"/>
          <w:szCs w:val="31"/>
          <w:shd w:val="clear" w:fill="FFFFFF"/>
        </w:rPr>
        <w:t>2021</w:t>
      </w:r>
      <w:r>
        <w:rPr>
          <w:rStyle w:val="5"/>
          <w:rFonts w:hint="eastAsia" w:ascii="方正仿宋简体" w:hAnsi="方正仿宋简体" w:eastAsia="方正仿宋简体" w:cs="方正仿宋简体"/>
          <w:sz w:val="31"/>
          <w:szCs w:val="31"/>
          <w:shd w:val="clear" w:fill="FFFFFF"/>
        </w:rPr>
        <w:t>年市医疗保障局主动公开部门文件</w:t>
      </w:r>
      <w:r>
        <w:rPr>
          <w:rStyle w:val="5"/>
          <w:rFonts w:hint="default" w:ascii="Times New Roman" w:hAnsi="Times New Roman" w:cs="Times New Roman"/>
          <w:sz w:val="31"/>
          <w:szCs w:val="31"/>
          <w:shd w:val="clear" w:fill="FFFFFF"/>
        </w:rPr>
        <w:t>29</w:t>
      </w:r>
      <w:r>
        <w:rPr>
          <w:rStyle w:val="5"/>
          <w:rFonts w:hint="eastAsia" w:ascii="方正仿宋简体" w:hAnsi="方正仿宋简体" w:eastAsia="方正仿宋简体" w:cs="方正仿宋简体"/>
          <w:sz w:val="31"/>
          <w:szCs w:val="31"/>
          <w:shd w:val="clear" w:fill="FFFFFF"/>
        </w:rPr>
        <w:t>个；政策解读</w:t>
      </w:r>
      <w:r>
        <w:rPr>
          <w:rStyle w:val="5"/>
          <w:rFonts w:hint="default" w:ascii="Times New Roman" w:hAnsi="Times New Roman" w:cs="Times New Roman"/>
          <w:sz w:val="31"/>
          <w:szCs w:val="31"/>
          <w:shd w:val="clear" w:fill="FFFFFF"/>
        </w:rPr>
        <w:t>6</w:t>
      </w:r>
      <w:r>
        <w:rPr>
          <w:rStyle w:val="5"/>
          <w:rFonts w:hint="eastAsia" w:ascii="方正仿宋简体" w:hAnsi="方正仿宋简体" w:eastAsia="方正仿宋简体" w:cs="方正仿宋简体"/>
          <w:sz w:val="31"/>
          <w:szCs w:val="31"/>
          <w:shd w:val="clear" w:fill="FFFFFF"/>
        </w:rPr>
        <w:t>条，医保服务信息</w:t>
      </w:r>
      <w:r>
        <w:rPr>
          <w:rStyle w:val="5"/>
          <w:rFonts w:hint="default" w:ascii="Times New Roman" w:hAnsi="Times New Roman" w:cs="Times New Roman"/>
          <w:sz w:val="31"/>
          <w:szCs w:val="31"/>
          <w:shd w:val="clear" w:fill="FFFFFF"/>
        </w:rPr>
        <w:t>7</w:t>
      </w:r>
      <w:r>
        <w:rPr>
          <w:rStyle w:val="5"/>
          <w:rFonts w:hint="eastAsia" w:ascii="方正仿宋简体" w:hAnsi="方正仿宋简体" w:eastAsia="方正仿宋简体" w:cs="方正仿宋简体"/>
          <w:sz w:val="31"/>
          <w:szCs w:val="31"/>
          <w:shd w:val="clear" w:fill="FFFFFF"/>
        </w:rPr>
        <w:t>条，建议提案办理信息</w:t>
      </w:r>
      <w:r>
        <w:rPr>
          <w:rStyle w:val="5"/>
          <w:rFonts w:hint="default" w:ascii="Times New Roman" w:hAnsi="Times New Roman" w:cs="Times New Roman"/>
          <w:sz w:val="31"/>
          <w:szCs w:val="31"/>
          <w:shd w:val="clear" w:fill="FFFFFF"/>
        </w:rPr>
        <w:t>5</w:t>
      </w:r>
      <w:r>
        <w:rPr>
          <w:rStyle w:val="5"/>
          <w:rFonts w:hint="eastAsia" w:ascii="方正仿宋简体" w:hAnsi="方正仿宋简体" w:eastAsia="方正仿宋简体" w:cs="方正仿宋简体"/>
          <w:sz w:val="31"/>
          <w:szCs w:val="31"/>
          <w:shd w:val="clear" w:fill="FFFFFF"/>
        </w:rPr>
        <w:t>条，人事财政信息</w:t>
      </w:r>
      <w:r>
        <w:rPr>
          <w:rStyle w:val="5"/>
          <w:rFonts w:hint="default" w:ascii="Times New Roman" w:hAnsi="Times New Roman" w:cs="Times New Roman"/>
          <w:sz w:val="31"/>
          <w:szCs w:val="31"/>
          <w:shd w:val="clear" w:fill="FFFFFF"/>
        </w:rPr>
        <w:t>10</w:t>
      </w:r>
      <w:r>
        <w:rPr>
          <w:rStyle w:val="5"/>
          <w:rFonts w:hint="eastAsia" w:ascii="方正仿宋简体" w:hAnsi="方正仿宋简体" w:eastAsia="方正仿宋简体" w:cs="方正仿宋简体"/>
          <w:sz w:val="31"/>
          <w:szCs w:val="31"/>
          <w:shd w:val="clear" w:fill="FFFFFF"/>
        </w:rPr>
        <w:t>条，其他信息</w:t>
      </w:r>
      <w:r>
        <w:rPr>
          <w:rStyle w:val="5"/>
          <w:rFonts w:hint="default" w:ascii="Times New Roman" w:hAnsi="Times New Roman" w:cs="Times New Roman"/>
          <w:sz w:val="31"/>
          <w:szCs w:val="31"/>
          <w:shd w:val="clear" w:fill="FFFFFF"/>
        </w:rPr>
        <w:t>36</w:t>
      </w:r>
      <w:r>
        <w:rPr>
          <w:rStyle w:val="5"/>
          <w:rFonts w:hint="eastAsia" w:ascii="方正仿宋简体" w:hAnsi="方正仿宋简体" w:eastAsia="方正仿宋简体" w:cs="方正仿宋简体"/>
          <w:sz w:val="31"/>
          <w:szCs w:val="31"/>
          <w:shd w:val="clear" w:fill="FFFFFF"/>
        </w:rPr>
        <w:t>条。本报告所列数据的统计期限自</w:t>
      </w:r>
      <w:r>
        <w:rPr>
          <w:rStyle w:val="5"/>
          <w:rFonts w:hint="default" w:ascii="Times New Roman" w:hAnsi="Times New Roman" w:cs="Times New Roman"/>
          <w:sz w:val="31"/>
          <w:szCs w:val="31"/>
          <w:shd w:val="clear" w:fill="FFFFFF"/>
        </w:rPr>
        <w:t>2021</w:t>
      </w:r>
      <w:r>
        <w:rPr>
          <w:rStyle w:val="5"/>
          <w:rFonts w:hint="eastAsia" w:ascii="方正仿宋简体" w:hAnsi="方正仿宋简体" w:eastAsia="方正仿宋简体" w:cs="方正仿宋简体"/>
          <w:sz w:val="31"/>
          <w:szCs w:val="31"/>
          <w:shd w:val="clear" w:fill="FFFFFF"/>
        </w:rPr>
        <w:t>年</w:t>
      </w:r>
      <w:r>
        <w:rPr>
          <w:rStyle w:val="5"/>
          <w:rFonts w:hint="default" w:ascii="Times New Roman" w:hAnsi="Times New Roman" w:cs="Times New Roman"/>
          <w:sz w:val="31"/>
          <w:szCs w:val="31"/>
          <w:shd w:val="clear" w:fill="FFFFFF"/>
        </w:rPr>
        <w:t>1</w:t>
      </w:r>
      <w:r>
        <w:rPr>
          <w:rStyle w:val="5"/>
          <w:rFonts w:hint="eastAsia" w:ascii="方正仿宋简体" w:hAnsi="方正仿宋简体" w:eastAsia="方正仿宋简体" w:cs="方正仿宋简体"/>
          <w:sz w:val="31"/>
          <w:szCs w:val="31"/>
          <w:shd w:val="clear" w:fill="FFFFFF"/>
        </w:rPr>
        <w:t>月</w:t>
      </w:r>
      <w:r>
        <w:rPr>
          <w:rStyle w:val="5"/>
          <w:rFonts w:hint="default" w:ascii="Times New Roman" w:hAnsi="Times New Roman" w:cs="Times New Roman"/>
          <w:sz w:val="31"/>
          <w:szCs w:val="31"/>
          <w:shd w:val="clear" w:fill="FFFFFF"/>
        </w:rPr>
        <w:t>1</w:t>
      </w:r>
      <w:r>
        <w:rPr>
          <w:rStyle w:val="5"/>
          <w:rFonts w:hint="eastAsia" w:ascii="方正仿宋简体" w:hAnsi="方正仿宋简体" w:eastAsia="方正仿宋简体" w:cs="方正仿宋简体"/>
          <w:sz w:val="31"/>
          <w:szCs w:val="31"/>
          <w:shd w:val="clear" w:fill="FFFFFF"/>
        </w:rPr>
        <w:t>日起至</w:t>
      </w:r>
      <w:r>
        <w:rPr>
          <w:rStyle w:val="5"/>
          <w:rFonts w:hint="default" w:ascii="Times New Roman" w:hAnsi="Times New Roman" w:cs="Times New Roman"/>
          <w:sz w:val="31"/>
          <w:szCs w:val="31"/>
          <w:shd w:val="clear" w:fill="FFFFFF"/>
        </w:rPr>
        <w:t>2021</w:t>
      </w:r>
      <w:r>
        <w:rPr>
          <w:rStyle w:val="5"/>
          <w:rFonts w:hint="eastAsia" w:ascii="方正仿宋简体" w:hAnsi="方正仿宋简体" w:eastAsia="方正仿宋简体" w:cs="方正仿宋简体"/>
          <w:sz w:val="31"/>
          <w:szCs w:val="31"/>
          <w:shd w:val="clear" w:fill="FFFFFF"/>
        </w:rPr>
        <w:t>年</w:t>
      </w:r>
      <w:r>
        <w:rPr>
          <w:rStyle w:val="5"/>
          <w:rFonts w:hint="default" w:ascii="Times New Roman" w:hAnsi="Times New Roman" w:cs="Times New Roman"/>
          <w:sz w:val="31"/>
          <w:szCs w:val="31"/>
          <w:shd w:val="clear" w:fill="FFFFFF"/>
        </w:rPr>
        <w:t>12</w:t>
      </w:r>
      <w:r>
        <w:rPr>
          <w:rStyle w:val="5"/>
          <w:rFonts w:hint="eastAsia" w:ascii="方正仿宋简体" w:hAnsi="方正仿宋简体" w:eastAsia="方正仿宋简体" w:cs="方正仿宋简体"/>
          <w:sz w:val="31"/>
          <w:szCs w:val="31"/>
          <w:shd w:val="clear" w:fill="FFFFFF"/>
        </w:rPr>
        <w:t>月</w:t>
      </w:r>
      <w:r>
        <w:rPr>
          <w:rStyle w:val="5"/>
          <w:rFonts w:hint="default" w:ascii="Times New Roman" w:hAnsi="Times New Roman" w:cs="Times New Roman"/>
          <w:sz w:val="31"/>
          <w:szCs w:val="31"/>
          <w:shd w:val="clear" w:fill="FFFFFF"/>
        </w:rPr>
        <w:t>31</w:t>
      </w:r>
      <w:r>
        <w:rPr>
          <w:rStyle w:val="5"/>
          <w:rFonts w:hint="eastAsia" w:ascii="方正仿宋简体" w:hAnsi="方正仿宋简体" w:eastAsia="方正仿宋简体" w:cs="方正仿宋简体"/>
          <w:sz w:val="31"/>
          <w:szCs w:val="31"/>
          <w:shd w:val="clear" w:fill="FFFFFF"/>
        </w:rPr>
        <w:t>日止。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45"/>
        <w:jc w:val="left"/>
      </w:pPr>
      <w:r>
        <w:rPr>
          <w:shd w:val="clear" w:fill="FFFFFF"/>
        </w:rPr>
        <w:t>                                            </w:t>
      </w:r>
      <w:r>
        <w:rPr>
          <w:shd w:val="clear" w:fill="FFFFFF"/>
        </w:rPr>
        <w:drawing>
          <wp:inline distT="0" distB="0" distL="114300" distR="114300">
            <wp:extent cx="5267325" cy="4514850"/>
            <wp:effectExtent l="0" t="0" r="9525"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5267325" cy="4514850"/>
                    </a:xfrm>
                    <a:prstGeom prst="rect">
                      <a:avLst/>
                    </a:prstGeom>
                    <a:noFill/>
                    <a:ln w="9525">
                      <a:noFill/>
                    </a:ln>
                  </pic:spPr>
                </pic:pic>
              </a:graphicData>
            </a:graphic>
          </wp:inline>
        </w:drawing>
      </w:r>
      <w:r>
        <w:rPr>
          <w:rStyle w:val="5"/>
          <w:rFonts w:hint="eastAsia" w:ascii="方正仿宋简体" w:hAnsi="方正仿宋简体" w:eastAsia="方正仿宋简体" w:cs="方正仿宋简体"/>
          <w:sz w:val="31"/>
          <w:szCs w:val="31"/>
          <w:shd w:val="clear" w:fill="FFFFFF"/>
        </w:rPr>
        <w:t> </w:t>
      </w:r>
    </w:p>
    <w:p>
      <w:pPr>
        <w:pStyle w:val="2"/>
        <w:keepNext w:val="0"/>
        <w:keepLines w:val="0"/>
        <w:widowControl/>
        <w:suppressLineNumbers w:val="0"/>
        <w:spacing w:before="0" w:beforeAutospacing="0" w:after="0" w:afterAutospacing="0" w:line="585" w:lineRule="atLeast"/>
        <w:ind w:left="0" w:right="0" w:firstLine="645"/>
      </w:pPr>
      <w:r>
        <w:rPr>
          <w:rStyle w:val="5"/>
          <w:rFonts w:hint="default" w:ascii="方正楷体简体" w:hAnsi="方正楷体简体" w:eastAsia="方正楷体简体" w:cs="方正楷体简体"/>
          <w:sz w:val="31"/>
          <w:szCs w:val="31"/>
        </w:rPr>
        <w:t>（二）依申请公开情况</w:t>
      </w:r>
    </w:p>
    <w:p>
      <w:pPr>
        <w:pStyle w:val="2"/>
        <w:keepNext w:val="0"/>
        <w:keepLines w:val="0"/>
        <w:widowControl/>
        <w:suppressLineNumbers w:val="0"/>
        <w:spacing w:before="0" w:beforeAutospacing="0" w:after="0" w:afterAutospacing="0" w:line="585" w:lineRule="atLeast"/>
        <w:ind w:left="0" w:right="0" w:firstLine="645"/>
      </w:pP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年，共受理依申请公开</w:t>
      </w:r>
      <w:r>
        <w:rPr>
          <w:rStyle w:val="5"/>
          <w:rFonts w:hint="default" w:ascii="Times New Roman" w:hAnsi="Times New Roman" w:cs="Times New Roman"/>
          <w:sz w:val="31"/>
          <w:szCs w:val="31"/>
        </w:rPr>
        <w:t>1</w:t>
      </w:r>
      <w:r>
        <w:rPr>
          <w:rStyle w:val="5"/>
          <w:rFonts w:hint="eastAsia" w:ascii="方正仿宋简体" w:hAnsi="方正仿宋简体" w:eastAsia="方正仿宋简体" w:cs="方正仿宋简体"/>
          <w:sz w:val="31"/>
          <w:szCs w:val="31"/>
        </w:rPr>
        <w:t>件，已在法定期限内予以答复，未收到以政府信息公开为由提起的行政诉讼。</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年，政府信息公开申请未向申请人收取任何费用。</w:t>
      </w:r>
    </w:p>
    <w:p>
      <w:pPr>
        <w:pStyle w:val="2"/>
        <w:keepNext w:val="0"/>
        <w:keepLines w:val="0"/>
        <w:widowControl/>
        <w:suppressLineNumbers w:val="0"/>
        <w:spacing w:before="0" w:beforeAutospacing="0" w:after="0" w:afterAutospacing="0" w:line="585" w:lineRule="atLeast"/>
        <w:ind w:left="0" w:right="0" w:firstLine="645"/>
      </w:pPr>
      <w:r>
        <w:rPr>
          <w:rStyle w:val="5"/>
          <w:rFonts w:hint="default" w:ascii="方正楷体简体" w:hAnsi="方正楷体简体" w:eastAsia="方正楷体简体" w:cs="方正楷体简体"/>
          <w:sz w:val="31"/>
          <w:szCs w:val="31"/>
        </w:rPr>
        <w:t>（三）政府信息管理情况</w:t>
      </w:r>
    </w:p>
    <w:p>
      <w:pPr>
        <w:pStyle w:val="2"/>
        <w:keepNext w:val="0"/>
        <w:keepLines w:val="0"/>
        <w:widowControl/>
        <w:suppressLineNumbers w:val="0"/>
        <w:spacing w:before="0" w:beforeAutospacing="0" w:after="0" w:afterAutospacing="0" w:line="585" w:lineRule="atLeast"/>
        <w:ind w:left="0" w:right="0" w:firstLine="645"/>
      </w:pPr>
      <w:r>
        <w:rPr>
          <w:rStyle w:val="5"/>
          <w:rFonts w:hint="eastAsia" w:ascii="方正仿宋简体" w:hAnsi="方正仿宋简体" w:eastAsia="方正仿宋简体" w:cs="方正仿宋简体"/>
          <w:sz w:val="31"/>
          <w:szCs w:val="31"/>
        </w:rPr>
        <w:t>不断丰富完善医疗保障主动公开目录，进一步明确政务公开内容和要求，拓展政府信息公开的广度和深度，聚焦“稳就业”“保民生”等医保政策，着重解读政策背景、决策依据、出台目的、重要举措等，压实科室、单位责任，推进医保行政决策、执行、管理、服务和结果全过程公开。</w:t>
      </w:r>
    </w:p>
    <w:p>
      <w:pPr>
        <w:pStyle w:val="2"/>
        <w:keepNext w:val="0"/>
        <w:keepLines w:val="0"/>
        <w:widowControl/>
        <w:suppressLineNumbers w:val="0"/>
        <w:spacing w:before="0" w:beforeAutospacing="0" w:after="0" w:afterAutospacing="0" w:line="585" w:lineRule="atLeast"/>
        <w:ind w:left="0" w:right="0" w:firstLine="645"/>
      </w:pPr>
      <w:r>
        <w:rPr>
          <w:rStyle w:val="5"/>
          <w:rFonts w:hint="default" w:ascii="方正楷体简体" w:hAnsi="方正楷体简体" w:eastAsia="方正楷体简体" w:cs="方正楷体简体"/>
          <w:sz w:val="31"/>
          <w:szCs w:val="31"/>
        </w:rPr>
        <w:t>（四）政府信息公开平台建设情况</w:t>
      </w:r>
    </w:p>
    <w:p>
      <w:pPr>
        <w:pStyle w:val="2"/>
        <w:keepNext w:val="0"/>
        <w:keepLines w:val="0"/>
        <w:widowControl/>
        <w:suppressLineNumbers w:val="0"/>
        <w:spacing w:before="0" w:beforeAutospacing="0" w:after="0" w:afterAutospacing="0" w:line="540" w:lineRule="atLeast"/>
        <w:ind w:left="0" w:right="0" w:firstLine="645"/>
      </w:pPr>
      <w:r>
        <w:rPr>
          <w:rStyle w:val="5"/>
          <w:rFonts w:hint="eastAsia" w:ascii="方正仿宋简体" w:hAnsi="方正仿宋简体" w:eastAsia="方正仿宋简体" w:cs="方正仿宋简体"/>
          <w:sz w:val="31"/>
          <w:szCs w:val="31"/>
        </w:rPr>
        <w:t>市医疗保障局不断加强平台建设，优化公开栏目设置，精简首页展示内容，突出重点栏目，强化信息查询功能，丰富重点领域公开内容。利用“民意</w:t>
      </w:r>
      <w:r>
        <w:rPr>
          <w:rStyle w:val="5"/>
          <w:rFonts w:hint="default" w:ascii="Times New Roman" w:hAnsi="Times New Roman" w:cs="Times New Roman"/>
          <w:sz w:val="31"/>
          <w:szCs w:val="31"/>
        </w:rPr>
        <w:t>5</w:t>
      </w:r>
      <w:r>
        <w:rPr>
          <w:rStyle w:val="5"/>
          <w:rFonts w:hint="eastAsia" w:ascii="方正仿宋简体" w:hAnsi="方正仿宋简体" w:eastAsia="方正仿宋简体" w:cs="方正仿宋简体"/>
          <w:sz w:val="31"/>
          <w:szCs w:val="31"/>
        </w:rPr>
        <w:t>来听”、驻村联建等活动，积极开展政务公开，发放医保政策宣传材料</w:t>
      </w:r>
      <w:r>
        <w:rPr>
          <w:rStyle w:val="5"/>
          <w:rFonts w:hint="default" w:ascii="Times New Roman" w:hAnsi="Times New Roman" w:cs="Times New Roman"/>
          <w:sz w:val="31"/>
          <w:szCs w:val="31"/>
        </w:rPr>
        <w:t>6000</w:t>
      </w:r>
      <w:r>
        <w:rPr>
          <w:rStyle w:val="5"/>
          <w:rFonts w:hint="eastAsia" w:ascii="方正仿宋简体" w:hAnsi="方正仿宋简体" w:eastAsia="方正仿宋简体" w:cs="方正仿宋简体"/>
          <w:sz w:val="31"/>
          <w:szCs w:val="31"/>
        </w:rPr>
        <w:t>余份。加强济宁市医疗保障局网站建设和“济宁医疗保障”微信公众号运营，第一时间发布部门动态及政策图文解读，以群众看得到、看得清、看得懂的方式，扩大公众知晓率，保障公众知情权。</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年网站及微信公众号发布政策解读</w:t>
      </w:r>
      <w:r>
        <w:rPr>
          <w:rStyle w:val="5"/>
          <w:rFonts w:hint="default" w:ascii="Times New Roman" w:hAnsi="Times New Roman" w:cs="Times New Roman"/>
          <w:sz w:val="31"/>
          <w:szCs w:val="31"/>
        </w:rPr>
        <w:t>6</w:t>
      </w:r>
      <w:r>
        <w:rPr>
          <w:rStyle w:val="5"/>
          <w:rFonts w:hint="eastAsia" w:ascii="方正仿宋简体" w:hAnsi="方正仿宋简体" w:eastAsia="方正仿宋简体" w:cs="方正仿宋简体"/>
          <w:sz w:val="31"/>
          <w:szCs w:val="31"/>
        </w:rPr>
        <w:t>篇，其中主要负责同志视频解读医保政策</w:t>
      </w:r>
      <w:r>
        <w:rPr>
          <w:rStyle w:val="5"/>
          <w:rFonts w:hint="default" w:ascii="Times New Roman" w:hAnsi="Times New Roman" w:cs="Times New Roman"/>
          <w:sz w:val="31"/>
          <w:szCs w:val="31"/>
        </w:rPr>
        <w:t>1</w:t>
      </w:r>
      <w:r>
        <w:rPr>
          <w:rStyle w:val="5"/>
          <w:rFonts w:hint="eastAsia" w:ascii="方正仿宋简体" w:hAnsi="方正仿宋简体" w:eastAsia="方正仿宋简体" w:cs="方正仿宋简体"/>
          <w:sz w:val="31"/>
          <w:szCs w:val="31"/>
        </w:rPr>
        <w:t>篇，媒体解读</w:t>
      </w:r>
      <w:r>
        <w:rPr>
          <w:rStyle w:val="5"/>
          <w:rFonts w:hint="default" w:ascii="Times New Roman" w:hAnsi="Times New Roman" w:cs="Times New Roman"/>
          <w:sz w:val="31"/>
          <w:szCs w:val="31"/>
        </w:rPr>
        <w:t>1</w:t>
      </w:r>
      <w:r>
        <w:rPr>
          <w:rStyle w:val="5"/>
          <w:rFonts w:hint="eastAsia" w:ascii="方正仿宋简体" w:hAnsi="方正仿宋简体" w:eastAsia="方正仿宋简体" w:cs="方正仿宋简体"/>
          <w:sz w:val="31"/>
          <w:szCs w:val="31"/>
        </w:rPr>
        <w:t>篇，图文解读</w:t>
      </w:r>
      <w:r>
        <w:rPr>
          <w:rStyle w:val="5"/>
          <w:rFonts w:hint="default" w:ascii="Times New Roman" w:hAnsi="Times New Roman" w:cs="Times New Roman"/>
          <w:sz w:val="31"/>
          <w:szCs w:val="31"/>
        </w:rPr>
        <w:t>1</w:t>
      </w:r>
      <w:r>
        <w:rPr>
          <w:rStyle w:val="5"/>
          <w:rFonts w:hint="eastAsia" w:ascii="方正仿宋简体" w:hAnsi="方正仿宋简体" w:eastAsia="方正仿宋简体" w:cs="方正仿宋简体"/>
          <w:sz w:val="31"/>
          <w:szCs w:val="31"/>
        </w:rPr>
        <w:t>篇。</w:t>
      </w:r>
    </w:p>
    <w:p>
      <w:pPr>
        <w:pStyle w:val="2"/>
        <w:keepNext w:val="0"/>
        <w:keepLines w:val="0"/>
        <w:widowControl/>
        <w:suppressLineNumbers w:val="0"/>
        <w:spacing w:before="0" w:beforeAutospacing="0" w:after="0" w:afterAutospacing="0" w:line="585" w:lineRule="atLeast"/>
        <w:ind w:left="0" w:right="0" w:firstLine="645"/>
      </w:pPr>
      <w:r>
        <w:rPr>
          <w:rStyle w:val="5"/>
          <w:rFonts w:hint="default" w:ascii="方正楷体简体" w:hAnsi="方正楷体简体" w:eastAsia="方正楷体简体" w:cs="方正楷体简体"/>
          <w:sz w:val="31"/>
          <w:szCs w:val="31"/>
        </w:rPr>
        <w:t>（五）监督保障情况</w:t>
      </w:r>
    </w:p>
    <w:p>
      <w:pPr>
        <w:pStyle w:val="2"/>
        <w:keepNext w:val="0"/>
        <w:keepLines w:val="0"/>
        <w:widowControl/>
        <w:suppressLineNumbers w:val="0"/>
        <w:spacing w:before="0" w:beforeAutospacing="0" w:after="0" w:afterAutospacing="0" w:line="540" w:lineRule="atLeast"/>
        <w:ind w:left="0" w:right="0" w:firstLine="645"/>
        <w:jc w:val="both"/>
      </w:pPr>
      <w:r>
        <w:rPr>
          <w:rStyle w:val="5"/>
          <w:rFonts w:hint="default" w:ascii="Times New Roman" w:hAnsi="Times New Roman" w:cs="Times New Roman"/>
          <w:sz w:val="31"/>
          <w:szCs w:val="31"/>
        </w:rPr>
        <w:t>12</w:t>
      </w:r>
      <w:r>
        <w:rPr>
          <w:rStyle w:val="5"/>
          <w:rFonts w:hint="eastAsia" w:ascii="方正仿宋简体" w:hAnsi="方正仿宋简体" w:eastAsia="方正仿宋简体" w:cs="方正仿宋简体"/>
          <w:sz w:val="31"/>
          <w:szCs w:val="31"/>
        </w:rPr>
        <w:t>月份，以视频会议形式对全市医疗保障系统</w:t>
      </w:r>
      <w:r>
        <w:rPr>
          <w:rStyle w:val="5"/>
          <w:rFonts w:hint="default" w:ascii="Times New Roman" w:hAnsi="Times New Roman" w:cs="Times New Roman"/>
          <w:sz w:val="31"/>
          <w:szCs w:val="31"/>
        </w:rPr>
        <w:t>60</w:t>
      </w:r>
      <w:r>
        <w:rPr>
          <w:rStyle w:val="5"/>
          <w:rFonts w:hint="eastAsia" w:ascii="方正仿宋简体" w:hAnsi="方正仿宋简体" w:eastAsia="方正仿宋简体" w:cs="方正仿宋简体"/>
          <w:sz w:val="31"/>
          <w:szCs w:val="31"/>
        </w:rPr>
        <w:t>余名政务公开工作人员进行了业务培训，提升全市医保系统政务公开业务能力。</w:t>
      </w:r>
    </w:p>
    <w:p>
      <w:pPr>
        <w:pStyle w:val="2"/>
        <w:keepNext w:val="0"/>
        <w:keepLines w:val="0"/>
        <w:widowControl/>
        <w:suppressLineNumbers w:val="0"/>
        <w:spacing w:before="0" w:beforeAutospacing="0" w:after="0" w:afterAutospacing="0" w:line="585" w:lineRule="atLeast"/>
        <w:ind w:left="0" w:right="0" w:firstLine="645"/>
      </w:pPr>
      <w:r>
        <w:rPr>
          <w:rStyle w:val="5"/>
          <w:rFonts w:hint="default" w:ascii="方正黑体简体" w:hAnsi="方正黑体简体" w:eastAsia="方正黑体简体" w:cs="方正黑体简体"/>
          <w:sz w:val="31"/>
          <w:szCs w:val="31"/>
        </w:rPr>
        <w:t>二、主动公开政府信息情况</w:t>
      </w:r>
    </w:p>
    <w:tbl>
      <w:tblPr>
        <w:tblStyle w:val="3"/>
        <w:tblW w:w="87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30"/>
        <w:gridCol w:w="2130"/>
        <w:gridCol w:w="2220"/>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信息内容</w:t>
            </w:r>
          </w:p>
        </w:tc>
        <w:tc>
          <w:tcPr>
            <w:tcW w:w="2130" w:type="dxa"/>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本年制发件数</w:t>
            </w:r>
          </w:p>
        </w:tc>
        <w:tc>
          <w:tcPr>
            <w:tcW w:w="2220" w:type="dxa"/>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本年废止件数</w:t>
            </w:r>
          </w:p>
        </w:tc>
        <w:tc>
          <w:tcPr>
            <w:tcW w:w="1995" w:type="dxa"/>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规章</w:t>
            </w:r>
          </w:p>
        </w:tc>
        <w:tc>
          <w:tcPr>
            <w:tcW w:w="2130"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pPr>
            <w:r>
              <w:rPr>
                <w:rStyle w:val="5"/>
                <w:rFonts w:ascii="Calibri" w:hAnsi="Calibri" w:cs="Calibri"/>
                <w:sz w:val="21"/>
                <w:szCs w:val="21"/>
              </w:rPr>
              <w:t>　　</w:t>
            </w:r>
            <w:r>
              <w:rPr>
                <w:rStyle w:val="5"/>
                <w:rFonts w:hint="eastAsia" w:ascii="方正仿宋简体" w:hAnsi="方正仿宋简体" w:eastAsia="方正仿宋简体" w:cs="方正仿宋简体"/>
                <w:sz w:val="24"/>
                <w:szCs w:val="24"/>
              </w:rPr>
              <w:t>0</w:t>
            </w:r>
          </w:p>
        </w:tc>
        <w:tc>
          <w:tcPr>
            <w:tcW w:w="2220"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pPr>
            <w:r>
              <w:rPr>
                <w:rStyle w:val="5"/>
                <w:rFonts w:hint="eastAsia" w:ascii="宋体" w:hAnsi="宋体" w:eastAsia="宋体" w:cs="宋体"/>
                <w:sz w:val="24"/>
                <w:szCs w:val="24"/>
              </w:rPr>
              <w:t> </w:t>
            </w:r>
            <w:r>
              <w:rPr>
                <w:rStyle w:val="5"/>
                <w:rFonts w:hint="eastAsia" w:ascii="方正仿宋简体" w:hAnsi="方正仿宋简体" w:eastAsia="方正仿宋简体" w:cs="方正仿宋简体"/>
                <w:sz w:val="24"/>
                <w:szCs w:val="24"/>
              </w:rPr>
              <w:t>　0</w:t>
            </w:r>
          </w:p>
        </w:tc>
        <w:tc>
          <w:tcPr>
            <w:tcW w:w="1995"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pPr>
            <w:r>
              <w:rPr>
                <w:rStyle w:val="5"/>
                <w:rFonts w:hint="default" w:ascii="Calibri" w:hAnsi="Calibri" w:cs="Calibri"/>
                <w:sz w:val="24"/>
                <w:szCs w:val="24"/>
              </w:rPr>
              <w:t> </w:t>
            </w:r>
            <w:r>
              <w:rPr>
                <w:rStyle w:val="5"/>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行政规范性文件</w:t>
            </w:r>
          </w:p>
        </w:tc>
        <w:tc>
          <w:tcPr>
            <w:tcW w:w="2130"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pPr>
            <w:r>
              <w:rPr>
                <w:rStyle w:val="5"/>
                <w:rFonts w:hint="default" w:ascii="Calibri" w:hAnsi="Calibri" w:cs="Calibri"/>
                <w:sz w:val="21"/>
                <w:szCs w:val="21"/>
              </w:rPr>
              <w:t>　　</w:t>
            </w:r>
            <w:r>
              <w:rPr>
                <w:rStyle w:val="5"/>
                <w:rFonts w:hint="eastAsia" w:ascii="方正仿宋简体" w:hAnsi="方正仿宋简体" w:eastAsia="方正仿宋简体" w:cs="方正仿宋简体"/>
                <w:sz w:val="24"/>
                <w:szCs w:val="24"/>
              </w:rPr>
              <w:t>2</w:t>
            </w:r>
          </w:p>
        </w:tc>
        <w:tc>
          <w:tcPr>
            <w:tcW w:w="2220"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pPr>
            <w:r>
              <w:rPr>
                <w:rStyle w:val="5"/>
                <w:rFonts w:hint="eastAsia" w:ascii="宋体" w:hAnsi="宋体" w:eastAsia="宋体" w:cs="宋体"/>
                <w:sz w:val="24"/>
                <w:szCs w:val="24"/>
              </w:rPr>
              <w:t> </w:t>
            </w:r>
            <w:r>
              <w:rPr>
                <w:rStyle w:val="5"/>
                <w:rFonts w:hint="eastAsia" w:ascii="方正仿宋简体" w:hAnsi="方正仿宋简体" w:eastAsia="方正仿宋简体" w:cs="方正仿宋简体"/>
                <w:sz w:val="24"/>
                <w:szCs w:val="24"/>
              </w:rPr>
              <w:t>　1</w:t>
            </w:r>
          </w:p>
        </w:tc>
        <w:tc>
          <w:tcPr>
            <w:tcW w:w="1995" w:type="dxa"/>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pPr>
            <w:r>
              <w:rPr>
                <w:rStyle w:val="5"/>
                <w:rFonts w:hint="default" w:ascii="Calibri" w:hAnsi="Calibri" w:cs="Calibri"/>
                <w:sz w:val="24"/>
                <w:szCs w:val="24"/>
              </w:rPr>
              <w:t> </w:t>
            </w:r>
            <w:r>
              <w:rPr>
                <w:rStyle w:val="5"/>
                <w:rFonts w:hint="eastAsia" w:ascii="方正仿宋简体" w:hAnsi="方正仿宋简体" w:eastAsia="方正仿宋简体" w:cs="方正仿宋简体"/>
                <w:sz w:val="24"/>
                <w:szCs w:val="24"/>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行政许可</w:t>
            </w:r>
          </w:p>
        </w:tc>
        <w:tc>
          <w:tcPr>
            <w:tcW w:w="6345" w:type="dxa"/>
            <w:gridSpan w:val="3"/>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firstLine="240"/>
            </w:pPr>
            <w:r>
              <w:rPr>
                <w:rStyle w:val="5"/>
                <w:rFonts w:hint="default" w:ascii="Calibri" w:hAnsi="Calibri" w:cs="Calibri"/>
                <w:sz w:val="24"/>
                <w:szCs w:val="24"/>
              </w:rPr>
              <w:t> </w:t>
            </w:r>
            <w:r>
              <w:rPr>
                <w:rStyle w:val="5"/>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行政处罚</w:t>
            </w:r>
          </w:p>
        </w:tc>
        <w:tc>
          <w:tcPr>
            <w:tcW w:w="6345" w:type="dxa"/>
            <w:gridSpan w:val="3"/>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firstLine="240"/>
            </w:pPr>
            <w:r>
              <w:rPr>
                <w:rStyle w:val="5"/>
                <w:rFonts w:hint="eastAsia" w:ascii="方正仿宋简体" w:hAnsi="方正仿宋简体" w:eastAsia="方正仿宋简体" w:cs="方正仿宋简体"/>
                <w:sz w:val="24"/>
                <w:szCs w:val="24"/>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行政强制</w:t>
            </w:r>
          </w:p>
        </w:tc>
        <w:tc>
          <w:tcPr>
            <w:tcW w:w="6345" w:type="dxa"/>
            <w:gridSpan w:val="3"/>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firstLine="240"/>
            </w:pPr>
            <w:r>
              <w:rPr>
                <w:rStyle w:val="5"/>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eastAsia" w:ascii="方正仿宋简体" w:hAnsi="方正仿宋简体" w:eastAsia="方正仿宋简体" w:cs="方正仿宋简体"/>
                <w:sz w:val="24"/>
                <w:szCs w:val="24"/>
              </w:rPr>
              <w:t>行政事业性收费</w:t>
            </w:r>
          </w:p>
        </w:tc>
        <w:tc>
          <w:tcPr>
            <w:tcW w:w="6345" w:type="dxa"/>
            <w:gridSpan w:val="3"/>
            <w:tcBorders>
              <w:top w:val="nil"/>
              <w:left w:val="nil"/>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pPr>
            <w:r>
              <w:rPr>
                <w:rStyle w:val="5"/>
                <w:rFonts w:hint="eastAsia" w:ascii="方正仿宋简体" w:hAnsi="方正仿宋简体" w:eastAsia="方正仿宋简体" w:cs="方正仿宋简体"/>
                <w:sz w:val="24"/>
                <w:szCs w:val="24"/>
              </w:rPr>
              <w:t>0</w:t>
            </w:r>
          </w:p>
        </w:tc>
      </w:tr>
    </w:tbl>
    <w:p>
      <w:pPr>
        <w:pStyle w:val="2"/>
        <w:keepNext w:val="0"/>
        <w:keepLines w:val="0"/>
        <w:widowControl/>
        <w:suppressLineNumbers w:val="0"/>
        <w:spacing w:before="60" w:beforeAutospacing="0" w:after="60" w:afterAutospacing="0" w:line="600" w:lineRule="atLeast"/>
        <w:ind w:left="0" w:right="0" w:firstLine="645"/>
      </w:pPr>
      <w:r>
        <w:rPr>
          <w:rStyle w:val="5"/>
          <w:rFonts w:hint="default" w:ascii="方正黑体简体" w:hAnsi="方正黑体简体" w:eastAsia="方正黑体简体" w:cs="方正黑体简体"/>
          <w:sz w:val="31"/>
          <w:szCs w:val="31"/>
        </w:rPr>
        <w:t>三、收到和处理政府信息公开申请情况</w:t>
      </w:r>
    </w:p>
    <w:tbl>
      <w:tblPr>
        <w:tblStyle w:val="3"/>
        <w:tblW w:w="88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5"/>
        <w:gridCol w:w="945"/>
        <w:gridCol w:w="2880"/>
        <w:gridCol w:w="795"/>
        <w:gridCol w:w="600"/>
        <w:gridCol w:w="585"/>
        <w:gridCol w:w="600"/>
        <w:gridCol w:w="570"/>
        <w:gridCol w:w="555"/>
        <w:gridCol w:w="52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（本列数据的勾稽关系为：第一项加第二项之和，等于第三项加第四项之和）</w:t>
            </w:r>
          </w:p>
        </w:tc>
        <w:tc>
          <w:tcPr>
            <w:tcW w:w="4230"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9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自然人</w:t>
            </w:r>
          </w:p>
        </w:tc>
        <w:tc>
          <w:tcPr>
            <w:tcW w:w="2910"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法人或其他组织</w:t>
            </w:r>
          </w:p>
        </w:tc>
        <w:tc>
          <w:tcPr>
            <w:tcW w:w="525" w:type="dxa"/>
            <w:vMerge w:val="restar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9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企业</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机构</w:t>
            </w:r>
          </w:p>
        </w:tc>
        <w:tc>
          <w:tcPr>
            <w:tcW w:w="60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社会公益组织</w:t>
            </w:r>
          </w:p>
        </w:tc>
        <w:tc>
          <w:tcPr>
            <w:tcW w:w="57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法律服务机构</w:t>
            </w:r>
          </w:p>
        </w:tc>
        <w:tc>
          <w:tcPr>
            <w:tcW w:w="55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方正黑体简体" w:hAnsi="方正黑体简体" w:eastAsia="方正黑体简体" w:cs="方正黑体简体"/>
                <w:sz w:val="21"/>
                <w:szCs w:val="21"/>
              </w:rPr>
              <w:t>其他</w:t>
            </w:r>
          </w:p>
        </w:tc>
        <w:tc>
          <w:tcPr>
            <w:tcW w:w="525" w:type="dxa"/>
            <w:vMerge w:val="continue"/>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一、本年新收政府信息公开申请数量</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1</w:t>
            </w:r>
            <w:r>
              <w:rPr>
                <w:rStyle w:val="5"/>
                <w:rFonts w:hint="default" w:ascii="Calibri" w:hAnsi="Calibri" w:cs="Calibri"/>
                <w:sz w:val="21"/>
                <w:szCs w:val="21"/>
              </w:rPr>
              <w:t> </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0" w:hRule="atLeast"/>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二、上年结转政府信息公开申请数量</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210"/>
              <w:jc w:val="both"/>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三、本年度办理结果</w:t>
            </w:r>
          </w:p>
        </w:tc>
        <w:tc>
          <w:tcPr>
            <w:tcW w:w="382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（一）予以公开</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1</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0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382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（二）部分公开（区分处理的，只计这一情形，不计其他情形）</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210"/>
              <w:jc w:val="both"/>
            </w:pPr>
            <w:r>
              <w:rPr>
                <w:rStyle w:val="5"/>
                <w:rFonts w:hint="eastAsia" w:ascii="方正仿宋简体" w:hAnsi="方正仿宋简体" w:eastAsia="方正仿宋简体" w:cs="方正仿宋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（三）不予公开</w:t>
            </w: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1.属于国家秘密</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2.其他法律行政法规禁止公开</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3.危及“三安全一稳定”</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4.保护第三方合法权益</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5.属于三类内部事务信息</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6.属于四类过程性信息</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7.属于行政执法案卷</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8.属于行政查询事项</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（四）无法提供</w:t>
            </w: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1.本机关不掌握相关政府信息</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2.没有现成信息需要另行制作</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3.补正后申请内容仍不明确</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 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keepNext w:val="0"/>
              <w:keepLines w:val="0"/>
              <w:widowControl/>
              <w:suppressLineNumbers w:val="0"/>
              <w:jc w:val="left"/>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（五）不予处理</w:t>
            </w: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1.信访举报投诉类申请</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 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2.重复申请</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 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3.要求提供公开出版物</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 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4.无正当理由大量反复申请</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 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0"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5.要求行政机关确认或重新出具已获取信息</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（六）其他处理</w:t>
            </w: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1.申请人无正当理由逾期不补正、行政机关不再处理其政府信息公开申请</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2.申请人逾期未按收费通知要求缴纳费用、行政机关不再处理其政府信息公开申请</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3.其他</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 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382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（七）总计</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1</w:t>
            </w:r>
            <w:r>
              <w:rPr>
                <w:rStyle w:val="5"/>
                <w:rFonts w:hint="default" w:ascii="Calibri" w:hAnsi="Calibri" w:cs="Calibri"/>
                <w:sz w:val="21"/>
                <w:szCs w:val="21"/>
              </w:rPr>
              <w:t> </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r>
              <w:rPr>
                <w:rStyle w:val="5"/>
                <w:rFonts w:hint="default" w:ascii="Calibri" w:hAnsi="Calibri" w:cs="Calibri"/>
                <w:sz w:val="21"/>
                <w:szCs w:val="21"/>
              </w:rPr>
              <w:t> </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pPr>
            <w:r>
              <w:rPr>
                <w:rStyle w:val="5"/>
                <w:rFonts w:hint="eastAsia" w:ascii="方正仿宋简体" w:hAnsi="方正仿宋简体" w:eastAsia="方正仿宋简体" w:cs="方正仿宋简体"/>
                <w:sz w:val="21"/>
                <w:szCs w:val="21"/>
              </w:rPr>
              <w:t>四、结转下年度继续办理</w:t>
            </w:r>
          </w:p>
        </w:tc>
        <w:tc>
          <w:tcPr>
            <w:tcW w:w="79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 0</w:t>
            </w:r>
          </w:p>
        </w:tc>
        <w:tc>
          <w:tcPr>
            <w:tcW w:w="58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default" w:ascii="Calibri" w:hAnsi="Calibri" w:cs="Calibri"/>
                <w:sz w:val="21"/>
                <w:szCs w:val="21"/>
              </w:rPr>
              <w:t> </w:t>
            </w:r>
            <w:r>
              <w:rPr>
                <w:rStyle w:val="5"/>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5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c>
          <w:tcPr>
            <w:tcW w:w="52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pPr>
            <w:r>
              <w:rPr>
                <w:rStyle w:val="5"/>
                <w:rFonts w:hint="eastAsia" w:ascii="方正仿宋简体" w:hAnsi="方正仿宋简体" w:eastAsia="方正仿宋简体" w:cs="方正仿宋简体"/>
                <w:sz w:val="21"/>
                <w:szCs w:val="21"/>
              </w:rPr>
              <w:t> 0</w:t>
            </w:r>
            <w:r>
              <w:rPr>
                <w:rStyle w:val="5"/>
                <w:rFonts w:hint="default" w:ascii="Calibri" w:hAnsi="Calibri" w:cs="Calibri"/>
                <w:sz w:val="21"/>
                <w:szCs w:val="21"/>
              </w:rPr>
              <w:t> </w:t>
            </w:r>
          </w:p>
        </w:tc>
      </w:tr>
    </w:tbl>
    <w:p>
      <w:pPr>
        <w:pStyle w:val="2"/>
        <w:keepNext w:val="0"/>
        <w:keepLines w:val="0"/>
        <w:widowControl/>
        <w:suppressLineNumbers w:val="0"/>
        <w:spacing w:before="0" w:beforeAutospacing="0" w:after="0" w:afterAutospacing="0" w:line="585" w:lineRule="atLeast"/>
        <w:ind w:left="0" w:right="0" w:firstLine="645"/>
      </w:pPr>
      <w:r>
        <w:rPr>
          <w:rStyle w:val="5"/>
          <w:rFonts w:hint="default" w:ascii="方正黑体简体" w:hAnsi="方正黑体简体" w:eastAsia="方正黑体简体" w:cs="方正黑体简体"/>
          <w:sz w:val="31"/>
          <w:szCs w:val="31"/>
        </w:rPr>
        <w:t>四、政府信息公开行政复议、行政诉讼情况</w:t>
      </w:r>
    </w:p>
    <w:tbl>
      <w:tblPr>
        <w:tblStyle w:val="3"/>
        <w:tblW w:w="880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3"/>
        <w:gridCol w:w="613"/>
        <w:gridCol w:w="598"/>
        <w:gridCol w:w="584"/>
        <w:gridCol w:w="480"/>
        <w:gridCol w:w="644"/>
        <w:gridCol w:w="644"/>
        <w:gridCol w:w="644"/>
        <w:gridCol w:w="629"/>
        <w:gridCol w:w="450"/>
        <w:gridCol w:w="644"/>
        <w:gridCol w:w="644"/>
        <w:gridCol w:w="644"/>
        <w:gridCol w:w="554"/>
        <w:gridCol w:w="4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结果维持</w:t>
            </w: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其他</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尚未</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总计</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8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46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结果</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结果</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其他</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结果</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尚未</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审结</w:t>
            </w:r>
          </w:p>
        </w:tc>
        <w:tc>
          <w:tcPr>
            <w:tcW w:w="4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结果</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结果</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其他</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尚未</w:t>
            </w:r>
            <w:r>
              <w:rPr>
                <w:rStyle w:val="5"/>
                <w:rFonts w:hint="default" w:ascii="方正黑体简体" w:hAnsi="方正黑体简体" w:eastAsia="方正黑体简体" w:cs="方正黑体简体"/>
                <w:sz w:val="21"/>
                <w:szCs w:val="21"/>
              </w:rPr>
              <w:br w:type="textWrapping"/>
            </w:r>
            <w:r>
              <w:rPr>
                <w:rStyle w:val="5"/>
                <w:rFonts w:hint="default" w:ascii="方正黑体简体" w:hAnsi="方正黑体简体" w:eastAsia="方正黑体简体" w:cs="方正黑体简体"/>
                <w:sz w:val="21"/>
                <w:szCs w:val="21"/>
              </w:rPr>
              <w:t>审结</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5" w:hRule="atLeast"/>
          <w:jc w:val="center"/>
        </w:trPr>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4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4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pPr>
            <w:r>
              <w:rPr>
                <w:rStyle w:val="5"/>
                <w:rFonts w:hint="default" w:ascii="方正黑体简体" w:hAnsi="方正黑体简体" w:eastAsia="方正黑体简体" w:cs="方正黑体简体"/>
                <w:sz w:val="21"/>
                <w:szCs w:val="21"/>
              </w:rPr>
              <w:t>0</w:t>
            </w:r>
          </w:p>
        </w:tc>
      </w:tr>
    </w:tbl>
    <w:p>
      <w:pPr>
        <w:pStyle w:val="2"/>
        <w:keepNext w:val="0"/>
        <w:keepLines w:val="0"/>
        <w:widowControl/>
        <w:suppressLineNumbers w:val="0"/>
        <w:spacing w:before="0" w:beforeAutospacing="0" w:after="0" w:afterAutospacing="0" w:line="585" w:lineRule="atLeast"/>
        <w:ind w:left="0" w:right="0" w:firstLine="645"/>
      </w:pPr>
      <w:r>
        <w:rPr>
          <w:rStyle w:val="5"/>
          <w:rFonts w:hint="default" w:ascii="方正黑体简体" w:hAnsi="方正黑体简体" w:eastAsia="方正黑体简体" w:cs="方正黑体简体"/>
          <w:sz w:val="31"/>
          <w:szCs w:val="31"/>
        </w:rPr>
        <w:t>五、存在的主要问题及改进情况</w:t>
      </w:r>
    </w:p>
    <w:p>
      <w:pPr>
        <w:pStyle w:val="2"/>
        <w:keepNext w:val="0"/>
        <w:keepLines w:val="0"/>
        <w:widowControl/>
        <w:suppressLineNumbers w:val="0"/>
        <w:spacing w:before="0" w:beforeAutospacing="0" w:after="0" w:afterAutospacing="0" w:line="600" w:lineRule="atLeast"/>
        <w:ind w:left="0" w:right="0" w:firstLine="645"/>
      </w:pPr>
      <w:r>
        <w:rPr>
          <w:rStyle w:val="5"/>
          <w:rFonts w:hint="eastAsia" w:ascii="方正仿宋简体" w:hAnsi="方正仿宋简体" w:eastAsia="方正仿宋简体" w:cs="方正仿宋简体"/>
          <w:sz w:val="31"/>
          <w:szCs w:val="31"/>
        </w:rPr>
        <w:t>存在问题：政务公开工作人员流动大，业务水平参差不齐。</w:t>
      </w:r>
    </w:p>
    <w:p>
      <w:pPr>
        <w:pStyle w:val="2"/>
        <w:keepNext w:val="0"/>
        <w:keepLines w:val="0"/>
        <w:widowControl/>
        <w:suppressLineNumbers w:val="0"/>
        <w:spacing w:before="0" w:beforeAutospacing="0" w:after="0" w:afterAutospacing="0" w:line="600" w:lineRule="atLeast"/>
        <w:ind w:left="0" w:right="0" w:firstLine="645"/>
      </w:pPr>
      <w:r>
        <w:rPr>
          <w:rStyle w:val="5"/>
          <w:rFonts w:hint="eastAsia" w:ascii="方正仿宋简体" w:hAnsi="方正仿宋简体" w:eastAsia="方正仿宋简体" w:cs="方正仿宋简体"/>
          <w:sz w:val="31"/>
          <w:szCs w:val="31"/>
        </w:rPr>
        <w:t>改进情况：压实科室、单位工作责任，相对明确工作人员，加大培训力度，提升全市医保政务公开整体业务能力。</w:t>
      </w:r>
    </w:p>
    <w:p>
      <w:pPr>
        <w:pStyle w:val="2"/>
        <w:keepNext w:val="0"/>
        <w:keepLines w:val="0"/>
        <w:widowControl/>
        <w:suppressLineNumbers w:val="0"/>
        <w:spacing w:before="0" w:beforeAutospacing="0" w:after="0" w:afterAutospacing="0" w:line="585" w:lineRule="atLeast"/>
        <w:ind w:left="0" w:right="0" w:firstLine="645"/>
      </w:pPr>
      <w:r>
        <w:rPr>
          <w:rStyle w:val="5"/>
          <w:rFonts w:hint="default" w:ascii="方正黑体简体" w:hAnsi="方正黑体简体" w:eastAsia="方正黑体简体" w:cs="方正黑体简体"/>
          <w:sz w:val="31"/>
          <w:szCs w:val="31"/>
        </w:rPr>
        <w:t>六、其他需要报告的事项</w:t>
      </w:r>
    </w:p>
    <w:p>
      <w:pPr>
        <w:pStyle w:val="2"/>
        <w:keepNext w:val="0"/>
        <w:keepLines w:val="0"/>
        <w:widowControl/>
        <w:suppressLineNumbers w:val="0"/>
        <w:spacing w:before="0" w:beforeAutospacing="0" w:after="0" w:afterAutospacing="0" w:line="585" w:lineRule="atLeast"/>
        <w:ind w:left="0" w:right="0" w:firstLine="645"/>
      </w:pPr>
      <w:r>
        <w:rPr>
          <w:rStyle w:val="5"/>
          <w:rFonts w:hint="eastAsia" w:ascii="方正仿宋简体" w:hAnsi="方正仿宋简体" w:eastAsia="方正仿宋简体" w:cs="方正仿宋简体"/>
          <w:sz w:val="31"/>
          <w:szCs w:val="31"/>
        </w:rPr>
        <w:t>（一）</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年度市医疗保障局无收取信息处理费的情况；</w:t>
      </w:r>
    </w:p>
    <w:p>
      <w:pPr>
        <w:pStyle w:val="2"/>
        <w:keepNext w:val="0"/>
        <w:keepLines w:val="0"/>
        <w:widowControl/>
        <w:suppressLineNumbers w:val="0"/>
        <w:spacing w:before="0" w:beforeAutospacing="0" w:after="0" w:afterAutospacing="0" w:line="600" w:lineRule="atLeast"/>
        <w:ind w:left="0" w:right="0" w:firstLine="645"/>
      </w:pPr>
      <w:r>
        <w:rPr>
          <w:rStyle w:val="5"/>
          <w:rFonts w:hint="eastAsia" w:ascii="方正仿宋简体" w:hAnsi="方正仿宋简体" w:eastAsia="方正仿宋简体" w:cs="方正仿宋简体"/>
          <w:sz w:val="31"/>
          <w:szCs w:val="31"/>
        </w:rPr>
        <w:t>（二）</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年市医疗保障局高度重视政务公开工作，严格落实政务公开工作责任制，围绕政务公开重点任务，加强人员配备和保障。各科室、单位明确专人负责，有利保障了各项公开任务顺利完成。</w:t>
      </w:r>
    </w:p>
    <w:p>
      <w:pPr>
        <w:pStyle w:val="2"/>
        <w:keepNext w:val="0"/>
        <w:keepLines w:val="0"/>
        <w:widowControl/>
        <w:suppressLineNumbers w:val="0"/>
        <w:spacing w:before="0" w:beforeAutospacing="0" w:after="0" w:afterAutospacing="0" w:line="585" w:lineRule="atLeast"/>
        <w:ind w:left="0" w:right="0" w:firstLine="645"/>
      </w:pPr>
      <w:r>
        <w:rPr>
          <w:rStyle w:val="5"/>
          <w:rFonts w:hint="eastAsia" w:ascii="方正仿宋简体" w:hAnsi="方正仿宋简体" w:eastAsia="方正仿宋简体" w:cs="方正仿宋简体"/>
          <w:sz w:val="31"/>
          <w:szCs w:val="31"/>
        </w:rPr>
        <w:t>（三）</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年，市医疗保障局共接到办理人大建议</w:t>
      </w:r>
      <w:r>
        <w:rPr>
          <w:rStyle w:val="5"/>
          <w:rFonts w:hint="default" w:ascii="Times New Roman" w:hAnsi="Times New Roman" w:cs="Times New Roman"/>
          <w:sz w:val="31"/>
          <w:szCs w:val="31"/>
        </w:rPr>
        <w:t>2</w:t>
      </w:r>
      <w:r>
        <w:rPr>
          <w:rStyle w:val="5"/>
          <w:rFonts w:hint="eastAsia" w:ascii="方正仿宋简体" w:hAnsi="方正仿宋简体" w:eastAsia="方正仿宋简体" w:cs="方正仿宋简体"/>
          <w:sz w:val="31"/>
          <w:szCs w:val="31"/>
        </w:rPr>
        <w:t>件，政协提案</w:t>
      </w:r>
      <w:r>
        <w:rPr>
          <w:rStyle w:val="5"/>
          <w:rFonts w:hint="default" w:ascii="Times New Roman" w:hAnsi="Times New Roman" w:cs="Times New Roman"/>
          <w:sz w:val="31"/>
          <w:szCs w:val="31"/>
        </w:rPr>
        <w:t>5</w:t>
      </w:r>
      <w:r>
        <w:rPr>
          <w:rStyle w:val="5"/>
          <w:rFonts w:hint="eastAsia" w:ascii="方正仿宋简体" w:hAnsi="方正仿宋简体" w:eastAsia="方正仿宋简体" w:cs="方正仿宋简体"/>
          <w:sz w:val="31"/>
          <w:szCs w:val="31"/>
        </w:rPr>
        <w:t>件。市医疗保障局高度重视建议、提案办理工作，成立了建议提案办理工作领导小组，层层压实责任，扎实有序推进办理工作，并多次召开会议进行集体研究，充分调动全局干部职工的积极性、主动性，组织开展实地调研，针对不同情况，把握实质问题，分别采取不同的形式、措施和办法，使办理工作更加富有针对性和实效性，确实提高建议提案办理质量。</w:t>
      </w:r>
    </w:p>
    <w:p>
      <w:pPr>
        <w:pStyle w:val="2"/>
        <w:keepNext w:val="0"/>
        <w:keepLines w:val="0"/>
        <w:widowControl/>
        <w:suppressLineNumbers w:val="0"/>
        <w:spacing w:before="0" w:beforeAutospacing="0" w:after="0" w:afterAutospacing="0" w:line="555" w:lineRule="atLeast"/>
        <w:ind w:left="0" w:right="0" w:firstLine="645"/>
      </w:pPr>
      <w:r>
        <w:rPr>
          <w:rStyle w:val="5"/>
          <w:rFonts w:hint="eastAsia" w:ascii="方正仿宋简体" w:hAnsi="方正仿宋简体" w:eastAsia="方正仿宋简体" w:cs="方正仿宋简体"/>
          <w:sz w:val="31"/>
          <w:szCs w:val="31"/>
        </w:rPr>
        <w:t>（四）</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市医疗保障局通过权力运行全过程公开、政务服务全流程公开、社会关切全方位回应，努力开创我市医疗保障政务公开新局面；通过开展济宁市医疗保障领域“政府开放日”活动，向人大代表、政协委员、媒体代表、群众代表，展现我市医疗保障工作新气象；通过编印济宁市</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版《医疗保障领域政府信息公开服务手册》，切实增强人民群众对政策信息服务的获得感，创新政务公开精准服务，实现政府信息定制化分众化推送，稳步打造济宁医保政务公开服务品牌。</w:t>
      </w:r>
    </w:p>
    <w:p>
      <w:pPr>
        <w:pStyle w:val="2"/>
        <w:keepNext w:val="0"/>
        <w:keepLines w:val="0"/>
        <w:widowControl/>
        <w:suppressLineNumbers w:val="0"/>
        <w:spacing w:before="0" w:beforeAutospacing="0" w:after="0" w:afterAutospacing="0" w:line="585" w:lineRule="atLeast"/>
        <w:ind w:left="0" w:right="0" w:firstLine="645"/>
      </w:pPr>
      <w:r>
        <w:rPr>
          <w:rStyle w:val="5"/>
          <w:rFonts w:hint="eastAsia" w:ascii="方正仿宋简体" w:hAnsi="方正仿宋简体" w:eastAsia="方正仿宋简体" w:cs="方正仿宋简体"/>
          <w:sz w:val="31"/>
          <w:szCs w:val="31"/>
        </w:rPr>
        <w:t>（五）</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年度市医疗保障局无政府信息公开工作年度报告数据统计需要说明的事项；</w:t>
      </w:r>
    </w:p>
    <w:p>
      <w:pPr>
        <w:pStyle w:val="2"/>
        <w:keepNext w:val="0"/>
        <w:keepLines w:val="0"/>
        <w:widowControl/>
        <w:suppressLineNumbers w:val="0"/>
        <w:spacing w:before="0" w:beforeAutospacing="0" w:after="0" w:afterAutospacing="0" w:line="585" w:lineRule="atLeast"/>
        <w:ind w:left="0" w:right="0" w:firstLine="645"/>
      </w:pPr>
      <w:r>
        <w:rPr>
          <w:rStyle w:val="5"/>
          <w:rFonts w:hint="eastAsia" w:ascii="方正仿宋简体" w:hAnsi="方正仿宋简体" w:eastAsia="方正仿宋简体" w:cs="方正仿宋简体"/>
          <w:sz w:val="31"/>
          <w:szCs w:val="31"/>
        </w:rPr>
        <w:t>（六）</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年度市医疗保障局无本行政机关认为需要报告的其他事项；</w:t>
      </w:r>
    </w:p>
    <w:p>
      <w:pPr>
        <w:pStyle w:val="2"/>
        <w:keepNext w:val="0"/>
        <w:keepLines w:val="0"/>
        <w:widowControl/>
        <w:suppressLineNumbers w:val="0"/>
        <w:spacing w:before="0" w:beforeAutospacing="0" w:after="0" w:afterAutospacing="0" w:line="585" w:lineRule="atLeast"/>
        <w:ind w:left="0" w:right="0" w:firstLine="645"/>
      </w:pPr>
      <w:r>
        <w:rPr>
          <w:rStyle w:val="5"/>
          <w:rFonts w:hint="eastAsia" w:ascii="方正仿宋简体" w:hAnsi="方正仿宋简体" w:eastAsia="方正仿宋简体" w:cs="方正仿宋简体"/>
          <w:sz w:val="31"/>
          <w:szCs w:val="31"/>
        </w:rPr>
        <w:t>（七）</w:t>
      </w:r>
      <w:r>
        <w:rPr>
          <w:rStyle w:val="5"/>
          <w:rFonts w:hint="default" w:ascii="Times New Roman" w:hAnsi="Times New Roman" w:cs="Times New Roman"/>
          <w:sz w:val="31"/>
          <w:szCs w:val="31"/>
        </w:rPr>
        <w:t>2021</w:t>
      </w:r>
      <w:r>
        <w:rPr>
          <w:rStyle w:val="5"/>
          <w:rFonts w:hint="eastAsia" w:ascii="方正仿宋简体" w:hAnsi="方正仿宋简体" w:eastAsia="方正仿宋简体" w:cs="方正仿宋简体"/>
          <w:sz w:val="31"/>
          <w:szCs w:val="31"/>
        </w:rPr>
        <w:t>年度市医疗保障局无其他有关文件专门要求通过政府信息公开工作年度报告予以报告的事项。</w:t>
      </w:r>
    </w:p>
    <w:p>
      <w:pPr>
        <w:pStyle w:val="2"/>
        <w:keepNext w:val="0"/>
        <w:keepLines w:val="0"/>
        <w:widowControl/>
        <w:suppressLineNumbers w:val="0"/>
        <w:spacing w:before="0" w:beforeAutospacing="0" w:after="0" w:afterAutospacing="0" w:line="420" w:lineRule="atLeast"/>
        <w:ind w:left="0" w:right="0"/>
      </w:pPr>
      <w:r>
        <w:rPr>
          <w:rFonts w:hint="default" w:ascii="Calibri" w:hAnsi="Calibri" w:cs="Calibri"/>
          <w:sz w:val="24"/>
          <w:szCs w:val="24"/>
        </w:rPr>
        <w:t> </w:t>
      </w:r>
    </w:p>
    <w:p>
      <w:pPr>
        <w:pStyle w:val="2"/>
        <w:keepNext w:val="0"/>
        <w:keepLines w:val="0"/>
        <w:widowControl/>
        <w:suppressLineNumbers w:val="0"/>
        <w:spacing w:before="0" w:beforeAutospacing="0" w:after="0" w:afterAutospacing="0" w:line="420" w:lineRule="atLeast"/>
        <w:ind w:left="0" w:right="0"/>
        <w:rPr>
          <w:sz w:val="21"/>
          <w:szCs w:val="21"/>
        </w:rPr>
      </w:pPr>
      <w:r>
        <w:rPr>
          <w:rFonts w:hint="default" w:ascii="Calibri" w:hAnsi="Calibri" w:cs="Calibri"/>
          <w:sz w:val="21"/>
          <w:szCs w:val="21"/>
        </w:rPr>
        <w:t> </w:t>
      </w:r>
    </w:p>
    <w:p>
      <w:pPr>
        <w:pStyle w:val="2"/>
        <w:keepNext w:val="0"/>
        <w:keepLines w:val="0"/>
        <w:widowControl/>
        <w:suppressLineNumbers w:val="0"/>
        <w:spacing w:before="0" w:beforeAutospacing="0" w:after="0" w:afterAutospacing="0" w:line="420" w:lineRule="atLeast"/>
        <w:ind w:left="0" w:right="0"/>
      </w:pPr>
    </w:p>
    <w:p>
      <w:pPr>
        <w:rPr>
          <w:rFonts w:hint="default" w:eastAsiaTheme="minor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黑体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A06211"/>
    <w:rsid w:val="31DE4409"/>
    <w:rsid w:val="37FB4439"/>
    <w:rsid w:val="63A06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2594</Words>
  <Characters>2745</Characters>
  <Lines>0</Lines>
  <Paragraphs>0</Paragraphs>
  <TotalTime>30</TotalTime>
  <ScaleCrop>false</ScaleCrop>
  <LinksUpToDate>false</LinksUpToDate>
  <CharactersWithSpaces>2995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2022-01-25T02:43:00Z</dcterms:created>
  <dc:creator>　　无她无爱</dc:creator>
  <cp:lastModifiedBy>　　无她无爱</cp:lastModifiedBy>
  <dcterms:modified xsi:type="dcterms:W3CDTF">2022-01-30T09:38:49Z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1862E5D0CB884CBFA734D31F5DA53CB4</vt:lpwstr>
  </property>
</Properties>
</file>