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简体" w:eastAsia="方正黑体简体"/>
          <w:b w:val="0"/>
          <w:bCs/>
          <w:sz w:val="32"/>
          <w:szCs w:val="32"/>
          <w:lang w:eastAsia="zh-CN"/>
        </w:rPr>
      </w:pPr>
      <w:r>
        <w:rPr>
          <w:rFonts w:hint="eastAsia" w:ascii="方正黑体简体" w:hAnsi="黑体" w:eastAsia="方正黑体简体" w:cs="黑体"/>
          <w:b w:val="0"/>
          <w:bCs/>
          <w:sz w:val="32"/>
          <w:szCs w:val="32"/>
          <w:lang w:val="en-US" w:eastAsia="zh-CN"/>
        </w:rPr>
        <w:t xml:space="preserve"> </w:t>
      </w:r>
    </w:p>
    <w:tbl>
      <w:tblPr>
        <w:tblStyle w:val="6"/>
        <w:tblpPr w:leftFromText="180" w:rightFromText="180" w:vertAnchor="text" w:horzAnchor="page" w:tblpX="1552" w:tblpY="659"/>
        <w:tblOverlap w:val="never"/>
        <w:tblW w:w="9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3"/>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7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61" w:rightChars="-19"/>
              <w:jc w:val="distribute"/>
              <w:textAlignment w:val="auto"/>
              <w:rPr>
                <w:rFonts w:hint="default" w:ascii="方正小标宋简体" w:hAnsi="方正小标宋简体" w:eastAsia="方正小标宋简体" w:cs="方正小标宋简体"/>
                <w:b/>
                <w:snapToGrid w:val="0"/>
                <w:color w:val="FF0000"/>
                <w:w w:val="70"/>
                <w:kern w:val="0"/>
                <w:sz w:val="72"/>
                <w:szCs w:val="72"/>
                <w:vertAlign w:val="baseline"/>
                <w:lang w:val="en-US" w:eastAsia="zh-CN"/>
              </w:rPr>
            </w:pPr>
            <w:r>
              <w:rPr>
                <w:rFonts w:hint="eastAsia" w:ascii="方正小标宋简体" w:hAnsi="方正小标宋简体" w:eastAsia="方正小标宋简体" w:cs="方正小标宋简体"/>
                <w:b/>
                <w:snapToGrid w:val="0"/>
                <w:color w:val="FF0000"/>
                <w:w w:val="70"/>
                <w:kern w:val="0"/>
                <w:sz w:val="72"/>
                <w:szCs w:val="72"/>
                <w:vertAlign w:val="baseline"/>
                <w:lang w:val="en-US" w:eastAsia="zh-CN"/>
              </w:rPr>
              <w:t>济宁市医疗保障局</w:t>
            </w:r>
          </w:p>
        </w:tc>
        <w:tc>
          <w:tcPr>
            <w:tcW w:w="171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70" w:leftChars="-47" w:right="-150" w:rightChars="-47" w:hanging="80" w:hangingChars="11"/>
              <w:jc w:val="center"/>
              <w:textAlignment w:val="auto"/>
              <w:rPr>
                <w:rFonts w:hint="default" w:ascii="方正小标宋简体" w:hAnsi="方正小标宋简体" w:eastAsia="方正小标宋简体" w:cs="方正小标宋简体"/>
                <w:b/>
                <w:snapToGrid w:val="0"/>
                <w:color w:val="FF0000"/>
                <w:w w:val="80"/>
                <w:kern w:val="0"/>
                <w:sz w:val="80"/>
                <w:szCs w:val="80"/>
                <w:vertAlign w:val="baseline"/>
                <w:lang w:val="en-US" w:eastAsia="zh-CN"/>
              </w:rPr>
            </w:pPr>
            <w:r>
              <w:rPr>
                <w:rFonts w:hint="eastAsia" w:ascii="方正小标宋简体" w:hAnsi="方正小标宋简体" w:eastAsia="方正小标宋简体" w:cs="方正小标宋简体"/>
                <w:b/>
                <w:snapToGrid w:val="0"/>
                <w:color w:val="FF0000"/>
                <w:w w:val="60"/>
                <w:kern w:val="0"/>
                <w:sz w:val="120"/>
                <w:szCs w:val="120"/>
                <w:vertAlign w:val="baseline"/>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7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61" w:rightChars="-19"/>
              <w:jc w:val="distribute"/>
              <w:textAlignment w:val="auto"/>
              <w:rPr>
                <w:rFonts w:hint="eastAsia" w:ascii="方正小标宋简体" w:hAnsi="方正小标宋简体" w:eastAsia="方正小标宋简体" w:cs="方正小标宋简体"/>
                <w:b/>
                <w:snapToGrid w:val="0"/>
                <w:color w:val="FF0000"/>
                <w:w w:val="70"/>
                <w:kern w:val="0"/>
                <w:sz w:val="72"/>
                <w:szCs w:val="72"/>
                <w:lang w:eastAsia="zh-CN"/>
              </w:rPr>
            </w:pPr>
            <w:r>
              <w:rPr>
                <w:rFonts w:hint="eastAsia" w:ascii="方正小标宋简体" w:hAnsi="方正小标宋简体" w:eastAsia="方正小标宋简体" w:cs="方正小标宋简体"/>
                <w:b/>
                <w:snapToGrid w:val="0"/>
                <w:color w:val="FF0000"/>
                <w:w w:val="70"/>
                <w:kern w:val="0"/>
                <w:sz w:val="72"/>
                <w:szCs w:val="72"/>
                <w:lang w:eastAsia="zh-CN"/>
              </w:rPr>
              <w:t>济宁市卫生健康委员会</w:t>
            </w:r>
          </w:p>
        </w:tc>
        <w:tc>
          <w:tcPr>
            <w:tcW w:w="17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1437" w:rightChars="449"/>
              <w:jc w:val="center"/>
              <w:textAlignment w:val="auto"/>
              <w:rPr>
                <w:rFonts w:hint="eastAsia" w:ascii="方正小标宋简体" w:hAnsi="方正小标宋简体" w:eastAsia="方正小标宋简体" w:cs="方正小标宋简体"/>
                <w:b/>
                <w:snapToGrid w:val="0"/>
                <w:color w:val="FF0000"/>
                <w:w w:val="80"/>
                <w:kern w:val="0"/>
                <w:sz w:val="80"/>
                <w:szCs w:val="80"/>
                <w:vertAlign w:val="baseline"/>
                <w:lang w:eastAsia="zh-CN"/>
              </w:rPr>
            </w:pPr>
          </w:p>
        </w:tc>
      </w:tr>
    </w:tbl>
    <w:p>
      <w:pPr>
        <w:keepNext w:val="0"/>
        <w:keepLines w:val="0"/>
        <w:pageBreakBefore w:val="0"/>
        <w:widowControl w:val="0"/>
        <w:kinsoku/>
        <w:wordWrap/>
        <w:overflowPunct/>
        <w:topLinePunct w:val="0"/>
        <w:autoSpaceDE/>
        <w:autoSpaceDN/>
        <w:bidi w:val="0"/>
        <w:adjustRightInd/>
        <w:ind w:left="0" w:leftChars="0" w:right="32" w:rightChars="10" w:firstLine="0" w:firstLineChars="0"/>
        <w:jc w:val="both"/>
        <w:textAlignment w:val="auto"/>
        <w:rPr>
          <w:rFonts w:hint="eastAsia" w:ascii="Times New Roman" w:hAnsi="Times New Roman" w:eastAsia="方正仿宋简体" w:cs="方正仿宋简体"/>
          <w:b w:val="0"/>
          <w:bCs w:val="0"/>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济</w:t>
      </w:r>
      <w:r>
        <w:rPr>
          <w:rFonts w:hint="eastAsia" w:ascii="仿宋_GB2312" w:hAnsi="仿宋_GB2312" w:eastAsia="仿宋_GB2312" w:cs="仿宋_GB2312"/>
          <w:b w:val="0"/>
          <w:bCs/>
          <w:sz w:val="32"/>
          <w:szCs w:val="32"/>
          <w:lang w:eastAsia="zh-CN"/>
        </w:rPr>
        <w:t>医保发</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2021</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25</w:t>
      </w:r>
      <w:r>
        <w:rPr>
          <w:rFonts w:hint="eastAsia" w:ascii="仿宋_GB2312" w:hAnsi="仿宋_GB2312" w:eastAsia="仿宋_GB2312" w:cs="仿宋_GB2312"/>
          <w:b w:val="0"/>
          <w:bCs/>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简体" w:cs="方正小标宋_GBK"/>
          <w:b/>
          <w:bCs/>
          <w:snapToGrid w:val="0"/>
          <w:kern w:val="0"/>
          <w:sz w:val="44"/>
          <w:szCs w:val="44"/>
        </w:rPr>
      </w:pPr>
      <w:r>
        <w:rPr>
          <w:rFonts w:ascii="Times New Roman" w:hAnsi="Times New Roman" w:eastAsia="方正仿宋简体"/>
          <w:b/>
          <w:bCs/>
          <w:snapToGrid w:val="0"/>
          <w:kern w:val="0"/>
          <w:sz w:val="44"/>
        </w:rP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ragraph">
                  <wp:posOffset>4445</wp:posOffset>
                </wp:positionV>
                <wp:extent cx="579247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92470" cy="889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6pt;margin-top:0.35pt;height:0.7pt;width:456.1pt;z-index:251659264;mso-width-relative:page;mso-height-relative:page;" filled="f" stroked="t" coordsize="21600,21600" o:gfxdata="UEsDBAoAAAAAAIdO4kAAAAAAAAAAAAAAAAAEAAAAZHJzL1BLAwQUAAAACACHTuJA4jk0MtYAAAAG&#10;AQAADwAAAGRycy9kb3ducmV2LnhtbE2PT0+DQBTE7yZ+h80z8dYukAgEefRAYurBpCl60NsWXoF0&#10;/xB2W/Db+zzpcTKTmd+Uu9VocaPZj84ixNsIBNnWdaPtET7eXzY5CB+U7ZR2lhC+ycOuur8rVdG5&#10;xR7p1oRecIn1hUIYQpgKKX07kFF+6yay7J3dbFRgOfeym9XC5UbLJIpSadRoeWFQE9UDtZfmahA+&#10;D/vD9FbXqXv92i9rn8bNMdOIjw9x9Awi0Br+wvCLz+hQMdPJXW3nhUbYJFnCUYQMBNt5/sTXTghJ&#10;DLIq5X/86gdQSwMEFAAAAAgAh07iQDbstij8AQAA6AMAAA4AAABkcnMvZTJvRG9jLnhtbK1TzY7T&#10;MBC+I/EOlu80acSybdR0D1vKBUEl4AGmtpNY8p9st2lfghdA4gYnjtx5m10eg7FTurBceiAHZ+wZ&#10;fzPf55nFzUErshc+SGsaOp2UlAjDLJema+iH9+tnM0pCBMNBWSMaehSB3iyfPlkMrhaV7a3iwhME&#10;MaEeXEP7GF1dFIH1QkOYWCcMOlvrNUTc+q7gHgZE16qoyvJFMVjPnbdMhICnq9FJT4j+EkDbtpKJ&#10;lWU7LUwcUb1QEJFS6KULdJmrbVvB4tu2DSIS1VBkGvOKSdDeprVYLqDuPLheslMJcEkJjzhpkAaT&#10;nqFWEIHsvPwHSkvmbbBtnDCri5FIVgRZTMtH2rzrwYnMBaUO7ix6+H+w7M1+44nkDa0oMaDxwe8/&#10;fb/7+OXnj8+43n/7Sqok0uBCjbG3ZuNPu+A2PjE+tF6nP3Ihhyzs8SysOETC8PDqel49v0bNGfpm&#10;s3nWvXi463yIr4TVJBkNVdIk2lDD/nWImA9Df4ekY2XIgK07L68SJGATtvj4aGqHRILp8uVgleRr&#10;qVS6Eny3vVWe7AEbYb0u8Uu0EPivsJRlBaEf47JrbJFeAH9pOIlHhxIZnAyaatCCU6IEDlKyEBDq&#10;CFJdEomplcEKkrKjlsnaWn7EB9k5L7sepZjmKpMHGyDXe2rW1GF/7jPSw4A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OTQy1gAAAAYBAAAPAAAAAAAAAAEAIAAAACIAAABkcnMvZG93bnJldi54&#10;bWxQSwECFAAUAAAACACHTuJANuy2KPwBAADoAwAADgAAAAAAAAABACAAAAAlAQAAZHJzL2Uyb0Rv&#10;Yy54bWxQSwUGAAAAAAYABgBZAQAAkw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关于进一步做好国家医保谈判药品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落地工作的通知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济</w:t>
      </w:r>
      <w:r>
        <w:rPr>
          <w:rFonts w:hint="eastAsia" w:ascii="仿宋_GB2312" w:hAnsi="仿宋_GB2312" w:eastAsia="仿宋_GB2312" w:cs="仿宋_GB2312"/>
          <w:b w:val="0"/>
          <w:bCs/>
          <w:sz w:val="32"/>
          <w:szCs w:val="32"/>
          <w:lang w:eastAsia="zh-CN"/>
        </w:rPr>
        <w:t>医保发</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2021</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25</w:t>
      </w:r>
      <w:r>
        <w:rPr>
          <w:rFonts w:hint="eastAsia" w:ascii="仿宋_GB2312" w:hAnsi="仿宋_GB2312" w:eastAsia="仿宋_GB2312" w:cs="仿宋_GB2312"/>
          <w:b w:val="0"/>
          <w:bCs/>
          <w:sz w:val="32"/>
          <w:szCs w:val="32"/>
        </w:rPr>
        <w:t>号</w:t>
      </w:r>
    </w:p>
    <w:p>
      <w:pPr>
        <w:pStyle w:val="2"/>
        <w:rPr>
          <w:rFonts w:hint="eastAsia"/>
          <w:lang w:eastAsia="zh-CN"/>
        </w:rPr>
      </w:pPr>
    </w:p>
    <w:p>
      <w:pPr>
        <w:rPr>
          <w:rFonts w:hint="eastAsia" w:ascii="仿宋" w:hAnsi="仿宋" w:eastAsia="仿宋" w:cs="仿宋"/>
          <w:b/>
          <w:bCs/>
          <w:sz w:val="32"/>
          <w:szCs w:val="32"/>
        </w:rPr>
      </w:pPr>
      <w:r>
        <w:rPr>
          <w:rFonts w:hint="eastAsia" w:ascii="仿宋" w:hAnsi="仿宋" w:eastAsia="仿宋" w:cs="仿宋"/>
          <w:b/>
          <w:bCs/>
          <w:sz w:val="32"/>
          <w:szCs w:val="32"/>
        </w:rPr>
        <w:t>各县（市、区）医疗保障局</w:t>
      </w:r>
      <w:r>
        <w:rPr>
          <w:rFonts w:hint="eastAsia" w:ascii="仿宋" w:hAnsi="仿宋" w:eastAsia="仿宋" w:cs="仿宋"/>
          <w:b/>
          <w:bCs/>
          <w:sz w:val="32"/>
          <w:szCs w:val="32"/>
          <w:lang w:eastAsia="zh-CN"/>
        </w:rPr>
        <w:t>、卫生健康局</w:t>
      </w:r>
      <w:r>
        <w:rPr>
          <w:rFonts w:hint="eastAsia" w:ascii="仿宋" w:hAnsi="仿宋" w:eastAsia="仿宋" w:cs="仿宋"/>
          <w:b/>
          <w:bCs/>
          <w:sz w:val="32"/>
          <w:szCs w:val="32"/>
        </w:rPr>
        <w:t>，济宁高新区人力资源部、太白湖新区社会保障事业服务中心、济宁经济技术开发区人力资源和社会保障服务中心，兖州煤业股份有限公司人力资源服务中心，市医疗保障综合执法支队、市医疗保险事业中心，</w:t>
      </w:r>
      <w:r>
        <w:rPr>
          <w:rFonts w:hint="eastAsia" w:ascii="仿宋" w:hAnsi="仿宋" w:eastAsia="仿宋" w:cs="仿宋"/>
          <w:b/>
          <w:bCs/>
          <w:color w:val="000000"/>
          <w:spacing w:val="0"/>
          <w:w w:val="100"/>
          <w:position w:val="0"/>
          <w:sz w:val="32"/>
          <w:szCs w:val="32"/>
        </w:rPr>
        <w:t>市</w:t>
      </w:r>
      <w:r>
        <w:rPr>
          <w:rFonts w:hint="eastAsia" w:ascii="仿宋" w:hAnsi="仿宋" w:eastAsia="仿宋" w:cs="仿宋"/>
          <w:b/>
          <w:bCs/>
          <w:color w:val="000000"/>
          <w:spacing w:val="0"/>
          <w:w w:val="100"/>
          <w:position w:val="0"/>
          <w:sz w:val="32"/>
          <w:szCs w:val="32"/>
          <w:lang w:eastAsia="zh-CN"/>
        </w:rPr>
        <w:t>直各协议管理定点</w:t>
      </w:r>
      <w:r>
        <w:rPr>
          <w:rFonts w:hint="eastAsia" w:ascii="仿宋" w:hAnsi="仿宋" w:eastAsia="仿宋" w:cs="仿宋"/>
          <w:b/>
          <w:bCs/>
          <w:color w:val="000000"/>
          <w:spacing w:val="0"/>
          <w:w w:val="100"/>
          <w:position w:val="0"/>
          <w:sz w:val="32"/>
          <w:szCs w:val="32"/>
        </w:rPr>
        <w:t>医</w:t>
      </w:r>
      <w:r>
        <w:rPr>
          <w:rFonts w:hint="eastAsia" w:ascii="仿宋" w:hAnsi="仿宋" w:eastAsia="仿宋" w:cs="仿宋"/>
          <w:b/>
          <w:bCs/>
          <w:color w:val="000000"/>
          <w:spacing w:val="0"/>
          <w:w w:val="100"/>
          <w:position w:val="0"/>
          <w:sz w:val="32"/>
          <w:szCs w:val="32"/>
          <w:lang w:eastAsia="zh-CN"/>
        </w:rPr>
        <w:t>药</w:t>
      </w:r>
      <w:r>
        <w:rPr>
          <w:rFonts w:hint="eastAsia" w:ascii="仿宋" w:hAnsi="仿宋" w:eastAsia="仿宋" w:cs="仿宋"/>
          <w:b/>
          <w:bCs/>
          <w:color w:val="000000"/>
          <w:spacing w:val="0"/>
          <w:w w:val="100"/>
          <w:position w:val="0"/>
          <w:sz w:val="32"/>
          <w:szCs w:val="32"/>
        </w:rPr>
        <w:t>机构：</w:t>
      </w:r>
      <w:r>
        <w:rPr>
          <w:rFonts w:hint="eastAsia" w:ascii="仿宋" w:hAnsi="仿宋" w:eastAsia="仿宋" w:cs="仿宋"/>
          <w:b/>
          <w:bCs/>
          <w:sz w:val="32"/>
          <w:szCs w:val="32"/>
        </w:rPr>
        <w:t xml:space="preserve">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color w:val="000000"/>
          <w:spacing w:val="0"/>
          <w:w w:val="100"/>
          <w:position w:val="0"/>
          <w:sz w:val="32"/>
          <w:szCs w:val="32"/>
        </w:rPr>
      </w:pPr>
      <w:r>
        <w:rPr>
          <w:rFonts w:hint="eastAsia" w:ascii="仿宋" w:hAnsi="仿宋" w:eastAsia="仿宋" w:cs="仿宋"/>
          <w:b/>
          <w:bCs/>
          <w:color w:val="000000"/>
          <w:spacing w:val="0"/>
          <w:w w:val="100"/>
          <w:position w:val="0"/>
          <w:sz w:val="32"/>
          <w:szCs w:val="32"/>
        </w:rPr>
        <w:t>为确保国家医保谈判药品（以下简称国谈药品）顺利落地，更好满足广大参保患者合理用药需求，根据国家医保局、国家卫生健康委《关于建立完善国家医保谈判药品“双通道”管理机制的指导意见》（医保发〔2021〕28号）</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《关于适应国家医保谈判常态化持续做好谈判药品落地工作的通知》（医保函〔2021〕182号）</w:t>
      </w:r>
      <w:r>
        <w:rPr>
          <w:rFonts w:hint="eastAsia" w:ascii="仿宋" w:hAnsi="仿宋" w:eastAsia="仿宋" w:cs="仿宋"/>
          <w:b/>
          <w:bCs/>
          <w:color w:val="000000"/>
          <w:spacing w:val="0"/>
          <w:w w:val="100"/>
          <w:position w:val="0"/>
          <w:sz w:val="32"/>
          <w:szCs w:val="32"/>
          <w:lang w:eastAsia="zh-CN"/>
        </w:rPr>
        <w:t>和省医保局、省卫生健康委《关于进一步做好国家医保谈判药品落地工作的实施意见》</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鲁</w:t>
      </w:r>
      <w:r>
        <w:rPr>
          <w:rFonts w:hint="eastAsia" w:ascii="仿宋" w:hAnsi="仿宋" w:eastAsia="仿宋" w:cs="仿宋"/>
          <w:b/>
          <w:bCs/>
          <w:color w:val="000000"/>
          <w:spacing w:val="0"/>
          <w:w w:val="100"/>
          <w:position w:val="0"/>
          <w:sz w:val="32"/>
          <w:szCs w:val="32"/>
        </w:rPr>
        <w:t>医保发〔2021〕</w:t>
      </w:r>
      <w:r>
        <w:rPr>
          <w:rFonts w:hint="eastAsia" w:ascii="仿宋" w:hAnsi="仿宋" w:eastAsia="仿宋" w:cs="仿宋"/>
          <w:b/>
          <w:bCs/>
          <w:color w:val="000000"/>
          <w:spacing w:val="0"/>
          <w:w w:val="100"/>
          <w:position w:val="0"/>
          <w:sz w:val="32"/>
          <w:szCs w:val="32"/>
          <w:lang w:val="en-US" w:eastAsia="zh-CN"/>
        </w:rPr>
        <w:t>45</w:t>
      </w:r>
      <w:r>
        <w:rPr>
          <w:rFonts w:hint="eastAsia" w:ascii="仿宋" w:hAnsi="仿宋" w:eastAsia="仿宋" w:cs="仿宋"/>
          <w:b/>
          <w:bCs/>
          <w:color w:val="000000"/>
          <w:spacing w:val="0"/>
          <w:w w:val="100"/>
          <w:position w:val="0"/>
          <w:sz w:val="32"/>
          <w:szCs w:val="32"/>
        </w:rPr>
        <w:t>号）精神，结合</w:t>
      </w:r>
      <w:r>
        <w:rPr>
          <w:rFonts w:hint="eastAsia" w:ascii="仿宋" w:hAnsi="仿宋" w:eastAsia="仿宋" w:cs="仿宋"/>
          <w:b/>
          <w:bCs/>
          <w:color w:val="000000"/>
          <w:spacing w:val="0"/>
          <w:w w:val="100"/>
          <w:position w:val="0"/>
          <w:sz w:val="32"/>
          <w:szCs w:val="32"/>
          <w:lang w:eastAsia="zh-CN"/>
        </w:rPr>
        <w:t>我市实际</w:t>
      </w:r>
      <w:r>
        <w:rPr>
          <w:rFonts w:hint="eastAsia" w:ascii="仿宋" w:hAnsi="仿宋" w:eastAsia="仿宋" w:cs="仿宋"/>
          <w:b/>
          <w:bCs/>
          <w:color w:val="000000"/>
          <w:spacing w:val="0"/>
          <w:w w:val="100"/>
          <w:position w:val="0"/>
          <w:sz w:val="32"/>
          <w:szCs w:val="32"/>
        </w:rPr>
        <w:t>，现就进一步做好我</w:t>
      </w:r>
      <w:r>
        <w:rPr>
          <w:rFonts w:hint="eastAsia" w:ascii="仿宋" w:hAnsi="仿宋" w:eastAsia="仿宋" w:cs="仿宋"/>
          <w:b/>
          <w:bCs/>
          <w:color w:val="000000"/>
          <w:spacing w:val="0"/>
          <w:w w:val="100"/>
          <w:position w:val="0"/>
          <w:sz w:val="32"/>
          <w:szCs w:val="32"/>
          <w:lang w:eastAsia="zh-CN"/>
        </w:rPr>
        <w:t>市</w:t>
      </w:r>
      <w:r>
        <w:rPr>
          <w:rFonts w:hint="eastAsia" w:ascii="仿宋" w:hAnsi="仿宋" w:eastAsia="仿宋" w:cs="仿宋"/>
          <w:b/>
          <w:bCs/>
          <w:color w:val="000000"/>
          <w:spacing w:val="0"/>
          <w:w w:val="100"/>
          <w:position w:val="0"/>
          <w:sz w:val="32"/>
          <w:szCs w:val="32"/>
        </w:rPr>
        <w:t>国谈药品落地工作</w:t>
      </w:r>
      <w:r>
        <w:rPr>
          <w:rFonts w:hint="eastAsia" w:ascii="仿宋" w:hAnsi="仿宋" w:eastAsia="仿宋" w:cs="仿宋"/>
          <w:b/>
          <w:bCs/>
          <w:color w:val="000000"/>
          <w:spacing w:val="0"/>
          <w:w w:val="100"/>
          <w:position w:val="0"/>
          <w:sz w:val="32"/>
          <w:szCs w:val="32"/>
          <w:lang w:eastAsia="zh-CN"/>
        </w:rPr>
        <w:t>通知如下</w:t>
      </w:r>
      <w:r>
        <w:rPr>
          <w:rFonts w:hint="eastAsia" w:ascii="仿宋" w:hAnsi="仿宋" w:eastAsia="仿宋" w:cs="仿宋"/>
          <w:b/>
          <w:bCs/>
          <w:color w:val="000000"/>
          <w:spacing w:val="0"/>
          <w:w w:val="100"/>
          <w:position w:val="0"/>
          <w:sz w:val="32"/>
          <w:szCs w:val="32"/>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sz w:val="32"/>
          <w:szCs w:val="32"/>
        </w:rPr>
      </w:pPr>
      <w:bookmarkStart w:id="0" w:name="bookmark6"/>
      <w:r>
        <w:rPr>
          <w:rFonts w:hint="eastAsia" w:ascii="黑体" w:hAnsi="黑体" w:eastAsia="黑体" w:cs="黑体"/>
          <w:b/>
          <w:bCs/>
          <w:color w:val="000000"/>
          <w:spacing w:val="0"/>
          <w:w w:val="100"/>
          <w:position w:val="0"/>
          <w:sz w:val="32"/>
          <w:szCs w:val="32"/>
        </w:rPr>
        <w:t>一</w:t>
      </w:r>
      <w:bookmarkEnd w:id="0"/>
      <w:r>
        <w:rPr>
          <w:rFonts w:hint="eastAsia" w:ascii="黑体" w:hAnsi="黑体" w:eastAsia="黑体" w:cs="黑体"/>
          <w:b/>
          <w:bCs/>
          <w:color w:val="000000"/>
          <w:spacing w:val="0"/>
          <w:w w:val="100"/>
          <w:position w:val="0"/>
          <w:sz w:val="32"/>
          <w:szCs w:val="32"/>
        </w:rPr>
        <w:t>、高度重视国谈药品落地工作</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进一步做好国谈药品（含同通用名仿制药和生物类似药，下同）落地工作是提高药品可及性、更好满足临床需求、提升医保基金使用效能、增进人民健康福祉的有效途径，是为群众办实事、解难事、做好事的有力举措。各</w:t>
      </w:r>
      <w:r>
        <w:rPr>
          <w:rFonts w:hint="eastAsia" w:ascii="仿宋" w:hAnsi="仿宋" w:eastAsia="仿宋" w:cs="仿宋"/>
          <w:b/>
          <w:bCs/>
          <w:color w:val="000000"/>
          <w:spacing w:val="0"/>
          <w:w w:val="100"/>
          <w:position w:val="0"/>
          <w:sz w:val="32"/>
          <w:szCs w:val="32"/>
          <w:lang w:eastAsia="zh-CN"/>
        </w:rPr>
        <w:t>县（市、区）</w:t>
      </w:r>
      <w:r>
        <w:rPr>
          <w:rFonts w:hint="eastAsia" w:ascii="仿宋" w:hAnsi="仿宋" w:eastAsia="仿宋" w:cs="仿宋"/>
          <w:b/>
          <w:bCs/>
          <w:color w:val="000000"/>
          <w:spacing w:val="0"/>
          <w:w w:val="100"/>
          <w:position w:val="0"/>
          <w:sz w:val="32"/>
          <w:szCs w:val="32"/>
        </w:rPr>
        <w:t>要坚持以习近平新时代中国特色社会主义思想为指导，以人民健康为中心，充分认识持续做好国谈药品落地工作的重要意义，认真总结前期工作经验，不断完善“双通道”管理机制，巩固扩大改革成果，进一步增强群众的获得感。</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bookmarkStart w:id="1" w:name="bookmark7"/>
      <w:r>
        <w:rPr>
          <w:rFonts w:hint="eastAsia" w:ascii="黑体" w:hAnsi="黑体" w:eastAsia="黑体" w:cs="黑体"/>
          <w:b/>
          <w:bCs/>
          <w:color w:val="000000"/>
          <w:spacing w:val="0"/>
          <w:w w:val="100"/>
          <w:position w:val="0"/>
          <w:sz w:val="32"/>
          <w:szCs w:val="32"/>
        </w:rPr>
        <w:t>二</w:t>
      </w:r>
      <w:bookmarkEnd w:id="1"/>
      <w:r>
        <w:rPr>
          <w:rFonts w:hint="eastAsia" w:ascii="黑体" w:hAnsi="黑体" w:eastAsia="黑体" w:cs="黑体"/>
          <w:b/>
          <w:bCs/>
          <w:color w:val="000000"/>
          <w:spacing w:val="0"/>
          <w:w w:val="100"/>
          <w:position w:val="0"/>
          <w:sz w:val="32"/>
          <w:szCs w:val="32"/>
        </w:rPr>
        <w:t>、树立促进国谈药品落地的鲜明导向</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zh-CN" w:bidi="en-US"/>
        </w:rPr>
        <w:t>（一）</w:t>
      </w:r>
      <w:r>
        <w:rPr>
          <w:rFonts w:hint="eastAsia" w:ascii="楷体" w:hAnsi="楷体" w:eastAsia="楷体" w:cs="楷体"/>
          <w:b/>
          <w:bCs/>
          <w:color w:val="000000"/>
          <w:spacing w:val="0"/>
          <w:w w:val="100"/>
          <w:position w:val="0"/>
          <w:sz w:val="32"/>
          <w:szCs w:val="32"/>
        </w:rPr>
        <w:t>夯实医疗机构药品配备使用主体责任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color w:val="000000"/>
          <w:spacing w:val="0"/>
          <w:w w:val="100"/>
          <w:position w:val="0"/>
          <w:sz w:val="32"/>
          <w:szCs w:val="32"/>
        </w:rPr>
      </w:pPr>
      <w:r>
        <w:rPr>
          <w:rFonts w:hint="eastAsia" w:ascii="仿宋" w:hAnsi="仿宋" w:eastAsia="仿宋" w:cs="仿宋"/>
          <w:b/>
          <w:bCs/>
          <w:color w:val="000000"/>
          <w:spacing w:val="0"/>
          <w:w w:val="100"/>
          <w:position w:val="0"/>
          <w:sz w:val="32"/>
          <w:szCs w:val="32"/>
        </w:rPr>
        <w:t>医疗机构是国谈药品采购配备和临床合理使用的第一责任人。各定点医疗机构要落实合理用药主体责任，建立院内药品配备与医保药品目录调整联动机制，自新版国家目录正式公布后三个月内，根据临床用药需求，及时统筹召开药事会，做到“应配尽配”。对于暂时无法纳入本医疗机构供应目录，但临床确有需求的国谈药品，应纳入临时采购范围，建立绿色通道，简化程序、缩短周期、及时采购。对于暂时无法配备的药品，要建立健全处方流转机制，通过“双通道”等渠道提升药品可及性。要健全内部管理制度，加强临床用药行为监管，规范医疗服务行为，确保国谈药品合理使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color w:val="000000"/>
          <w:spacing w:val="0"/>
          <w:w w:val="100"/>
          <w:position w:val="0"/>
          <w:sz w:val="32"/>
          <w:szCs w:val="32"/>
          <w:lang w:val="en-US" w:eastAsia="zh-CN" w:bidi="en-US"/>
        </w:rPr>
      </w:pPr>
      <w:r>
        <w:rPr>
          <w:rFonts w:hint="eastAsia" w:ascii="楷体" w:hAnsi="楷体" w:eastAsia="楷体" w:cs="楷体"/>
          <w:b/>
          <w:bCs/>
          <w:color w:val="000000"/>
          <w:spacing w:val="0"/>
          <w:w w:val="100"/>
          <w:position w:val="0"/>
          <w:sz w:val="32"/>
          <w:szCs w:val="32"/>
          <w:lang w:val="en-US" w:eastAsia="zh-CN" w:bidi="en-US"/>
        </w:rPr>
        <w:t>（二）完善医保和医药管理相关政策措施</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医保部门要加强协议管理，将定点医疗机构合理配备使用国谈药品情况纳入协议内容，并与年度考核挂钩。要科学设定医保总额，对实行单独支付的国谈药品，不纳入定点医疗机构总额范围。对实行</w:t>
      </w:r>
      <w:r>
        <w:rPr>
          <w:rFonts w:hint="eastAsia" w:ascii="仿宋" w:hAnsi="仿宋" w:eastAsia="仿宋" w:cs="仿宋"/>
          <w:b/>
          <w:bCs/>
          <w:color w:val="000000"/>
          <w:spacing w:val="0"/>
          <w:w w:val="100"/>
          <w:position w:val="0"/>
          <w:sz w:val="32"/>
          <w:szCs w:val="32"/>
          <w:lang w:val="en-US" w:eastAsia="en-US" w:bidi="en-US"/>
        </w:rPr>
        <w:t>DIP</w:t>
      </w:r>
      <w:r>
        <w:rPr>
          <w:rFonts w:hint="eastAsia" w:ascii="仿宋" w:hAnsi="仿宋" w:eastAsia="仿宋" w:cs="仿宋"/>
          <w:b/>
          <w:bCs/>
          <w:color w:val="000000"/>
          <w:spacing w:val="0"/>
          <w:w w:val="100"/>
          <w:position w:val="0"/>
          <w:sz w:val="32"/>
          <w:szCs w:val="32"/>
        </w:rPr>
        <w:t>等支付方式改革的病种，根据国谈药品实际使用情况合理调整该病种的权重、分值。要提升医保精细化管理能力和水平，科学测算基金支付额度，综合考虑新版国家目录药品增减、结构调整、支付标准变化以及实际用药量等因素，对医疗机构年度医保总额做出合理调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卫生健康部门要调整完善医疗机构药品使用考核机制，将合理使用的国谈药品单列，不纳入医疗机构药占比、次均费用等影响其落地的考核指标范围。要加强对医疗机构临床用药行为的指导和管理，督促辖区医疗机构合理配备、使用国谈药品，不得以医保总额限制、医疗机构用药目录数量限制、药占比等为由影响国谈药品配备使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sz w:val="32"/>
          <w:szCs w:val="32"/>
        </w:rPr>
      </w:pPr>
      <w:bookmarkStart w:id="2" w:name="bookmark8"/>
      <w:r>
        <w:rPr>
          <w:rFonts w:hint="eastAsia" w:ascii="黑体" w:hAnsi="黑体" w:eastAsia="黑体" w:cs="黑体"/>
          <w:b/>
          <w:bCs/>
          <w:color w:val="000000"/>
          <w:spacing w:val="0"/>
          <w:w w:val="100"/>
          <w:position w:val="0"/>
          <w:sz w:val="32"/>
          <w:szCs w:val="32"/>
        </w:rPr>
        <w:t>三</w:t>
      </w:r>
      <w:bookmarkEnd w:id="2"/>
      <w:r>
        <w:rPr>
          <w:rFonts w:hint="eastAsia" w:ascii="黑体" w:hAnsi="黑体" w:eastAsia="黑体" w:cs="黑体"/>
          <w:b/>
          <w:bCs/>
          <w:color w:val="000000"/>
          <w:spacing w:val="0"/>
          <w:w w:val="100"/>
          <w:position w:val="0"/>
          <w:sz w:val="32"/>
          <w:szCs w:val="32"/>
        </w:rPr>
        <w:t>、规范完善国谈药品“双通道”管理机制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rPr>
        <w:t>（一）纳入“双通道”管理的药品及支付政策</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将国谈药品纳入我</w:t>
      </w:r>
      <w:r>
        <w:rPr>
          <w:rFonts w:hint="eastAsia" w:ascii="仿宋" w:hAnsi="仿宋" w:eastAsia="仿宋" w:cs="仿宋"/>
          <w:b/>
          <w:bCs/>
          <w:color w:val="000000"/>
          <w:spacing w:val="0"/>
          <w:w w:val="100"/>
          <w:position w:val="0"/>
          <w:sz w:val="32"/>
          <w:szCs w:val="32"/>
          <w:lang w:eastAsia="zh-CN"/>
        </w:rPr>
        <w:t>市</w:t>
      </w:r>
      <w:r>
        <w:rPr>
          <w:rFonts w:hint="eastAsia" w:ascii="仿宋" w:hAnsi="仿宋" w:eastAsia="仿宋" w:cs="仿宋"/>
          <w:b/>
          <w:bCs/>
          <w:color w:val="000000"/>
          <w:spacing w:val="0"/>
          <w:w w:val="100"/>
          <w:position w:val="0"/>
          <w:sz w:val="32"/>
          <w:szCs w:val="32"/>
        </w:rPr>
        <w:t>“双通道”管理，通过定点医疗机构和定点零售药店两个渠道，满足国谈药品供应保障、临床使用等方面的合理需求。纳入“双通道”管理的国谈药品在定点医疗机构和定点零售药店施行统一的支付政策。国谈药品调整为国家医保目录常规准入药品的，继续参照“双通道”管理，并做好政策衔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对于国谈药品中临床必需、费用较高、替代性不强、适于门诊治疗，且未纳入本地门诊慢特病范围的部分品种，探索建立药品单独支付政策。</w:t>
      </w:r>
    </w:p>
    <w:p>
      <w:pPr>
        <w:pStyle w:val="9"/>
        <w:keepNext w:val="0"/>
        <w:keepLines w:val="0"/>
        <w:pageBreakBefore w:val="0"/>
        <w:widowControl w:val="0"/>
        <w:shd w:val="clear" w:color="auto" w:fill="auto"/>
        <w:tabs>
          <w:tab w:val="left" w:pos="1082"/>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sz w:val="32"/>
          <w:szCs w:val="32"/>
        </w:rPr>
      </w:pPr>
      <w:bookmarkStart w:id="3" w:name="bookmark9"/>
      <w:r>
        <w:rPr>
          <w:rFonts w:hint="eastAsia" w:ascii="楷体" w:hAnsi="楷体" w:eastAsia="楷体" w:cs="楷体"/>
          <w:b/>
          <w:bCs/>
          <w:color w:val="000000"/>
          <w:spacing w:val="0"/>
          <w:w w:val="100"/>
          <w:position w:val="0"/>
          <w:sz w:val="32"/>
          <w:szCs w:val="32"/>
        </w:rPr>
        <w:t>（</w:t>
      </w:r>
      <w:bookmarkEnd w:id="3"/>
      <w:r>
        <w:rPr>
          <w:rFonts w:hint="eastAsia" w:ascii="楷体" w:hAnsi="楷体" w:eastAsia="楷体" w:cs="楷体"/>
          <w:b/>
          <w:bCs/>
          <w:color w:val="000000"/>
          <w:spacing w:val="0"/>
          <w:w w:val="100"/>
          <w:position w:val="0"/>
          <w:sz w:val="32"/>
          <w:szCs w:val="32"/>
        </w:rPr>
        <w:t>二）</w:t>
      </w:r>
      <w:r>
        <w:rPr>
          <w:rFonts w:hint="eastAsia" w:ascii="楷体" w:hAnsi="楷体" w:eastAsia="楷体" w:cs="楷体"/>
          <w:b/>
          <w:bCs/>
          <w:color w:val="000000"/>
          <w:spacing w:val="0"/>
          <w:w w:val="100"/>
          <w:position w:val="0"/>
          <w:sz w:val="32"/>
          <w:szCs w:val="32"/>
        </w:rPr>
        <w:tab/>
      </w:r>
      <w:r>
        <w:rPr>
          <w:rFonts w:hint="eastAsia" w:ascii="楷体" w:hAnsi="楷体" w:eastAsia="楷体" w:cs="楷体"/>
          <w:b/>
          <w:bCs/>
          <w:color w:val="000000"/>
          <w:spacing w:val="0"/>
          <w:w w:val="100"/>
          <w:position w:val="0"/>
          <w:sz w:val="32"/>
          <w:szCs w:val="32"/>
        </w:rPr>
        <w:t>遴选“双通道”管理定点零售药店</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医保部门要坚持“公开、公平、公正”原则，综合考虑人口分布和参保患者就医便捷度等，明确遴选标准和程序，将资质合规、管理规范、信誉良好、布局合理，并且满足对所售药品已实现电子追溯等条件的定点零售药店纳入“双通道”管理，并及时向社会公布。原</w:t>
      </w:r>
      <w:r>
        <w:rPr>
          <w:rFonts w:hint="eastAsia" w:ascii="仿宋" w:hAnsi="仿宋" w:eastAsia="仿宋" w:cs="仿宋"/>
          <w:b/>
          <w:bCs/>
          <w:color w:val="000000"/>
          <w:spacing w:val="0"/>
          <w:w w:val="100"/>
          <w:position w:val="0"/>
          <w:sz w:val="32"/>
          <w:szCs w:val="32"/>
          <w:lang w:eastAsia="zh-CN"/>
        </w:rPr>
        <w:t>我</w:t>
      </w:r>
      <w:r>
        <w:rPr>
          <w:rFonts w:hint="eastAsia" w:ascii="仿宋" w:hAnsi="仿宋" w:eastAsia="仿宋" w:cs="仿宋"/>
          <w:b/>
          <w:bCs/>
          <w:color w:val="000000"/>
          <w:spacing w:val="0"/>
          <w:w w:val="100"/>
          <w:position w:val="0"/>
          <w:sz w:val="32"/>
          <w:szCs w:val="32"/>
        </w:rPr>
        <w:t>市确定的特药定点药店符合条件的一并规范为双通道药店。原则上每个县（市、区）至少开通1家双通道药店，市辖区可适当增加数量。要建立健全双通道药店准入退出机制，适度竞争、有进有出、动态调整。医保部门要将双通道药店纳入定点协议管理，明确双方权利和义务。</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双通道药店要充分发挥分布广泛、市场化程度高、服务灵活等优势，与定点医疗机构互为补充，形成供应保障合力，确保国谈药品的供应，并严格执行与医保经办机构签订的协议价格要求。对储存等有特殊要求的药品，要遴选具备相应资质和能力的机构承担储存、配送任务。</w:t>
      </w:r>
    </w:p>
    <w:p>
      <w:pPr>
        <w:pStyle w:val="9"/>
        <w:keepNext w:val="0"/>
        <w:keepLines w:val="0"/>
        <w:pageBreakBefore w:val="0"/>
        <w:widowControl w:val="0"/>
        <w:shd w:val="clear" w:color="auto" w:fill="auto"/>
        <w:tabs>
          <w:tab w:val="left" w:pos="1082"/>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sz w:val="32"/>
          <w:szCs w:val="32"/>
        </w:rPr>
      </w:pPr>
      <w:bookmarkStart w:id="4" w:name="bookmark10"/>
      <w:r>
        <w:rPr>
          <w:rFonts w:hint="eastAsia" w:ascii="楷体" w:hAnsi="楷体" w:eastAsia="楷体" w:cs="楷体"/>
          <w:b/>
          <w:bCs/>
          <w:color w:val="000000"/>
          <w:spacing w:val="0"/>
          <w:w w:val="100"/>
          <w:position w:val="0"/>
          <w:sz w:val="32"/>
          <w:szCs w:val="32"/>
        </w:rPr>
        <w:t>（</w:t>
      </w:r>
      <w:bookmarkEnd w:id="4"/>
      <w:r>
        <w:rPr>
          <w:rFonts w:hint="eastAsia" w:ascii="楷体" w:hAnsi="楷体" w:eastAsia="楷体" w:cs="楷体"/>
          <w:b/>
          <w:bCs/>
          <w:color w:val="000000"/>
          <w:spacing w:val="0"/>
          <w:w w:val="100"/>
          <w:position w:val="0"/>
          <w:sz w:val="32"/>
          <w:szCs w:val="32"/>
        </w:rPr>
        <w:t>三）</w:t>
      </w:r>
      <w:r>
        <w:rPr>
          <w:rFonts w:hint="eastAsia" w:ascii="楷体" w:hAnsi="楷体" w:eastAsia="楷体" w:cs="楷体"/>
          <w:b/>
          <w:bCs/>
          <w:color w:val="000000"/>
          <w:spacing w:val="0"/>
          <w:w w:val="100"/>
          <w:position w:val="0"/>
          <w:sz w:val="32"/>
          <w:szCs w:val="32"/>
        </w:rPr>
        <w:tab/>
      </w:r>
      <w:r>
        <w:rPr>
          <w:rFonts w:hint="eastAsia" w:ascii="楷体" w:hAnsi="楷体" w:eastAsia="楷体" w:cs="楷体"/>
          <w:b/>
          <w:bCs/>
          <w:color w:val="000000"/>
          <w:spacing w:val="0"/>
          <w:w w:val="100"/>
          <w:position w:val="0"/>
          <w:sz w:val="32"/>
          <w:szCs w:val="32"/>
        </w:rPr>
        <w:t>优化“双通道”经办管理服务</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医保部门要整合基本医保、大病保险、医疗救助经办服务，大力推进纳入“双通道”管理的国谈药品一站式结算。参保患者需在双通道药店购买国谈药品的，须由定点医疗机构的医保责任医师开具处方，凭相关材料到本统筹地区双通道药店购药可直接联网结算；暂不能直接联网结算的，可凭相关材料手工报销。2022年要将辖区内所有双通道药店纳入医保结算系统，实现即时联网结算。异地就医备案患者确因病情需要，跨统筹地区购买国谈药品的费用，符合</w:t>
      </w:r>
      <w:r>
        <w:rPr>
          <w:rFonts w:hint="eastAsia" w:ascii="仿宋" w:hAnsi="仿宋" w:eastAsia="仿宋" w:cs="仿宋"/>
          <w:b/>
          <w:bCs/>
          <w:color w:val="000000"/>
          <w:spacing w:val="0"/>
          <w:w w:val="100"/>
          <w:position w:val="0"/>
          <w:sz w:val="32"/>
          <w:szCs w:val="32"/>
          <w:lang w:eastAsia="zh-CN"/>
        </w:rPr>
        <w:t>我市</w:t>
      </w:r>
      <w:r>
        <w:rPr>
          <w:rFonts w:hint="eastAsia" w:ascii="仿宋" w:hAnsi="仿宋" w:eastAsia="仿宋" w:cs="仿宋"/>
          <w:b/>
          <w:bCs/>
          <w:color w:val="000000"/>
          <w:spacing w:val="0"/>
          <w:w w:val="100"/>
          <w:position w:val="0"/>
          <w:sz w:val="32"/>
          <w:szCs w:val="32"/>
        </w:rPr>
        <w:t>政策规定的，可手工报销。在有效管控风险的基础上，稳妥探索将国谈药品纳入异地就医直接联网结算范围。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sz w:val="32"/>
          <w:szCs w:val="32"/>
        </w:rPr>
      </w:pPr>
      <w:bookmarkStart w:id="5" w:name="bookmark11"/>
      <w:r>
        <w:rPr>
          <w:rFonts w:hint="eastAsia" w:ascii="黑体" w:hAnsi="黑体" w:eastAsia="黑体" w:cs="黑体"/>
          <w:b/>
          <w:bCs/>
          <w:color w:val="000000"/>
          <w:spacing w:val="0"/>
          <w:w w:val="100"/>
          <w:position w:val="0"/>
          <w:sz w:val="32"/>
          <w:szCs w:val="32"/>
        </w:rPr>
        <w:t>四</w:t>
      </w:r>
      <w:bookmarkEnd w:id="5"/>
      <w:r>
        <w:rPr>
          <w:rFonts w:hint="eastAsia" w:ascii="黑体" w:hAnsi="黑体" w:eastAsia="黑体" w:cs="黑体"/>
          <w:b/>
          <w:bCs/>
          <w:color w:val="000000"/>
          <w:spacing w:val="0"/>
          <w:w w:val="100"/>
          <w:position w:val="0"/>
          <w:sz w:val="32"/>
          <w:szCs w:val="32"/>
        </w:rPr>
        <w:t>、强化监管，确保医保基金安全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color w:val="000000"/>
          <w:spacing w:val="0"/>
          <w:w w:val="100"/>
          <w:position w:val="0"/>
          <w:sz w:val="32"/>
          <w:szCs w:val="32"/>
        </w:rPr>
      </w:pPr>
      <w:r>
        <w:rPr>
          <w:rFonts w:hint="eastAsia" w:ascii="仿宋" w:hAnsi="仿宋" w:eastAsia="仿宋" w:cs="仿宋"/>
          <w:b/>
          <w:bCs/>
          <w:color w:val="000000"/>
          <w:spacing w:val="0"/>
          <w:w w:val="100"/>
          <w:position w:val="0"/>
          <w:sz w:val="32"/>
          <w:szCs w:val="32"/>
        </w:rPr>
        <w:t>依托</w:t>
      </w:r>
      <w:r>
        <w:rPr>
          <w:rFonts w:hint="eastAsia" w:ascii="仿宋" w:hAnsi="仿宋" w:eastAsia="仿宋" w:cs="仿宋"/>
          <w:b/>
          <w:bCs/>
          <w:color w:val="000000"/>
          <w:spacing w:val="0"/>
          <w:w w:val="100"/>
          <w:position w:val="0"/>
          <w:sz w:val="32"/>
          <w:szCs w:val="32"/>
          <w:lang w:eastAsia="zh-CN"/>
        </w:rPr>
        <w:t>省</w:t>
      </w:r>
      <w:r>
        <w:rPr>
          <w:rFonts w:hint="eastAsia" w:ascii="仿宋" w:hAnsi="仿宋" w:eastAsia="仿宋" w:cs="仿宋"/>
          <w:b/>
          <w:bCs/>
          <w:color w:val="000000"/>
          <w:spacing w:val="0"/>
          <w:w w:val="100"/>
          <w:position w:val="0"/>
          <w:sz w:val="32"/>
          <w:szCs w:val="32"/>
        </w:rPr>
        <w:t>医保处方流转监管平台，连通医保经办机构、定点医疗机构、双通道药店，保证定点医疗机构的医师开具的电子处方在符合国家处方管理相关规定的前提下，顺畅流转至双通道药店。以处方流转为核心，落实定药店、可追溯、实名制管理等要求，实现患者实名管理、待遇准入、复查评估、支付管理以及对医师、处方流转全流程监管。严厉打击“双通道”管理领域倒卖药品、套骗取医保基金行为，严格按《医疗保障基金使用监督管理条例》作出处理。加强国谈药品费用和基金支出常态化分析和监测，及时调整完善监管政策措施，确保基金安全。</w:t>
      </w:r>
      <w:bookmarkStart w:id="6" w:name="bookmark12"/>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r>
        <w:rPr>
          <w:rFonts w:hint="eastAsia" w:ascii="黑体" w:hAnsi="黑体" w:eastAsia="黑体" w:cs="黑体"/>
          <w:b/>
          <w:bCs/>
          <w:color w:val="000000"/>
          <w:spacing w:val="0"/>
          <w:w w:val="100"/>
          <w:position w:val="0"/>
          <w:sz w:val="32"/>
          <w:szCs w:val="32"/>
        </w:rPr>
        <w:t>五</w:t>
      </w:r>
      <w:bookmarkEnd w:id="6"/>
      <w:r>
        <w:rPr>
          <w:rFonts w:hint="eastAsia" w:ascii="黑体" w:hAnsi="黑体" w:eastAsia="黑体" w:cs="黑体"/>
          <w:b/>
          <w:bCs/>
          <w:color w:val="000000"/>
          <w:spacing w:val="0"/>
          <w:w w:val="100"/>
          <w:position w:val="0"/>
          <w:sz w:val="32"/>
          <w:szCs w:val="32"/>
        </w:rPr>
        <w:t>、加强组织领导，扎实推进国谈药品落地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color w:val="000000"/>
          <w:spacing w:val="0"/>
          <w:w w:val="100"/>
          <w:position w:val="0"/>
          <w:sz w:val="32"/>
          <w:szCs w:val="32"/>
        </w:rPr>
      </w:pPr>
      <w:r>
        <w:rPr>
          <w:rFonts w:hint="eastAsia" w:ascii="仿宋" w:hAnsi="仿宋" w:eastAsia="仿宋" w:cs="仿宋"/>
          <w:b/>
          <w:bCs/>
          <w:color w:val="000000"/>
          <w:spacing w:val="0"/>
          <w:w w:val="100"/>
          <w:position w:val="0"/>
          <w:sz w:val="32"/>
          <w:szCs w:val="32"/>
        </w:rPr>
        <w:t>国谈药品落地关系广大参保患者切身利益，党中央、国务院和</w:t>
      </w:r>
      <w:r>
        <w:rPr>
          <w:rFonts w:hint="eastAsia" w:ascii="仿宋" w:hAnsi="仿宋" w:eastAsia="仿宋" w:cs="仿宋"/>
          <w:b/>
          <w:bCs/>
          <w:color w:val="000000"/>
          <w:spacing w:val="0"/>
          <w:w w:val="100"/>
          <w:position w:val="0"/>
          <w:sz w:val="32"/>
          <w:szCs w:val="32"/>
          <w:lang w:eastAsia="zh-CN"/>
        </w:rPr>
        <w:t>市</w:t>
      </w:r>
      <w:r>
        <w:rPr>
          <w:rFonts w:hint="eastAsia" w:ascii="仿宋" w:hAnsi="仿宋" w:eastAsia="仿宋" w:cs="仿宋"/>
          <w:b/>
          <w:bCs/>
          <w:color w:val="000000"/>
          <w:spacing w:val="0"/>
          <w:w w:val="100"/>
          <w:position w:val="0"/>
          <w:sz w:val="32"/>
          <w:szCs w:val="32"/>
        </w:rPr>
        <w:t>委、</w:t>
      </w:r>
      <w:r>
        <w:rPr>
          <w:rFonts w:hint="eastAsia" w:ascii="仿宋" w:hAnsi="仿宋" w:eastAsia="仿宋" w:cs="仿宋"/>
          <w:b/>
          <w:bCs/>
          <w:color w:val="000000"/>
          <w:spacing w:val="0"/>
          <w:w w:val="100"/>
          <w:position w:val="0"/>
          <w:sz w:val="32"/>
          <w:szCs w:val="32"/>
          <w:lang w:eastAsia="zh-CN"/>
        </w:rPr>
        <w:t>市</w:t>
      </w:r>
      <w:r>
        <w:rPr>
          <w:rFonts w:hint="eastAsia" w:ascii="仿宋" w:hAnsi="仿宋" w:eastAsia="仿宋" w:cs="仿宋"/>
          <w:b/>
          <w:bCs/>
          <w:color w:val="000000"/>
          <w:spacing w:val="0"/>
          <w:w w:val="100"/>
          <w:position w:val="0"/>
          <w:sz w:val="32"/>
          <w:szCs w:val="32"/>
        </w:rPr>
        <w:t>政府高度重视，社会各界广泛关注，各级医疗保障和卫生健康部门要提高政治站位，增强主动性协同性，密切配合、夯实责任。要加强对定点医药机构的引导、管理和监督，自觉适应国家医保药品目录调整常态化、管理精细化的要求，细化完善政策措施，积极主动做好国谈药品落地的统筹协调和组织实施工作，妥善处理政策执行过程中出现的问题，确保平稳推进，落实落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default"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rPr>
        <w:t>济宁市医疗保障局</w:t>
      </w:r>
      <w:r>
        <w:rPr>
          <w:rFonts w:hint="eastAsia" w:ascii="仿宋" w:hAnsi="仿宋" w:eastAsia="仿宋" w:cs="仿宋"/>
          <w:b/>
          <w:bCs/>
          <w:color w:val="000000"/>
          <w:spacing w:val="0"/>
          <w:w w:val="100"/>
          <w:position w:val="0"/>
          <w:sz w:val="32"/>
          <w:szCs w:val="32"/>
          <w:lang w:val="en-US" w:eastAsia="zh-CN"/>
        </w:rPr>
        <w:t xml:space="preserve">          济宁市卫生健康委员会</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5342" w:firstLineChars="1663"/>
        <w:jc w:val="both"/>
        <w:textAlignment w:val="auto"/>
        <w:rPr>
          <w:rFonts w:hint="eastAsia" w:ascii="仿宋" w:hAnsi="仿宋" w:eastAsia="仿宋" w:cs="仿宋"/>
          <w:b/>
          <w:bCs/>
          <w:color w:val="000000"/>
          <w:spacing w:val="0"/>
          <w:w w:val="100"/>
          <w:position w:val="0"/>
          <w:sz w:val="32"/>
          <w:szCs w:val="32"/>
        </w:rPr>
      </w:pPr>
      <w:r>
        <w:rPr>
          <w:rFonts w:hint="eastAsia" w:ascii="仿宋" w:hAnsi="仿宋" w:eastAsia="仿宋" w:cs="仿宋"/>
          <w:b/>
          <w:bCs/>
          <w:color w:val="000000"/>
          <w:spacing w:val="0"/>
          <w:w w:val="100"/>
          <w:position w:val="0"/>
          <w:sz w:val="32"/>
          <w:szCs w:val="32"/>
        </w:rPr>
        <w:t>2021年</w:t>
      </w:r>
      <w:r>
        <w:rPr>
          <w:rFonts w:hint="eastAsia" w:ascii="仿宋" w:hAnsi="仿宋" w:eastAsia="仿宋" w:cs="仿宋"/>
          <w:b/>
          <w:bCs/>
          <w:color w:val="000000"/>
          <w:spacing w:val="0"/>
          <w:w w:val="100"/>
          <w:position w:val="0"/>
          <w:sz w:val="32"/>
          <w:szCs w:val="32"/>
          <w:lang w:val="en-US" w:eastAsia="zh-CN"/>
        </w:rPr>
        <w:t>12</w:t>
      </w:r>
      <w:r>
        <w:rPr>
          <w:rFonts w:hint="eastAsia" w:ascii="仿宋" w:hAnsi="仿宋" w:eastAsia="仿宋" w:cs="仿宋"/>
          <w:b/>
          <w:bCs/>
          <w:color w:val="000000"/>
          <w:spacing w:val="0"/>
          <w:w w:val="100"/>
          <w:position w:val="0"/>
          <w:sz w:val="32"/>
          <w:szCs w:val="32"/>
        </w:rPr>
        <w:t>月</w:t>
      </w:r>
      <w:r>
        <w:rPr>
          <w:rFonts w:hint="eastAsia" w:ascii="仿宋" w:hAnsi="仿宋" w:eastAsia="仿宋" w:cs="仿宋"/>
          <w:b/>
          <w:bCs/>
          <w:color w:val="000000"/>
          <w:spacing w:val="0"/>
          <w:w w:val="100"/>
          <w:position w:val="0"/>
          <w:sz w:val="32"/>
          <w:szCs w:val="32"/>
          <w:lang w:val="en-US" w:eastAsia="zh-CN"/>
        </w:rPr>
        <w:t>3</w:t>
      </w:r>
      <w:bookmarkStart w:id="7" w:name="_GoBack"/>
      <w:bookmarkEnd w:id="7"/>
      <w:r>
        <w:rPr>
          <w:rFonts w:hint="eastAsia" w:ascii="仿宋" w:hAnsi="仿宋" w:eastAsia="仿宋" w:cs="仿宋"/>
          <w:b/>
          <w:bCs/>
          <w:color w:val="000000"/>
          <w:spacing w:val="0"/>
          <w:w w:val="100"/>
          <w:position w:val="0"/>
          <w:sz w:val="32"/>
          <w:szCs w:val="32"/>
        </w:rPr>
        <w:t>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5342" w:firstLineChars="1663"/>
        <w:jc w:val="both"/>
        <w:textAlignment w:val="auto"/>
        <w:rPr>
          <w:rFonts w:hint="eastAsia" w:ascii="仿宋" w:hAnsi="仿宋" w:eastAsia="仿宋" w:cs="仿宋"/>
          <w:b/>
          <w:bCs/>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color w:val="000000"/>
          <w:spacing w:val="0"/>
          <w:w w:val="100"/>
          <w:position w:val="0"/>
          <w:sz w:val="32"/>
          <w:szCs w:val="32"/>
          <w:lang w:eastAsia="zh-CN"/>
        </w:rPr>
      </w:pPr>
      <w:r>
        <w:rPr>
          <w:rFonts w:hint="eastAsia" w:ascii="仿宋" w:hAnsi="仿宋" w:eastAsia="仿宋" w:cs="仿宋"/>
          <w:b/>
          <w:bCs/>
          <w:color w:val="000000"/>
          <w:spacing w:val="0"/>
          <w:w w:val="100"/>
          <w:position w:val="0"/>
          <w:sz w:val="32"/>
          <w:szCs w:val="32"/>
          <w:lang w:eastAsia="zh-CN"/>
        </w:rPr>
        <w:t>（此件主动公开）</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b/>
          <w:bCs/>
          <w:color w:val="000000"/>
          <w:spacing w:val="0"/>
          <w:w w:val="100"/>
          <w:position w:val="0"/>
          <w:sz w:val="32"/>
          <w:szCs w:val="32"/>
        </w:rPr>
      </w:pPr>
    </w:p>
    <w:p>
      <w:pPr>
        <w:ind w:left="1600" w:leftChars="200" w:hanging="960" w:hangingChars="300"/>
        <w:rPr>
          <w:rFonts w:hint="eastAsia" w:ascii="仿宋_GB2312" w:hAnsi="仿宋_GB2312" w:eastAsia="仿宋_GB2312" w:cs="仿宋_GB2312"/>
          <w:sz w:val="32"/>
          <w:szCs w:val="32"/>
          <w:lang w:val="en-US" w:eastAsia="zh-CN"/>
        </w:rPr>
      </w:pPr>
    </w:p>
    <w:p>
      <w:pPr>
        <w:ind w:left="1600" w:leftChars="200" w:hanging="960" w:hangingChars="300"/>
        <w:rPr>
          <w:rFonts w:hint="eastAsia" w:ascii="仿宋_GB2312" w:hAnsi="仿宋_GB2312" w:eastAsia="仿宋_GB2312" w:cs="仿宋_GB2312"/>
          <w:sz w:val="32"/>
          <w:szCs w:val="32"/>
          <w:lang w:val="en-US" w:eastAsia="zh-CN"/>
        </w:rPr>
      </w:pPr>
    </w:p>
    <w:p>
      <w:pPr>
        <w:ind w:left="1600" w:leftChars="200" w:hanging="960" w:hangingChars="300"/>
        <w:rPr>
          <w:rFonts w:hint="eastAsia" w:ascii="仿宋_GB2312" w:hAnsi="仿宋_GB2312" w:eastAsia="仿宋_GB2312" w:cs="仿宋_GB2312"/>
          <w:sz w:val="32"/>
          <w:szCs w:val="32"/>
          <w:lang w:val="en-US" w:eastAsia="zh-CN"/>
        </w:rPr>
      </w:pPr>
    </w:p>
    <w:p>
      <w:pPr>
        <w:ind w:left="1600" w:leftChars="200" w:hanging="960" w:hangingChars="300"/>
        <w:rPr>
          <w:rFonts w:hint="eastAsia" w:ascii="仿宋_GB2312" w:hAnsi="仿宋_GB2312" w:eastAsia="仿宋_GB2312" w:cs="仿宋_GB2312"/>
          <w:sz w:val="32"/>
          <w:szCs w:val="32"/>
          <w:lang w:val="en-US" w:eastAsia="zh-CN"/>
        </w:rPr>
      </w:pPr>
    </w:p>
    <w:p>
      <w:pPr>
        <w:ind w:left="1600" w:leftChars="200" w:hanging="960" w:hangingChars="30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tbl>
      <w:tblPr>
        <w:tblStyle w:val="5"/>
        <w:tblW w:w="930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85" w:hRule="atLeast"/>
          <w:jc w:val="center"/>
        </w:trPr>
        <w:tc>
          <w:tcPr>
            <w:tcW w:w="9300" w:type="dxa"/>
            <w:tcBorders>
              <w:top w:val="single" w:color="auto" w:sz="4" w:space="0"/>
              <w:left w:val="nil"/>
              <w:bottom w:val="single" w:color="auto" w:sz="4" w:space="0"/>
              <w:right w:val="nil"/>
            </w:tcBorders>
            <w:noWrap w:val="0"/>
            <w:vAlign w:val="center"/>
          </w:tcPr>
          <w:p>
            <w:pPr>
              <w:ind w:firstLine="280" w:firstLineChars="100"/>
              <w:jc w:val="both"/>
              <w:rPr>
                <w:rFonts w:hint="eastAsia" w:ascii="仿宋_GB2312" w:eastAsia="仿宋_GB2312" w:cs="方正黑体简体"/>
                <w:kern w:val="0"/>
                <w:sz w:val="28"/>
                <w:szCs w:val="28"/>
              </w:rPr>
            </w:pPr>
            <w:r>
              <w:rPr>
                <w:rFonts w:hint="eastAsia" w:ascii="仿宋_GB2312" w:eastAsia="仿宋_GB2312" w:cs="方正黑体简体"/>
                <w:kern w:val="0"/>
                <w:sz w:val="28"/>
                <w:szCs w:val="28"/>
              </w:rPr>
              <w:t>济宁市医疗保障局办公室</w:t>
            </w:r>
            <w:r>
              <w:rPr>
                <w:rFonts w:hint="eastAsia" w:ascii="仿宋_GB2312" w:eastAsia="仿宋_GB2312" w:cs="方正黑体简体"/>
                <w:kern w:val="0"/>
                <w:sz w:val="28"/>
                <w:szCs w:val="28"/>
                <w:lang w:val="en-US" w:eastAsia="zh-CN"/>
              </w:rPr>
              <w:t xml:space="preserve">         </w:t>
            </w:r>
            <w:r>
              <w:rPr>
                <w:rFonts w:hint="eastAsia" w:ascii="仿宋_GB2312" w:eastAsia="仿宋_GB2312" w:cs="方正黑体简体"/>
                <w:kern w:val="0"/>
                <w:sz w:val="28"/>
                <w:szCs w:val="28"/>
              </w:rPr>
              <w:t xml:space="preserve">           </w:t>
            </w:r>
            <w:r>
              <w:rPr>
                <w:rFonts w:hint="eastAsia" w:ascii="仿宋_GB2312" w:eastAsia="仿宋_GB2312" w:cs="方正黑体简体"/>
                <w:kern w:val="0"/>
                <w:sz w:val="28"/>
                <w:szCs w:val="28"/>
                <w:lang w:val="en-US" w:eastAsia="zh-CN"/>
              </w:rPr>
              <w:t xml:space="preserve"> </w:t>
            </w:r>
            <w:r>
              <w:rPr>
                <w:rFonts w:hint="eastAsia" w:ascii="仿宋_GB2312" w:eastAsia="仿宋_GB2312" w:cs="方正黑体简体"/>
                <w:kern w:val="0"/>
                <w:sz w:val="28"/>
                <w:szCs w:val="28"/>
              </w:rPr>
              <w:t>20</w:t>
            </w:r>
            <w:r>
              <w:rPr>
                <w:rFonts w:hint="eastAsia" w:ascii="仿宋_GB2312" w:eastAsia="仿宋_GB2312" w:cs="方正黑体简体"/>
                <w:kern w:val="0"/>
                <w:sz w:val="28"/>
                <w:szCs w:val="28"/>
                <w:lang w:val="en-US" w:eastAsia="zh-CN"/>
              </w:rPr>
              <w:t>21</w:t>
            </w:r>
            <w:r>
              <w:rPr>
                <w:rFonts w:hint="eastAsia" w:ascii="仿宋_GB2312" w:eastAsia="仿宋_GB2312" w:cs="方正黑体简体"/>
                <w:kern w:val="0"/>
                <w:sz w:val="28"/>
                <w:szCs w:val="28"/>
              </w:rPr>
              <w:t>年</w:t>
            </w:r>
            <w:r>
              <w:rPr>
                <w:rFonts w:hint="eastAsia" w:ascii="仿宋_GB2312" w:eastAsia="仿宋_GB2312" w:cs="方正黑体简体"/>
                <w:kern w:val="0"/>
                <w:sz w:val="28"/>
                <w:szCs w:val="28"/>
                <w:lang w:val="en-US" w:eastAsia="zh-CN"/>
              </w:rPr>
              <w:t>12</w:t>
            </w:r>
            <w:r>
              <w:rPr>
                <w:rFonts w:hint="eastAsia" w:ascii="仿宋_GB2312" w:eastAsia="仿宋_GB2312" w:cs="方正黑体简体"/>
                <w:kern w:val="0"/>
                <w:sz w:val="28"/>
                <w:szCs w:val="28"/>
              </w:rPr>
              <w:t>月</w:t>
            </w:r>
            <w:r>
              <w:rPr>
                <w:rFonts w:hint="eastAsia" w:ascii="仿宋_GB2312" w:eastAsia="仿宋_GB2312" w:cs="方正黑体简体"/>
                <w:kern w:val="0"/>
                <w:sz w:val="28"/>
                <w:szCs w:val="28"/>
                <w:lang w:val="en-US" w:eastAsia="zh-CN"/>
              </w:rPr>
              <w:t xml:space="preserve">  </w:t>
            </w:r>
            <w:r>
              <w:rPr>
                <w:rFonts w:hint="eastAsia" w:ascii="仿宋_GB2312" w:eastAsia="仿宋_GB2312" w:cs="方正黑体简体"/>
                <w:kern w:val="0"/>
                <w:sz w:val="28"/>
                <w:szCs w:val="28"/>
              </w:rPr>
              <w:t>日印发</w:t>
            </w:r>
          </w:p>
        </w:tc>
      </w:tr>
    </w:tbl>
    <w:p>
      <w:pPr>
        <w:rPr>
          <w:rFonts w:hint="default" w:ascii="仿宋_GB2312" w:hAnsi="仿宋_GB2312" w:eastAsia="仿宋_GB2312" w:cs="仿宋_GB2312"/>
          <w:sz w:val="32"/>
          <w:szCs w:val="32"/>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等线" w:cs="Times New Roman"/>
                              <w:sz w:val="28"/>
                              <w:szCs w:val="28"/>
                              <w:lang w:eastAsia="zh-CN"/>
                            </w:rPr>
                          </w:pPr>
                          <w:r>
                            <w:rPr>
                              <w:rFonts w:hint="default"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等线" w:cs="Times New Roman"/>
                        <w:sz w:val="28"/>
                        <w:szCs w:val="28"/>
                        <w:lang w:eastAsia="zh-CN"/>
                      </w:rPr>
                    </w:pPr>
                    <w:r>
                      <w:rPr>
                        <w:rFonts w:hint="default"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ZjY4OTRlOGMxNThhYWJhMzNkMmM1YjZkZDJkMDkifQ=="/>
  </w:docVars>
  <w:rsids>
    <w:rsidRoot w:val="00000000"/>
    <w:rsid w:val="0AEA7E12"/>
    <w:rsid w:val="0FCC6667"/>
    <w:rsid w:val="16F0621B"/>
    <w:rsid w:val="18FF1CA3"/>
    <w:rsid w:val="22D04493"/>
    <w:rsid w:val="25925FCB"/>
    <w:rsid w:val="269424CC"/>
    <w:rsid w:val="2765227D"/>
    <w:rsid w:val="3D03241E"/>
    <w:rsid w:val="654C5B54"/>
    <w:rsid w:val="6F610B4A"/>
    <w:rsid w:val="76C56584"/>
    <w:rsid w:val="7B83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88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 #2|1"/>
    <w:basedOn w:val="1"/>
    <w:qFormat/>
    <w:uiPriority w:val="0"/>
    <w:pPr>
      <w:widowControl w:val="0"/>
      <w:shd w:val="clear" w:color="auto" w:fill="auto"/>
      <w:spacing w:after="320" w:line="333" w:lineRule="exact"/>
      <w:jc w:val="center"/>
      <w:outlineLvl w:val="1"/>
    </w:pPr>
    <w:rPr>
      <w:rFonts w:ascii="宋体" w:hAnsi="宋体" w:eastAsia="宋体" w:cs="宋体"/>
      <w:sz w:val="26"/>
      <w:szCs w:val="26"/>
      <w:u w:val="none"/>
      <w:shd w:val="clear" w:color="auto" w:fill="auto"/>
      <w:lang w:val="zh-CN" w:eastAsia="zh-CN" w:bidi="zh-CN"/>
    </w:rPr>
  </w:style>
  <w:style w:type="paragraph" w:customStyle="1" w:styleId="9">
    <w:name w:val="Body text|1"/>
    <w:basedOn w:val="1"/>
    <w:qFormat/>
    <w:uiPriority w:val="0"/>
    <w:pPr>
      <w:widowControl w:val="0"/>
      <w:shd w:val="clear" w:color="auto" w:fill="auto"/>
      <w:spacing w:line="422" w:lineRule="auto"/>
      <w:ind w:firstLine="400"/>
    </w:pPr>
    <w:rPr>
      <w:rFonts w:ascii="宋体" w:hAnsi="宋体" w:eastAsia="宋体" w:cs="宋体"/>
      <w:sz w:val="20"/>
      <w:szCs w:val="20"/>
      <w:u w:val="none"/>
      <w:shd w:val="clear" w:color="auto" w:fill="auto"/>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2691</Words>
  <Characters>2721</Characters>
  <Lines>0</Lines>
  <Paragraphs>0</Paragraphs>
  <TotalTime>2</TotalTime>
  <ScaleCrop>false</ScaleCrop>
  <LinksUpToDate>false</LinksUpToDate>
  <CharactersWithSpaces>2760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2021-08-17T06:54:00Z</dcterms:created>
  <dc:creator>Administrator</dc:creator>
  <cp:lastModifiedBy>　　无她无爱</cp:lastModifiedBy>
  <cp:lastPrinted>2021-12-02T06:27:00Z</cp:lastPrinted>
  <dcterms:modified xsi:type="dcterms:W3CDTF">2022-12-15T08:56:00Z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CEF47B5C7D36401E8E165F6AE4BD90D2</vt:lpwstr>
  </property>
</Properties>
</file>