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  <w:t>济宁市审计局关于2023年度市级预算执行和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  <w:t>其他财政收支审计情况的公告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（202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年第2号公告）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根据省审计厅统一部署、市委市政府安排和市人大要求，市审计局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val="en-US" w:eastAsia="zh-CN"/>
        </w:rPr>
        <w:t>自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2024年3月1日至4月30日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val="en-US" w:eastAsia="zh-CN"/>
        </w:rPr>
        <w:t>依法审计了2023年度市级预算执行和其他财政收支情况，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同步开展了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个市直单位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eastAsia="zh-CN"/>
        </w:rPr>
        <w:t>预算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执行情况审计，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统筹开展了</w:t>
      </w:r>
      <w:r>
        <w:rPr>
          <w:rFonts w:hint="default" w:ascii="Times New Roman" w:hAnsi="Times New Roman" w:eastAsia="方正仿宋简体" w:cs="Times New Roman"/>
          <w:b w:val="0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/>
        </w:rPr>
        <w:t>优抚资金、应急物资管理资金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等重点专项资金、重大项目投资、重点资产管理的审计，延伸审计了3个功能区及部分县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市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区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</w:pPr>
      <w:bookmarkStart w:id="0" w:name="_Toc4910"/>
      <w:bookmarkStart w:id="1" w:name="_Toc32634"/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审计结果表明，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2023年，在市委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val="en-US" w:eastAsia="zh-CN"/>
        </w:rPr>
        <w:t>市政府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的坚强领导下，在市人大及其常委会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highlight w:val="none"/>
          <w:u w:val="none"/>
        </w:rPr>
        <w:t>监督支持下，全市上下坚持以习近平新时代中国特色社会主义思想为指导，深入学习贯彻党的二十大和二十届二中全会精神，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20"/>
          <w:highlight w:val="none"/>
          <w:u w:val="none"/>
        </w:rPr>
        <w:t>坚持以高质量发展统揽全局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20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主动服务和融入新发展格局，坚持积极的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可持续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财政政策提质增效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有力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地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促进了经济稳定恢复和民生持续改善，全市经济呈现向上向好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态势。</w:t>
      </w:r>
      <w:bookmarkEnd w:id="0"/>
      <w:bookmarkEnd w:id="1"/>
      <w:bookmarkStart w:id="2" w:name="_Toc2828"/>
      <w:bookmarkStart w:id="3" w:name="_Toc759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b w:val="0"/>
          <w:snapToGrid w:val="0"/>
          <w:color w:val="000000"/>
          <w:kern w:val="0"/>
          <w:sz w:val="32"/>
          <w:szCs w:val="32"/>
          <w:highlight w:val="none"/>
          <w:u w:val="none"/>
        </w:rPr>
        <w:t>——突出市场导向，推动经济高质量发展。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主动打好政策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组合拳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，推动全市经济平稳健康发展。不折不扣落实各项惠企政策，大力支持实施制造强市、创新驱动等全市重大发展战略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zh-CN"/>
        </w:rPr>
        <w:t>。强化财金协同赋能，推动高成长性企业发展基金高效投资和项目落地。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发挥政府性融资担保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减震器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作用，大力推进农业信贷担保工作。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b w:val="0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——强化增收节支，提升财政统筹保障能力。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</w:rPr>
        <w:t>积极应对各种不利因素影响，着力优化财政收入结构。持续加大对上争取力度，2023年全市共获得上级各类转移支付资金292亿元，比上年增加19亿元；争取新增专项债券资金166.6亿元，有力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  <w:t>地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</w:rPr>
        <w:t>支持了全市重点项目建设。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snapToGrid w:val="0"/>
          <w:color w:val="000000"/>
          <w:kern w:val="0"/>
          <w:sz w:val="32"/>
          <w:szCs w:val="32"/>
          <w:highlight w:val="none"/>
          <w:u w:val="none"/>
        </w:rPr>
        <w:t>——优化支出结构，支持民生福祉稳步提升。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着力发挥财政保障职能作用，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大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力推动民生实事顺利完成。全市民生相关领域支出627.8亿元，占一般公共预算支出的80.2%，高于上年0.9个百分点。加快推进学前教育普及普惠，提高义务教育公用经费保障水平，持续改善办学条件。社会保障待遇水平稳步提高，低收入群体基本生活得到有效保障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b w:val="0"/>
          <w:snapToGrid w:val="0"/>
          <w:color w:val="000000"/>
          <w:kern w:val="0"/>
          <w:sz w:val="32"/>
          <w:szCs w:val="32"/>
          <w:highlight w:val="none"/>
          <w:u w:val="none"/>
        </w:rPr>
        <w:t>——深化财政改革，助推财政管理提质增效。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采取实物注资方式划转至市属国企进行市场化运营，推动资产资本统筹使用、循环壮大。升级全市预算管理一体化系统，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不断深化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预算管理改革。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b w:val="0"/>
          <w:snapToGrid w:val="0"/>
          <w:color w:val="000000"/>
          <w:kern w:val="0"/>
          <w:sz w:val="32"/>
          <w:szCs w:val="32"/>
          <w:highlight w:val="none"/>
          <w:u w:val="none"/>
        </w:rPr>
        <w:t>——主动防范风险，筑牢经济发展安全防线。</w:t>
      </w:r>
      <w:r>
        <w:rPr>
          <w:rFonts w:hint="default" w:ascii="Times New Roman" w:hAnsi="Times New Roman" w:eastAsia="方正仿宋简体" w:cs="Times New Roman"/>
          <w:b w:val="0"/>
          <w:color w:val="000000"/>
          <w:kern w:val="0"/>
          <w:sz w:val="32"/>
          <w:szCs w:val="32"/>
          <w:highlight w:val="none"/>
          <w:u w:val="none"/>
        </w:rPr>
        <w:t>坚持底线思维，强化风险意识，抓好抓实地方债务风险化解，强化政府债务限额管理和预算约束。常态化推进债务风险预警分析，积极稳妥化解存量债务，有效防范化解政府债务风险，确保财政可持续运行。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一、市级预算执行审计情况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重点对市财政局具体组织的市级预算执行和市级决算草案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编制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情况进行审计。预算执行结果表明，2023年市级一般公共预算收入92.6亿元，完成预算的98.9%。当年市级一般公共预算收入，加各项税收返还转移支付补助、上年结转、调入资金及债务转贷收入等527.9亿元，收入共计620.5亿元。当年市级一般公共预算支出184.7亿元，完成预算的99.7%。当年市级一般公共预算支出，加上解支出、安排预算稳定调节基金、债务还本及结转下年支出等435.8亿元，支出共计620.5亿元。当年市级一般公共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市级政府性基金收入141.7亿元，完成预算的108.2%，较上年增长1.1%；市级政府性基金支出132.2亿元，完成预算的100.9%，较上年增长27.2%。当年市级政府性基金收入，加上级政府性基金补助、上年结转及债务转贷收入等290亿元，收入共计431.7亿元；当年市级政府性基金支出，加上解支出、调出资金、债务还本及结转下年支出等299.5亿元，支出共计431.7亿元。当年市级政府性基金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市级国有资本经营预算收入2.2亿元，加上级补助收入、上年结转0.2亿元，收入共计2.4亿元；市级国有资本经营预算支出共计2.4亿元。当年市级国有资本经营预算收支平衡。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市级社会保险基金收入168.9亿元，完成预算的98.8%，较上年同口径增长8.1%；市级社会保险基金支出173.5亿元，完成预算的104.7%，较上年同口径增长14.2%；市级社会保险基金滚存结余127亿元。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审计发现的主要问题：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预算刚性约束有待加强。（1）财政预算预留资金204071万元，预留到总预算，需再细化分配，占年初预算的14.45%。（2）有173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部门单位393个项目540347万元，执行中再调剂，占年初预算的33.14%。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预算分配管理科学性有待提高。（1）有41家单位，12月基本支出占全年的25%以上，存在年底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突击花钱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的情况。（2）上级专项资金40632.02万元超30日未及时拨付。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专项资金未有效发挥效益。（1）上级专项资金1140万元未发挥效益，被省财政收回。其中：曲阜市被收回659万元，汶上县被收回481万元。（2）高新技术等专项奖补资金418.03万元拨付9家企业后，企业短期内停产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停业或注销，未发挥资金持续效益。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国有资本经营预算申报上缴不严格。（1）9家市直单位对外投资的15家企业未纳入国有资本经营预算编制范围。（2）国有资本经营收益9943.28万元未上缴，审计期间，已整改上缴9172.47万元。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绩效管理工作质效需进一步提升。（1）市本级有233个项目绩效目标编制不合理，未充分发挥约束作用。（2）绩效评价结果应用不充分，未与预算安排和后续改进管理充分挂钩。（3）对部门单位绩效自评指导工作待完善，部分自评报告质量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二、部门预算执行审计情况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按照审计全覆盖和“两统筹”要求，结合领导干部经济责任、重点专项资金开展审计，对市退役军人事务局、市应急管理局、市农业农村局、市国有资产监督管理委员会、市广播电视台、市工业和信息化局等6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单位及相关二级单位2023年度预算执行、绩效管理等情况进行了审计。审计结果表明，各单位加强预算执行，注重预算绩效，预算管理总体较好。审计发现的主要问题：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部分支出不合理。（1）4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151.81万元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项目资金使用不合规。（2）2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120.16万元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一般性支出压减不到位。（3）2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单位超范围列支费用9.98万元。（4）3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4.48万元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报销不合规。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决算编制不准确。3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单位决算编制不准确，涉及金额6356.25万元。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部分项目绩效管理不严格。（1）2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单位绩效管理制度不健全。（2）2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单位绩效目标未完成。（3）1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单位个别项目应开展未开展事</w:t>
      </w:r>
      <w:bookmarkStart w:id="4" w:name="_GoBack"/>
      <w:bookmarkEnd w:id="4"/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前绩效评估。（4）1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单位部分项目绩效自评流于形式。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部分日常工作管理不到位。（1）2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单位部分合同签订不规范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个别奖励办法有漏洞。（2）1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单位存在违规兼职的问题。（3）1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单位未缴纳增值税22.32万元。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以前年度审计、巡视发现问题未整改。1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单位以前年度审计发现的职工向单位借款两年以上未还款6.81万元，未整改到位。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三、重点专项资金管理审计情况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全市优抚资金。（1）预决算编制不完整。2021年至2023年，1个功能区未将退役士兵社会保险接续上年结转资金71.80万元纳入预算编制范围。（2）2个县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（市、区）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未及时拨付专项资金490.57万元。（3）1个县部分固定资产未登记入账。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应急物资管理资金。（1）应急物资尚未形成统筹管理、共建共享机制。（2）市级应急物资仓库未按期投入使用。（3）应急物资精细化管理不规范。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四、公共投资项目审计情况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2023年度，市审计局对3个重大公共投资项目进行审计监督，涉及总投资150594.74万元，审计核减造价节约财政资金13137.13万元。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五、国有资产管理审计情况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部分行政事业性资产管理不到位。（1）6家单位闲置83处房产15598.74平方米。（2）3家单位未收、少收13处经营性用房房租593.14万元。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国有企业资产管理情况。重点延伸审计2家市直国有企业资产管理情况，其中，鲁泰控股：（1）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3家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权属企业对外出租11处国有资产未经评估。（2）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1家权属企业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预付款2364.97万元未按约定收回，存在国有资产损失风险。（3）2022年5月已经转增固定资产的标准化厂房建设项目847.86万元，截至审计日未编制竣工决算。济宁城投：（1）关联企业间使用经营性房产，未签订合同、未确认租金收入。（2）权属企业资产管理缺位，1处不动产被依法拆除未及时追偿。（3）9处资产未入账。（4）1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权属企业退还股金66万元导致资本不实。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自然资源资产管理情况。（1）部分县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（市、区）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耕地保护责任履行不到位，如4个县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（市、区）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现存光伏建设占用耕地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未办理审批备案手续。（2）各县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  <w:lang w:eastAsia="zh-CN"/>
        </w:rPr>
        <w:t>（市、区）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主管部门对临时用地缺乏有效监管，如1个县未督促用地单位及时复垦或恢复原貌。（3）1个县生态修复治理剩余砂石资源有偿使用收入5816.88万元未上缴财政。（4）全市2021年、2022年违法占用耕地未完成整改404.87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spacing w:val="0"/>
          <w:kern w:val="0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spacing w:val="0"/>
          <w:kern w:val="0"/>
          <w:sz w:val="32"/>
          <w:highlight w:val="none"/>
        </w:rPr>
        <w:t>市审计局依法向被审计单位出具了审计报告，提出了整改意见，相关责任部门按规定进行了整改；对政策制度不完善的问题，已向有关部门提出建议；依据《山东省审计监督条例》，对部分问题已移送有关部门处理。具体整改落实情况，将受市政府委托，专题向市人大常委会报告。</w:t>
      </w:r>
    </w:p>
    <w:sectPr>
      <w:footerReference r:id="rId3" w:type="default"/>
      <w:footerReference r:id="rId4" w:type="even"/>
      <w:pgSz w:w="11907" w:h="16840"/>
      <w:pgMar w:top="1871" w:right="1587" w:bottom="1587" w:left="1587" w:header="0" w:footer="850" w:gutter="0"/>
      <w:pgNumType w:fmt="decimal"/>
      <w:cols w:space="0" w:num="1"/>
      <w:rtlGutter w:val="0"/>
      <w:docGrid w:type="linesAndChars" w:linePitch="621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E541C-F72B-4EDF-9E84-348FA7E6D6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EE06B625-F7A5-42C5-A5F5-5AB27664DD6C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E089F78-1B79-4B46-AAF5-9178D365410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902DE140-E03B-4BB0-9A21-C3FA88BD50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jc w:val="right"/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jc w:val="right"/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b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jc w:val="both"/>
      <w:rPr>
        <w:rFonts w:hint="eastAsia"/>
        <w:sz w:val="28"/>
      </w:rPr>
    </w:pPr>
    <w:r>
      <w:rPr>
        <w:rStyle w:val="14"/>
        <w:rFonts w:hint="eastAsia"/>
        <w:sz w:val="28"/>
      </w:rPr>
      <w:t xml:space="preserve">— </w:t>
    </w:r>
    <w:r>
      <w:rPr>
        <w:b/>
        <w:sz w:val="28"/>
      </w:rPr>
      <w:fldChar w:fldCharType="begin"/>
    </w:r>
    <w:r>
      <w:rPr>
        <w:rStyle w:val="14"/>
        <w:b/>
        <w:sz w:val="28"/>
      </w:rPr>
      <w:instrText xml:space="preserve"> PAGE </w:instrText>
    </w:r>
    <w:r>
      <w:rPr>
        <w:b/>
        <w:sz w:val="28"/>
      </w:rPr>
      <w:fldChar w:fldCharType="separate"/>
    </w:r>
    <w:r>
      <w:rPr>
        <w:rStyle w:val="14"/>
        <w:b/>
        <w:sz w:val="28"/>
      </w:rPr>
      <w:t>8</w:t>
    </w:r>
    <w:r>
      <w:rPr>
        <w:b/>
        <w:sz w:val="28"/>
      </w:rPr>
      <w:fldChar w:fldCharType="end"/>
    </w:r>
    <w:r>
      <w:rPr>
        <w:rStyle w:val="14"/>
        <w:rFonts w:hint="eastAsia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mQyOTUyYWJlM2Y3MzBjYWY0NmI5MDQwMTk2M2MifQ=="/>
    <w:docVar w:name="KSO_WPS_MARK_KEY" w:val="d74b8b3b-641a-41be-9e78-85e9e5960f84"/>
  </w:docVars>
  <w:rsids>
    <w:rsidRoot w:val="00000000"/>
    <w:rsid w:val="021624D9"/>
    <w:rsid w:val="0C9D51A9"/>
    <w:rsid w:val="466B1629"/>
    <w:rsid w:val="599211F9"/>
    <w:rsid w:val="6208709F"/>
    <w:rsid w:val="7FE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snapToGrid w:val="0"/>
      <w:sz w:val="44"/>
    </w:rPr>
  </w:style>
  <w:style w:type="paragraph" w:styleId="3">
    <w:name w:val="heading 2"/>
    <w:basedOn w:val="2"/>
    <w:next w:val="1"/>
    <w:unhideWhenUsed/>
    <w:qFormat/>
    <w:uiPriority w:val="0"/>
    <w:pPr>
      <w:keepNext w:val="0"/>
      <w:keepLines w:val="0"/>
      <w:widowControl w:val="0"/>
      <w:adjustRightInd w:val="0"/>
      <w:snapToGrid w:val="0"/>
      <w:spacing w:beforeLines="0" w:beforeAutospacing="0" w:afterLines="0" w:afterAutospacing="0" w:line="600" w:lineRule="exact"/>
      <w:ind w:firstLine="562" w:firstLineChars="200"/>
      <w:jc w:val="both"/>
      <w:outlineLvl w:val="0"/>
    </w:pPr>
    <w:rPr>
      <w:rFonts w:eastAsia="黑体"/>
    </w:rPr>
  </w:style>
  <w:style w:type="paragraph" w:styleId="4">
    <w:name w:val="heading 3"/>
    <w:basedOn w:val="3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eastAsia="方正楷体简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unhideWhenUsed/>
    <w:qFormat/>
    <w:uiPriority w:val="99"/>
    <w:pPr>
      <w:ind w:firstLine="630"/>
    </w:pPr>
    <w:rPr>
      <w:rFonts w:ascii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3338</Words>
  <Characters>3661</Characters>
  <Lines>0</Lines>
  <Paragraphs>0</Paragraphs>
  <TotalTime>31</TotalTime>
  <ScaleCrop>false</ScaleCrop>
  <LinksUpToDate>false</LinksUpToDate>
  <CharactersWithSpaces>3661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2024-07-05T11:32:00Z</dcterms:created>
  <dc:creator>田</dc:creator>
  <cp:lastModifiedBy>Administrator</cp:lastModifiedBy>
  <cp:lastPrinted>2024-07-05T11:43:00Z</cp:lastPrinted>
  <dcterms:modified xsi:type="dcterms:W3CDTF">2024-08-21T03:10:24Z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2825CF7528914C11BAC736F3795DEDD3_13</vt:lpwstr>
  </property>
</Properties>
</file>