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宋体" w:eastAsia="方正大标宋简体"/>
          <w:color w:val="FF0000"/>
          <w:spacing w:val="-20"/>
          <w:w w:val="65"/>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大标宋简体" w:hAnsi="宋体" w:eastAsia="方正大标宋简体"/>
          <w:color w:val="FF0000"/>
          <w:spacing w:val="-20"/>
          <w:w w:val="65"/>
          <w:sz w:val="130"/>
          <w:szCs w:val="130"/>
        </w:rPr>
      </w:pPr>
      <w:r>
        <w:rPr>
          <w:rFonts w:hint="eastAsia" w:ascii="方正大标宋简体" w:hAnsi="宋体" w:eastAsia="方正大标宋简体"/>
          <w:color w:val="FF0000"/>
          <w:spacing w:val="-20"/>
          <w:w w:val="65"/>
          <w:sz w:val="130"/>
          <w:szCs w:val="130"/>
        </w:rPr>
        <w:t>济宁市交通运输局文件</w:t>
      </w:r>
    </w:p>
    <w:p>
      <w:pPr>
        <w:pStyle w:val="9"/>
        <w:keepNext w:val="0"/>
        <w:keepLines w:val="0"/>
        <w:pageBreakBefore w:val="0"/>
        <w:widowControl/>
        <w:kinsoku/>
        <w:wordWrap/>
        <w:overflowPunct/>
        <w:topLinePunct w:val="0"/>
        <w:autoSpaceDE/>
        <w:autoSpaceDN/>
        <w:bidi w:val="0"/>
        <w:adjustRightInd/>
        <w:snapToGrid/>
        <w:spacing w:line="279" w:lineRule="auto"/>
        <w:ind w:left="0" w:firstLine="0"/>
        <w:jc w:val="center"/>
        <w:textAlignment w:val="auto"/>
        <w:rPr>
          <w:rFonts w:hint="eastAsia" w:ascii="仿宋_GB2312" w:hAnsi="方正小标宋_GBK" w:eastAsia="仿宋_GB2312"/>
          <w:spacing w:val="6"/>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eastAsia="仿宋_GB2312"/>
          <w:sz w:val="32"/>
          <w:szCs w:val="32"/>
        </w:rPr>
      </w:pPr>
      <w:r>
        <w:rPr>
          <w:rFonts w:hint="eastAsia" w:ascii="仿宋_GB2312" w:eastAsia="仿宋_GB2312"/>
          <w:sz w:val="32"/>
          <w:szCs w:val="32"/>
        </w:rPr>
        <w:t>济交</w:t>
      </w:r>
      <w:r>
        <w:rPr>
          <w:rFonts w:hint="eastAsia" w:ascii="仿宋_GB2312" w:eastAsia="仿宋_GB2312"/>
          <w:sz w:val="32"/>
          <w:szCs w:val="32"/>
          <w:lang w:val="en-US" w:eastAsia="zh-CN"/>
        </w:rPr>
        <w:t>法规</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号</w:t>
      </w:r>
    </w:p>
    <w:p>
      <w:pPr>
        <w:pStyle w:val="2"/>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rPr>
      </w:pPr>
    </w:p>
    <w:p>
      <w:pPr>
        <w:pStyle w:val="9"/>
        <w:spacing w:line="278" w:lineRule="auto"/>
        <w:ind w:left="5250"/>
        <w:jc w:val="center"/>
        <w:rPr>
          <w:rFonts w:hint="eastAsia" w:ascii="仿宋_GB2312" w:hAnsi="方正小标宋_GBK" w:eastAsia="仿宋_GB2312"/>
          <w:spacing w:val="6"/>
          <w:sz w:val="32"/>
          <w:szCs w:val="32"/>
        </w:rPr>
      </w:pPr>
      <w:r>
        <w:rPr>
          <w:rFonts w:hint="eastAsia"/>
        </w:rPr>
        <mc:AlternateContent>
          <mc:Choice Requires="wps">
            <w:drawing>
              <wp:anchor distT="0" distB="0" distL="114300" distR="114300" simplePos="0" relativeHeight="251660288" behindDoc="1" locked="0" layoutInCell="1" allowOverlap="1">
                <wp:simplePos x="0" y="0"/>
                <wp:positionH relativeFrom="column">
                  <wp:posOffset>238125</wp:posOffset>
                </wp:positionH>
                <wp:positionV relativeFrom="paragraph">
                  <wp:posOffset>34290</wp:posOffset>
                </wp:positionV>
                <wp:extent cx="5467350" cy="0"/>
                <wp:effectExtent l="0" t="9525" r="0" b="9525"/>
                <wp:wrapTight wrapText="bothSides">
                  <wp:wrapPolygon>
                    <wp:start x="0" y="0"/>
                    <wp:lineTo x="0" y="21600"/>
                    <wp:lineTo x="21600" y="21600"/>
                    <wp:lineTo x="21600" y="0"/>
                    <wp:lineTo x="0" y="0"/>
                  </wp:wrapPolygon>
                </wp:wrapTight>
                <wp:docPr id="2" name="直接连接符 2"/>
                <wp:cNvGraphicFramePr/>
                <a:graphic xmlns:a="http://schemas.openxmlformats.org/drawingml/2006/main">
                  <a:graphicData uri="http://schemas.microsoft.com/office/word/2010/wordprocessingShape">
                    <wps:wsp>
                      <wps:cNvCnPr/>
                      <wps:spPr>
                        <a:xfrm>
                          <a:off x="0" y="0"/>
                          <a:ext cx="546735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75pt;margin-top:2.7pt;height:0pt;width:430.5pt;mso-wrap-distance-left:9pt;mso-wrap-distance-right:9pt;z-index:-251656192;mso-width-relative:page;mso-height-relative:page;" filled="f" stroked="t" coordsize="21600,21600" wrapcoords="0 0 0 21600 21600 21600 21600 0 0 0" o:gfxdata="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g32y1QAAAAYBAAAPAAAAAAAA&#10;AAEAIAAAACIAAABkcnMvZG93bnJldi54bWxQSwECFAAUAAAACACHTuJAfQYgSdwBAACXAwAADgAA&#10;AAAAAAABACAAAAAkAQAAZHJzL2Uyb0RvYy54bWxQSwUGAAAAAAYABgBZAQAAcgUAAAAA&#10;">
                <v:fill on="f" focussize="0,0"/>
                <v:stroke weight="1.5pt" color="#FF0000" joinstyle="round"/>
                <v:imagedata o:title=""/>
                <o:lock v:ext="edit" aspectratio="f"/>
                <w10:wrap type="tight"/>
              </v:line>
            </w:pict>
          </mc:Fallback>
        </mc:AlternateContent>
      </w:r>
    </w:p>
    <w:p>
      <w:pPr>
        <w:adjustRightInd w:val="0"/>
        <w:snapToGrid w:val="0"/>
        <w:spacing w:line="560" w:lineRule="exact"/>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济宁市交通运输局</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关于印发《济宁市“车货总质量未超过〈公路货运车辆超限超载认定标准〉但超过公路、隧道或桥梁标明限载标准的货车违法超限运输行为”的行政处罚自由裁量权标准</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暂行</w:t>
      </w:r>
      <w:r>
        <w:rPr>
          <w:rFonts w:hint="eastAsia" w:ascii="方正小标宋简体" w:eastAsia="方正小标宋简体"/>
          <w:sz w:val="44"/>
          <w:szCs w:val="44"/>
          <w:lang w:eastAsia="zh-CN"/>
        </w:rPr>
        <w:t>）</w:t>
      </w:r>
      <w:r>
        <w:rPr>
          <w:rFonts w:hint="eastAsia" w:ascii="方正小标宋简体" w:eastAsia="方正小标宋简体"/>
          <w:sz w:val="44"/>
          <w:szCs w:val="44"/>
        </w:rPr>
        <w:t>》的通知</w:t>
      </w: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rPr>
          <w:rFonts w:hint="eastAsia" w:ascii="仿宋_GB2312" w:eastAsia="仿宋_GB2312"/>
          <w:sz w:val="32"/>
          <w:szCs w:val="32"/>
        </w:rPr>
      </w:pPr>
      <w:r>
        <w:rPr>
          <w:rFonts w:hint="eastAsia" w:ascii="仿宋_GB2312" w:eastAsia="仿宋_GB2312"/>
          <w:sz w:val="32"/>
          <w:szCs w:val="32"/>
        </w:rPr>
        <w:t>各县（市、区）交通运输局</w:t>
      </w:r>
      <w:r>
        <w:rPr>
          <w:rFonts w:hint="eastAsia" w:ascii="仿宋_GB2312" w:eastAsia="仿宋_GB2312"/>
          <w:sz w:val="32"/>
          <w:szCs w:val="32"/>
          <w:lang w:eastAsia="zh-CN"/>
        </w:rPr>
        <w:t>，</w:t>
      </w:r>
      <w:r>
        <w:rPr>
          <w:rFonts w:hint="eastAsia" w:ascii="仿宋_GB2312" w:eastAsia="仿宋_GB2312"/>
          <w:sz w:val="32"/>
          <w:szCs w:val="32"/>
          <w:lang w:val="en-US" w:eastAsia="zh-CN"/>
        </w:rPr>
        <w:t>济宁高新区、太白湖新区、经济技术开发区交通运输管理机构，</w:t>
      </w:r>
      <w:r>
        <w:rPr>
          <w:rFonts w:hint="eastAsia" w:ascii="仿宋_GB2312" w:eastAsia="仿宋_GB2312"/>
          <w:sz w:val="32"/>
          <w:szCs w:val="32"/>
        </w:rPr>
        <w:t>局属各单位：</w:t>
      </w:r>
    </w:p>
    <w:p>
      <w:pPr>
        <w:adjustRightInd w:val="0"/>
        <w:snapToGrid w:val="0"/>
        <w:spacing w:line="560" w:lineRule="exact"/>
        <w:ind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为进一步规范交通运输行政执法行为，加强交通运输法治建设，按照《山东省交通运输厅山东省公安厅山东省财政厅山东省安全生产监督管理局山东省物价局关于印发山东省治理车辆超限超载联合执法常态化制度化工作实施方案的通知》（鲁交执法〔2018〕10号）要求，依据《公路安全保护条例》、《山东省农村公路条例》等法律法规，结合我市交通运输工作实际，制定《济宁市“车货总质量未超过&lt;公路货运车辆超限超载认定标准&gt;但超过公路、隧道或桥梁标明限载标准的货车违法超限运输行为”的行政处罚自由裁量权标准</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暂行</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》。现印发给你们，请认真贯彻执行。</w:t>
      </w:r>
    </w:p>
    <w:p>
      <w:pPr>
        <w:adjustRightInd w:val="0"/>
        <w:snapToGrid w:val="0"/>
        <w:spacing w:line="560" w:lineRule="exact"/>
        <w:ind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本标准自2021年5月16日起施行，有效期至2023年5月16日。济宁市交通运输局</w:t>
      </w:r>
      <w:r>
        <w:rPr>
          <w:rFonts w:hint="eastAsia" w:ascii="仿宋_GB2312" w:hAnsi="仿宋_GB2312" w:eastAsia="仿宋_GB2312" w:cs="仿宋_GB2312"/>
          <w:b w:val="0"/>
          <w:bCs/>
          <w:color w:val="000000" w:themeColor="text1"/>
          <w:sz w:val="32"/>
          <w:szCs w:val="32"/>
          <w14:textFill>
            <w14:solidFill>
              <w14:schemeClr w14:val="tx1"/>
            </w14:solidFill>
          </w14:textFill>
        </w:rPr>
        <w:t>2018年11月6日印发的《济宁市“车货总质量未超过&lt;公路货运车辆超限超载认定标准&gt;但超过公路、隧道或桥梁标明限载标准的货车违法超限运输行为”的行政处罚自由裁量权标准（试行）》（济交监察〔2018〕9号）同时废止。</w:t>
      </w:r>
    </w:p>
    <w:p>
      <w:pPr>
        <w:pStyle w:val="2"/>
        <w:rPr>
          <w:rFonts w:hint="eastAsia"/>
        </w:rPr>
      </w:pPr>
    </w:p>
    <w:p>
      <w:pPr>
        <w:adjustRightInd w:val="0"/>
        <w:snapToGrid w:val="0"/>
        <w:spacing w:line="560" w:lineRule="exact"/>
        <w:ind w:left="1598" w:leftChars="304" w:hanging="960" w:hangingChars="3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附件：《济宁市“车货总质量未超过&lt;公路货运车辆超限超载认定标准&gt;但超过公路、隧道或桥梁标明限载标准的货车违法超限运输行为”的行政处罚自由裁量权标准</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暂行</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p>
    <w:p>
      <w:pPr>
        <w:adjustRightInd w:val="0"/>
        <w:snapToGrid w:val="0"/>
        <w:spacing w:line="560" w:lineRule="exact"/>
        <w:ind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p>
    <w:p>
      <w:pPr>
        <w:adjustRightInd w:val="0"/>
        <w:snapToGrid w:val="0"/>
        <w:spacing w:line="560" w:lineRule="exact"/>
        <w:ind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  济宁市交通运输局</w:t>
      </w:r>
    </w:p>
    <w:p>
      <w:pPr>
        <w:adjustRightInd w:val="0"/>
        <w:snapToGrid w:val="0"/>
        <w:spacing w:line="560" w:lineRule="exact"/>
        <w:ind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  2021年5月16日</w:t>
      </w: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spacing w:line="560" w:lineRule="exact"/>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（此件公开发布）</w:t>
      </w:r>
    </w:p>
    <w:p>
      <w:pPr>
        <w:spacing w:line="560" w:lineRule="exact"/>
        <w:rPr>
          <w:color w:val="000000" w:themeColor="text1"/>
          <w14:textFill>
            <w14:solidFill>
              <w14:schemeClr w14:val="tx1"/>
            </w14:solidFill>
          </w14:textFill>
        </w:rPr>
      </w:pPr>
    </w:p>
    <w:p>
      <w:pPr>
        <w:spacing w:line="560" w:lineRule="exact"/>
        <w:rPr>
          <w:color w:val="000000" w:themeColor="text1"/>
          <w14:textFill>
            <w14:solidFill>
              <w14:schemeClr w14:val="tx1"/>
            </w14:solidFill>
          </w14:textFill>
        </w:rPr>
        <w:sectPr>
          <w:footerReference r:id="rId4" w:type="first"/>
          <w:footerReference r:id="rId3" w:type="default"/>
          <w:pgSz w:w="11906" w:h="16838"/>
          <w:pgMar w:top="1418" w:right="1134" w:bottom="1418" w:left="1361" w:header="851" w:footer="1400" w:gutter="0"/>
          <w:pgNumType w:fmt="numberInDash"/>
          <w:cols w:space="720" w:num="1"/>
          <w:titlePg/>
          <w:docGrid w:linePitch="312" w:charSpace="0"/>
        </w:sectPr>
      </w:pPr>
    </w:p>
    <w:p>
      <w:pPr>
        <w:spacing w:line="440" w:lineRule="exact"/>
        <w:jc w:val="center"/>
        <w:rPr>
          <w:rFonts w:ascii="黑体" w:hAnsi="黑体" w:eastAsia="黑体" w:cs="黑体"/>
          <w:b/>
          <w:bCs/>
          <w:color w:val="000000" w:themeColor="text1"/>
          <w:sz w:val="36"/>
          <w:szCs w:val="36"/>
          <w:shd w:val="clear" w:color="auto" w:fill="FFFFFF"/>
          <w14:textFill>
            <w14:solidFill>
              <w14:schemeClr w14:val="tx1"/>
            </w14:solidFill>
          </w14:textFill>
        </w:rPr>
      </w:pPr>
      <w:r>
        <w:rPr>
          <w:rFonts w:hint="eastAsia" w:ascii="黑体" w:hAnsi="黑体" w:eastAsia="黑体" w:cs="黑体"/>
          <w:b/>
          <w:bCs/>
          <w:color w:val="000000" w:themeColor="text1"/>
          <w:sz w:val="36"/>
          <w:szCs w:val="36"/>
          <w:shd w:val="clear" w:color="auto" w:fill="FFFFFF"/>
          <w14:textFill>
            <w14:solidFill>
              <w14:schemeClr w14:val="tx1"/>
            </w14:solidFill>
          </w14:textFill>
        </w:rPr>
        <w:t>济宁市“车货总质量未超过《公路货运车辆超限超载认定标准》</w:t>
      </w:r>
    </w:p>
    <w:p>
      <w:pPr>
        <w:spacing w:line="440" w:lineRule="exact"/>
        <w:jc w:val="center"/>
        <w:rPr>
          <w:rFonts w:ascii="黑体" w:hAnsi="黑体" w:eastAsia="黑体" w:cs="黑体"/>
          <w:b/>
          <w:bCs/>
          <w:color w:val="000000" w:themeColor="text1"/>
          <w:sz w:val="36"/>
          <w:szCs w:val="36"/>
          <w:shd w:val="clear" w:color="auto" w:fill="FFFFFF"/>
          <w14:textFill>
            <w14:solidFill>
              <w14:schemeClr w14:val="tx1"/>
            </w14:solidFill>
          </w14:textFill>
        </w:rPr>
      </w:pPr>
      <w:r>
        <w:rPr>
          <w:rFonts w:hint="eastAsia" w:ascii="黑体" w:hAnsi="黑体" w:eastAsia="黑体" w:cs="黑体"/>
          <w:b/>
          <w:bCs/>
          <w:color w:val="000000" w:themeColor="text1"/>
          <w:sz w:val="36"/>
          <w:szCs w:val="36"/>
          <w:shd w:val="clear" w:color="auto" w:fill="FFFFFF"/>
          <w14:textFill>
            <w14:solidFill>
              <w14:schemeClr w14:val="tx1"/>
            </w14:solidFill>
          </w14:textFill>
        </w:rPr>
        <w:t>但超过公路、隧道或桥梁标明限载标准的货车违法</w:t>
      </w:r>
    </w:p>
    <w:p>
      <w:pPr>
        <w:spacing w:line="440" w:lineRule="exact"/>
        <w:jc w:val="center"/>
        <w:rPr>
          <w:rFonts w:hint="eastAsia" w:ascii="黑体" w:hAnsi="黑体" w:eastAsia="黑体" w:cs="黑体"/>
          <w:b/>
          <w:bCs/>
          <w:color w:val="000000" w:themeColor="text1"/>
          <w:sz w:val="36"/>
          <w:szCs w:val="36"/>
          <w:shd w:val="clear" w:color="auto" w:fill="FFFFFF"/>
          <w:lang w:val="en-US" w:eastAsia="zh-CN"/>
          <w14:textFill>
            <w14:solidFill>
              <w14:schemeClr w14:val="tx1"/>
            </w14:solidFill>
          </w14:textFill>
        </w:rPr>
      </w:pPr>
      <w:r>
        <w:rPr>
          <w:rFonts w:hint="eastAsia" w:ascii="黑体" w:hAnsi="黑体" w:eastAsia="黑体" w:cs="黑体"/>
          <w:b/>
          <w:bCs/>
          <w:color w:val="000000" w:themeColor="text1"/>
          <w:sz w:val="36"/>
          <w:szCs w:val="36"/>
          <w:shd w:val="clear" w:color="auto" w:fill="FFFFFF"/>
          <w14:textFill>
            <w14:solidFill>
              <w14:schemeClr w14:val="tx1"/>
            </w14:solidFill>
          </w14:textFill>
        </w:rPr>
        <w:t>超限运输行为”的行政处罚自由裁量权标准</w:t>
      </w:r>
      <w:r>
        <w:rPr>
          <w:rFonts w:hint="eastAsia" w:ascii="黑体" w:hAnsi="黑体" w:eastAsia="黑体" w:cs="黑体"/>
          <w:b/>
          <w:bCs/>
          <w:color w:val="000000" w:themeColor="text1"/>
          <w:sz w:val="36"/>
          <w:szCs w:val="36"/>
          <w:shd w:val="clear" w:color="auto" w:fill="FFFFFF"/>
          <w:lang w:eastAsia="zh-CN"/>
          <w14:textFill>
            <w14:solidFill>
              <w14:schemeClr w14:val="tx1"/>
            </w14:solidFill>
          </w14:textFill>
        </w:rPr>
        <w:t>（</w:t>
      </w:r>
      <w:r>
        <w:rPr>
          <w:rFonts w:hint="eastAsia" w:ascii="黑体" w:hAnsi="黑体" w:eastAsia="黑体" w:cs="黑体"/>
          <w:b/>
          <w:bCs/>
          <w:color w:val="000000" w:themeColor="text1"/>
          <w:sz w:val="36"/>
          <w:szCs w:val="36"/>
          <w:shd w:val="clear" w:color="auto" w:fill="FFFFFF"/>
          <w:lang w:val="en-US" w:eastAsia="zh-CN"/>
          <w14:textFill>
            <w14:solidFill>
              <w14:schemeClr w14:val="tx1"/>
            </w14:solidFill>
          </w14:textFill>
        </w:rPr>
        <w:t>暂行</w:t>
      </w:r>
      <w:r>
        <w:rPr>
          <w:rFonts w:hint="eastAsia" w:ascii="黑体" w:hAnsi="黑体" w:eastAsia="黑体" w:cs="黑体"/>
          <w:b/>
          <w:bCs/>
          <w:color w:val="000000" w:themeColor="text1"/>
          <w:sz w:val="36"/>
          <w:szCs w:val="36"/>
          <w:shd w:val="clear" w:color="auto" w:fill="FFFFFF"/>
          <w:lang w:eastAsia="zh-CN"/>
          <w14:textFill>
            <w14:solidFill>
              <w14:schemeClr w14:val="tx1"/>
            </w14:solidFill>
          </w14:textFill>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s="黑体"/>
          <w:b/>
          <w:bCs/>
          <w:color w:val="000000" w:themeColor="text1"/>
          <w:sz w:val="36"/>
          <w:szCs w:val="36"/>
          <w:shd w:val="clear" w:color="auto" w:fill="FFFFFF"/>
          <w14:textFill>
            <w14:solidFill>
              <w14:schemeClr w14:val="tx1"/>
            </w14:solidFill>
          </w14:textFill>
        </w:rPr>
      </w:pPr>
    </w:p>
    <w:tbl>
      <w:tblPr>
        <w:tblStyle w:val="5"/>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610"/>
        <w:gridCol w:w="1245"/>
        <w:gridCol w:w="4029"/>
        <w:gridCol w:w="4450"/>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pPr>
              <w:jc w:val="center"/>
              <w:rPr>
                <w:rFonts w:ascii="黑体" w:hAnsi="黑体" w:eastAsia="黑体" w:cs="黑体"/>
                <w:b/>
                <w:bCs/>
                <w:color w:val="000000" w:themeColor="text1"/>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违法行为</w:t>
            </w:r>
          </w:p>
        </w:tc>
        <w:tc>
          <w:tcPr>
            <w:tcW w:w="2610" w:type="dxa"/>
            <w:vAlign w:val="center"/>
          </w:tcPr>
          <w:p>
            <w:pPr>
              <w:jc w:val="center"/>
              <w:rPr>
                <w:rFonts w:ascii="黑体" w:hAnsi="黑体" w:eastAsia="黑体" w:cs="黑体"/>
                <w:b/>
                <w:bCs/>
                <w:color w:val="000000" w:themeColor="text1"/>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法规依据</w:t>
            </w:r>
          </w:p>
        </w:tc>
        <w:tc>
          <w:tcPr>
            <w:tcW w:w="1245" w:type="dxa"/>
            <w:vAlign w:val="center"/>
          </w:tcPr>
          <w:p>
            <w:pPr>
              <w:jc w:val="center"/>
              <w:rPr>
                <w:rFonts w:ascii="黑体" w:hAnsi="黑体" w:eastAsia="黑体" w:cs="黑体"/>
                <w:b/>
                <w:bCs/>
                <w:color w:val="000000" w:themeColor="text1"/>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违法程度</w:t>
            </w:r>
          </w:p>
        </w:tc>
        <w:tc>
          <w:tcPr>
            <w:tcW w:w="4029" w:type="dxa"/>
            <w:vAlign w:val="center"/>
          </w:tcPr>
          <w:p>
            <w:pPr>
              <w:jc w:val="center"/>
              <w:rPr>
                <w:rFonts w:ascii="黑体" w:hAnsi="黑体" w:eastAsia="黑体" w:cs="黑体"/>
                <w:b/>
                <w:bCs/>
                <w:color w:val="000000" w:themeColor="text1"/>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情节及危害后果</w:t>
            </w:r>
          </w:p>
        </w:tc>
        <w:tc>
          <w:tcPr>
            <w:tcW w:w="4450" w:type="dxa"/>
            <w:vAlign w:val="center"/>
          </w:tcPr>
          <w:p>
            <w:pPr>
              <w:jc w:val="center"/>
              <w:rPr>
                <w:rFonts w:ascii="黑体" w:hAnsi="黑体" w:eastAsia="黑体" w:cs="黑体"/>
                <w:b/>
                <w:bCs/>
                <w:color w:val="000000" w:themeColor="text1"/>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处罚标准</w:t>
            </w:r>
          </w:p>
        </w:tc>
        <w:tc>
          <w:tcPr>
            <w:tcW w:w="1368" w:type="dxa"/>
            <w:vAlign w:val="center"/>
          </w:tcPr>
          <w:p>
            <w:pPr>
              <w:jc w:val="center"/>
              <w:rPr>
                <w:rFonts w:ascii="黑体" w:hAnsi="黑体" w:eastAsia="黑体" w:cs="黑体"/>
                <w:b/>
                <w:bCs/>
                <w:color w:val="000000" w:themeColor="text1"/>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90" w:type="dxa"/>
            <w:vMerge w:val="restart"/>
            <w:vAlign w:val="center"/>
          </w:tcPr>
          <w:p>
            <w:pPr>
              <w:rPr>
                <w:color w:val="000000" w:themeColor="text1"/>
                <w14:textFill>
                  <w14:solidFill>
                    <w14:schemeClr w14:val="tx1"/>
                  </w14:solidFill>
                </w14:textFill>
              </w:rPr>
            </w:pPr>
            <w:r>
              <w:rPr>
                <w:rFonts w:hint="eastAsia" w:ascii="Arial" w:hAnsi="Arial" w:cs="Arial"/>
                <w:color w:val="000000" w:themeColor="text1"/>
                <w:shd w:val="clear" w:color="auto" w:fill="FFFFFF"/>
                <w14:textFill>
                  <w14:solidFill>
                    <w14:schemeClr w14:val="tx1"/>
                  </w14:solidFill>
                </w14:textFill>
              </w:rPr>
              <w:t>车货总质量未超过《公路货运车辆超限超载认定标准》，但超过公路、隧道或桥梁标明限载标准的货车违法超限运输行为</w:t>
            </w:r>
          </w:p>
        </w:tc>
        <w:tc>
          <w:tcPr>
            <w:tcW w:w="2610" w:type="dxa"/>
            <w:vMerge w:val="restart"/>
            <w:vAlign w:val="center"/>
          </w:tcPr>
          <w:p>
            <w:pPr>
              <w:jc w:val="center"/>
              <w:rPr>
                <w:rFonts w:ascii="Arial" w:hAnsi="Arial" w:cs="Arial"/>
                <w:color w:val="000000" w:themeColor="text1"/>
                <w:shd w:val="clear" w:color="auto" w:fill="FFFFFF"/>
                <w14:textFill>
                  <w14:solidFill>
                    <w14:schemeClr w14:val="tx1"/>
                  </w14:solidFill>
                </w14:textFill>
              </w:rPr>
            </w:pPr>
            <w:r>
              <w:rPr>
                <w:rFonts w:ascii="Arial" w:hAnsi="Arial" w:cs="Arial"/>
                <w:color w:val="000000" w:themeColor="text1"/>
                <w:shd w:val="clear" w:color="auto" w:fill="FFFFFF"/>
                <w14:textFill>
                  <w14:solidFill>
                    <w14:schemeClr w14:val="tx1"/>
                  </w14:solidFill>
                </w14:textFill>
              </w:rPr>
              <w:t>《公路安全保护条例》</w:t>
            </w:r>
          </w:p>
          <w:p>
            <w:pPr>
              <w:jc w:val="left"/>
              <w:rPr>
                <w:color w:val="000000" w:themeColor="text1"/>
                <w14:textFill>
                  <w14:solidFill>
                    <w14:schemeClr w14:val="tx1"/>
                  </w14:solidFill>
                </w14:textFill>
              </w:rPr>
            </w:pPr>
            <w:r>
              <w:rPr>
                <w:rFonts w:ascii="Arial" w:hAnsi="Arial" w:cs="Arial"/>
                <w:color w:val="000000" w:themeColor="text1"/>
                <w:shd w:val="clear" w:color="auto" w:fill="FFFFFF"/>
                <w14:textFill>
                  <w14:solidFill>
                    <w14:schemeClr w14:val="tx1"/>
                  </w14:solidFill>
                </w14:textFill>
              </w:rPr>
              <w:t>第六十四条</w:t>
            </w:r>
            <w:r>
              <w:rPr>
                <w:rFonts w:hint="eastAsia" w:ascii="Arial" w:hAnsi="Arial" w:cs="Arial"/>
                <w:color w:val="000000" w:themeColor="text1"/>
                <w:shd w:val="clear" w:color="auto" w:fill="FFFFFF"/>
                <w14:textFill>
                  <w14:solidFill>
                    <w14:schemeClr w14:val="tx1"/>
                  </w14:solidFill>
                </w14:textFill>
              </w:rPr>
              <w:t>：</w:t>
            </w:r>
            <w:r>
              <w:rPr>
                <w:rFonts w:ascii="Arial" w:hAnsi="Arial" w:cs="Arial"/>
                <w:color w:val="000000" w:themeColor="text1"/>
                <w:shd w:val="clear" w:color="auto" w:fill="FFFFFF"/>
                <w14:textFill>
                  <w14:solidFill>
                    <w14:schemeClr w14:val="tx1"/>
                  </w14:solidFill>
                </w14:textFill>
              </w:rPr>
              <w:t xml:space="preserve"> 违反本条例的规定，在公路上行驶的车辆，车货总体的外廓尺寸、轴荷或者总质量超过公路、公路桥梁、公路隧道、汽车渡船限定标准的，由公路管理机构责令改正，可以处3万元以下的罚款。</w:t>
            </w:r>
            <w:r>
              <w:rPr>
                <w:rFonts w:hint="eastAsia" w:ascii="宋体" w:hAnsi="宋体" w:cs="Arial"/>
                <w:color w:val="000000" w:themeColor="text1"/>
                <w:shd w:val="clear" w:color="auto" w:fill="FFFFFF"/>
                <w14:textFill>
                  <w14:solidFill>
                    <w14:schemeClr w14:val="tx1"/>
                  </w14:solidFill>
                </w14:textFill>
              </w:rPr>
              <w:t>《山东省农村公路条例》第五十六条：违反本条例规定，超过村道限载、限高、限宽、限长标准的车辆在村道上行驶的，由县级人民政府交通运输主管部门责令停止违法行为，处五百元以上二千元以下的罚款；情节严重的，处五千元以上三万元以下的罚款。</w:t>
            </w:r>
          </w:p>
          <w:p>
            <w:pPr>
              <w:rPr>
                <w:color w:val="000000" w:themeColor="text1"/>
                <w14:textFill>
                  <w14:solidFill>
                    <w14:schemeClr w14:val="tx1"/>
                  </w14:solidFill>
                </w14:textFill>
              </w:rPr>
            </w:pPr>
          </w:p>
        </w:tc>
        <w:tc>
          <w:tcPr>
            <w:tcW w:w="124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轻 微</w:t>
            </w:r>
          </w:p>
        </w:tc>
        <w:tc>
          <w:tcPr>
            <w:tcW w:w="4029" w:type="dxa"/>
            <w:vAlign w:val="center"/>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超限</w:t>
            </w:r>
            <w:r>
              <w:rPr>
                <w:rFonts w:hint="eastAsia" w:ascii="Arial" w:hAnsi="Arial" w:cs="Arial"/>
                <w:color w:val="000000" w:themeColor="text1"/>
                <w:shd w:val="clear" w:color="auto" w:fill="FFFFFF"/>
                <w14:textFill>
                  <w14:solidFill>
                    <w14:schemeClr w14:val="tx1"/>
                  </w14:solidFill>
                </w14:textFill>
              </w:rPr>
              <w:t>10%</w:t>
            </w:r>
            <w:r>
              <w:rPr>
                <w:rFonts w:hint="eastAsia" w:ascii="宋体" w:hAnsi="宋体" w:cs="Arial"/>
                <w:color w:val="000000" w:themeColor="text1"/>
                <w:shd w:val="clear" w:color="auto" w:fill="FFFFFF"/>
                <w14:textFill>
                  <w14:solidFill>
                    <w14:schemeClr w14:val="tx1"/>
                  </w14:solidFill>
                </w14:textFill>
              </w:rPr>
              <w:t>及以下（含</w:t>
            </w:r>
            <w:r>
              <w:rPr>
                <w:rFonts w:hint="eastAsia" w:ascii="Arial" w:hAnsi="Arial" w:cs="Arial"/>
                <w:color w:val="000000" w:themeColor="text1"/>
                <w:shd w:val="clear" w:color="auto" w:fill="FFFFFF"/>
                <w14:textFill>
                  <w14:solidFill>
                    <w14:schemeClr w14:val="tx1"/>
                  </w14:solidFill>
                </w14:textFill>
              </w:rPr>
              <w:t>10%</w:t>
            </w:r>
            <w:r>
              <w:rPr>
                <w:rFonts w:hint="eastAsia" w:ascii="宋体" w:hAnsi="宋体" w:cs="Arial"/>
                <w:color w:val="000000" w:themeColor="text1"/>
                <w:shd w:val="clear" w:color="auto" w:fill="FFFFFF"/>
                <w14:textFill>
                  <w14:solidFill>
                    <w14:schemeClr w14:val="tx1"/>
                  </w14:solidFill>
                </w14:textFill>
              </w:rPr>
              <w:t>）</w:t>
            </w:r>
          </w:p>
        </w:tc>
        <w:tc>
          <w:tcPr>
            <w:tcW w:w="4450" w:type="dxa"/>
            <w:vAlign w:val="center"/>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责令卸载，作超限记录，免于处罚</w:t>
            </w:r>
          </w:p>
        </w:tc>
        <w:tc>
          <w:tcPr>
            <w:tcW w:w="1368" w:type="dxa"/>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有效期2021年5月16日起至2023年5月16日止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color w:val="000000" w:themeColor="text1"/>
                <w14:textFill>
                  <w14:solidFill>
                    <w14:schemeClr w14:val="tx1"/>
                  </w14:solidFill>
                </w14:textFill>
              </w:rPr>
            </w:pPr>
          </w:p>
        </w:tc>
        <w:tc>
          <w:tcPr>
            <w:tcW w:w="2610" w:type="dxa"/>
            <w:vMerge w:val="continue"/>
          </w:tcPr>
          <w:p>
            <w:pPr>
              <w:rPr>
                <w:color w:val="000000" w:themeColor="text1"/>
                <w14:textFill>
                  <w14:solidFill>
                    <w14:schemeClr w14:val="tx1"/>
                  </w14:solidFill>
                </w14:textFill>
              </w:rPr>
            </w:pPr>
          </w:p>
        </w:tc>
        <w:tc>
          <w:tcPr>
            <w:tcW w:w="1245" w:type="dxa"/>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 般</w:t>
            </w:r>
          </w:p>
        </w:tc>
        <w:tc>
          <w:tcPr>
            <w:tcW w:w="4029"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超限</w:t>
            </w:r>
            <w:r>
              <w:rPr>
                <w:rFonts w:hint="eastAsia" w:ascii="Arial" w:hAnsi="Arial" w:cs="Arial"/>
                <w:color w:val="000000" w:themeColor="text1"/>
                <w:shd w:val="clear" w:color="auto" w:fill="FFFFFF"/>
                <w14:textFill>
                  <w14:solidFill>
                    <w14:schemeClr w14:val="tx1"/>
                  </w14:solidFill>
                </w14:textFill>
              </w:rPr>
              <w:t>10%</w:t>
            </w:r>
            <w:r>
              <w:rPr>
                <w:rFonts w:hint="eastAsia" w:ascii="宋体" w:hAnsi="宋体" w:cs="Arial"/>
                <w:color w:val="000000" w:themeColor="text1"/>
                <w:shd w:val="clear" w:color="auto" w:fill="FFFFFF"/>
                <w14:textFill>
                  <w14:solidFill>
                    <w14:schemeClr w14:val="tx1"/>
                  </w14:solidFill>
                </w14:textFill>
              </w:rPr>
              <w:t>以上至</w:t>
            </w:r>
            <w:r>
              <w:rPr>
                <w:rFonts w:hint="eastAsia" w:ascii="Arial" w:hAnsi="Arial" w:cs="Arial"/>
                <w:color w:val="000000" w:themeColor="text1"/>
                <w:shd w:val="clear" w:color="auto" w:fill="FFFFFF"/>
                <w14:textFill>
                  <w14:solidFill>
                    <w14:schemeClr w14:val="tx1"/>
                  </w14:solidFill>
                </w14:textFill>
              </w:rPr>
              <w:t>20%</w:t>
            </w:r>
            <w:r>
              <w:rPr>
                <w:rFonts w:hint="eastAsia" w:ascii="宋体" w:hAnsi="宋体" w:cs="Arial"/>
                <w:color w:val="000000" w:themeColor="text1"/>
                <w:shd w:val="clear" w:color="auto" w:fill="FFFFFF"/>
                <w14:textFill>
                  <w14:solidFill>
                    <w14:schemeClr w14:val="tx1"/>
                  </w14:solidFill>
                </w14:textFill>
              </w:rPr>
              <w:t>（含</w:t>
            </w:r>
            <w:r>
              <w:rPr>
                <w:rFonts w:hint="eastAsia" w:ascii="Arial" w:hAnsi="Arial" w:cs="Arial"/>
                <w:color w:val="000000" w:themeColor="text1"/>
                <w:shd w:val="clear" w:color="auto" w:fill="FFFFFF"/>
                <w14:textFill>
                  <w14:solidFill>
                    <w14:schemeClr w14:val="tx1"/>
                  </w14:solidFill>
                </w14:textFill>
              </w:rPr>
              <w:t>20%</w:t>
            </w:r>
            <w:r>
              <w:rPr>
                <w:rFonts w:hint="eastAsia" w:ascii="宋体" w:hAnsi="宋体" w:cs="Arial"/>
                <w:color w:val="000000" w:themeColor="text1"/>
                <w:shd w:val="clear" w:color="auto" w:fill="FFFFFF"/>
                <w14:textFill>
                  <w14:solidFill>
                    <w14:schemeClr w14:val="tx1"/>
                  </w14:solidFill>
                </w14:textFill>
              </w:rPr>
              <w:t>）</w:t>
            </w:r>
          </w:p>
        </w:tc>
        <w:tc>
          <w:tcPr>
            <w:tcW w:w="4450"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责令卸载，作超限记录，处</w:t>
            </w:r>
            <w:r>
              <w:rPr>
                <w:rFonts w:hint="eastAsia" w:ascii="Arial" w:hAnsi="Arial" w:cs="Arial"/>
                <w:color w:val="000000" w:themeColor="text1"/>
                <w:shd w:val="clear" w:color="auto" w:fill="FFFFFF"/>
                <w14:textFill>
                  <w14:solidFill>
                    <w14:schemeClr w14:val="tx1"/>
                  </w14:solidFill>
                </w14:textFill>
              </w:rPr>
              <w:t>500</w:t>
            </w:r>
            <w:r>
              <w:rPr>
                <w:rFonts w:hint="eastAsia" w:ascii="宋体" w:hAnsi="宋体" w:cs="Arial"/>
                <w:color w:val="000000" w:themeColor="text1"/>
                <w:shd w:val="clear" w:color="auto" w:fill="FFFFFF"/>
                <w14:textFill>
                  <w14:solidFill>
                    <w14:schemeClr w14:val="tx1"/>
                  </w14:solidFill>
                </w14:textFill>
              </w:rPr>
              <w:t>元罚款</w:t>
            </w:r>
          </w:p>
        </w:tc>
        <w:tc>
          <w:tcPr>
            <w:tcW w:w="1368"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color w:val="000000" w:themeColor="text1"/>
                <w14:textFill>
                  <w14:solidFill>
                    <w14:schemeClr w14:val="tx1"/>
                  </w14:solidFill>
                </w14:textFill>
              </w:rPr>
            </w:pPr>
          </w:p>
        </w:tc>
        <w:tc>
          <w:tcPr>
            <w:tcW w:w="2610" w:type="dxa"/>
            <w:vMerge w:val="continue"/>
          </w:tcPr>
          <w:p>
            <w:pPr>
              <w:rPr>
                <w:color w:val="000000" w:themeColor="text1"/>
                <w14:textFill>
                  <w14:solidFill>
                    <w14:schemeClr w14:val="tx1"/>
                  </w14:solidFill>
                </w14:textFill>
              </w:rPr>
            </w:pPr>
          </w:p>
        </w:tc>
        <w:tc>
          <w:tcPr>
            <w:tcW w:w="1245" w:type="dxa"/>
            <w:vMerge w:val="continue"/>
            <w:vAlign w:val="center"/>
          </w:tcPr>
          <w:p>
            <w:pPr>
              <w:jc w:val="center"/>
              <w:rPr>
                <w:color w:val="000000" w:themeColor="text1"/>
                <w14:textFill>
                  <w14:solidFill>
                    <w14:schemeClr w14:val="tx1"/>
                  </w14:solidFill>
                </w14:textFill>
              </w:rPr>
            </w:pPr>
          </w:p>
        </w:tc>
        <w:tc>
          <w:tcPr>
            <w:tcW w:w="4029"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超限</w:t>
            </w:r>
            <w:r>
              <w:rPr>
                <w:rFonts w:hint="eastAsia" w:ascii="Arial" w:hAnsi="Arial" w:cs="Arial"/>
                <w:color w:val="000000" w:themeColor="text1"/>
                <w:shd w:val="clear" w:color="auto" w:fill="FFFFFF"/>
                <w14:textFill>
                  <w14:solidFill>
                    <w14:schemeClr w14:val="tx1"/>
                  </w14:solidFill>
                </w14:textFill>
              </w:rPr>
              <w:t>20%</w:t>
            </w:r>
            <w:r>
              <w:rPr>
                <w:rFonts w:hint="eastAsia" w:ascii="宋体" w:hAnsi="宋体" w:cs="Arial"/>
                <w:color w:val="000000" w:themeColor="text1"/>
                <w:shd w:val="clear" w:color="auto" w:fill="FFFFFF"/>
                <w14:textFill>
                  <w14:solidFill>
                    <w14:schemeClr w14:val="tx1"/>
                  </w14:solidFill>
                </w14:textFill>
              </w:rPr>
              <w:t>以上至</w:t>
            </w:r>
            <w:r>
              <w:rPr>
                <w:rFonts w:hint="eastAsia" w:ascii="Arial" w:hAnsi="Arial" w:cs="Arial"/>
                <w:color w:val="000000" w:themeColor="text1"/>
                <w:shd w:val="clear" w:color="auto" w:fill="FFFFFF"/>
                <w14:textFill>
                  <w14:solidFill>
                    <w14:schemeClr w14:val="tx1"/>
                  </w14:solidFill>
                </w14:textFill>
              </w:rPr>
              <w:t>30%</w:t>
            </w:r>
            <w:r>
              <w:rPr>
                <w:rFonts w:hint="eastAsia" w:ascii="宋体" w:hAnsi="宋体" w:cs="Arial"/>
                <w:color w:val="000000" w:themeColor="text1"/>
                <w:shd w:val="clear" w:color="auto" w:fill="FFFFFF"/>
                <w14:textFill>
                  <w14:solidFill>
                    <w14:schemeClr w14:val="tx1"/>
                  </w14:solidFill>
                </w14:textFill>
              </w:rPr>
              <w:t>（含</w:t>
            </w:r>
            <w:r>
              <w:rPr>
                <w:rFonts w:hint="eastAsia" w:ascii="Arial" w:hAnsi="Arial" w:cs="Arial"/>
                <w:color w:val="000000" w:themeColor="text1"/>
                <w:shd w:val="clear" w:color="auto" w:fill="FFFFFF"/>
                <w14:textFill>
                  <w14:solidFill>
                    <w14:schemeClr w14:val="tx1"/>
                  </w14:solidFill>
                </w14:textFill>
              </w:rPr>
              <w:t>30%</w:t>
            </w:r>
            <w:r>
              <w:rPr>
                <w:rFonts w:hint="eastAsia" w:ascii="宋体" w:hAnsi="宋体" w:cs="Arial"/>
                <w:color w:val="000000" w:themeColor="text1"/>
                <w:shd w:val="clear" w:color="auto" w:fill="FFFFFF"/>
                <w14:textFill>
                  <w14:solidFill>
                    <w14:schemeClr w14:val="tx1"/>
                  </w14:solidFill>
                </w14:textFill>
              </w:rPr>
              <w:t>）</w:t>
            </w:r>
          </w:p>
        </w:tc>
        <w:tc>
          <w:tcPr>
            <w:tcW w:w="4450"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责令卸载，作超限记录，处</w:t>
            </w:r>
            <w:r>
              <w:rPr>
                <w:rFonts w:hint="eastAsia" w:ascii="Arial" w:hAnsi="Arial" w:cs="Arial"/>
                <w:color w:val="000000" w:themeColor="text1"/>
                <w:shd w:val="clear" w:color="auto" w:fill="FFFFFF"/>
                <w14:textFill>
                  <w14:solidFill>
                    <w14:schemeClr w14:val="tx1"/>
                  </w14:solidFill>
                </w14:textFill>
              </w:rPr>
              <w:t>600</w:t>
            </w:r>
            <w:r>
              <w:rPr>
                <w:rFonts w:hint="eastAsia" w:ascii="宋体" w:hAnsi="宋体" w:cs="Arial"/>
                <w:color w:val="000000" w:themeColor="text1"/>
                <w:shd w:val="clear" w:color="auto" w:fill="FFFFFF"/>
                <w14:textFill>
                  <w14:solidFill>
                    <w14:schemeClr w14:val="tx1"/>
                  </w14:solidFill>
                </w14:textFill>
              </w:rPr>
              <w:t>元罚款</w:t>
            </w:r>
          </w:p>
        </w:tc>
        <w:tc>
          <w:tcPr>
            <w:tcW w:w="1368"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color w:val="000000" w:themeColor="text1"/>
                <w14:textFill>
                  <w14:solidFill>
                    <w14:schemeClr w14:val="tx1"/>
                  </w14:solidFill>
                </w14:textFill>
              </w:rPr>
            </w:pPr>
          </w:p>
        </w:tc>
        <w:tc>
          <w:tcPr>
            <w:tcW w:w="2610" w:type="dxa"/>
            <w:vMerge w:val="continue"/>
          </w:tcPr>
          <w:p>
            <w:pPr>
              <w:rPr>
                <w:color w:val="000000" w:themeColor="text1"/>
                <w14:textFill>
                  <w14:solidFill>
                    <w14:schemeClr w14:val="tx1"/>
                  </w14:solidFill>
                </w14:textFill>
              </w:rPr>
            </w:pPr>
          </w:p>
        </w:tc>
        <w:tc>
          <w:tcPr>
            <w:tcW w:w="1245" w:type="dxa"/>
            <w:vMerge w:val="continue"/>
            <w:vAlign w:val="center"/>
          </w:tcPr>
          <w:p>
            <w:pPr>
              <w:jc w:val="center"/>
              <w:rPr>
                <w:color w:val="000000" w:themeColor="text1"/>
                <w14:textFill>
                  <w14:solidFill>
                    <w14:schemeClr w14:val="tx1"/>
                  </w14:solidFill>
                </w14:textFill>
              </w:rPr>
            </w:pPr>
          </w:p>
        </w:tc>
        <w:tc>
          <w:tcPr>
            <w:tcW w:w="4029"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超限</w:t>
            </w:r>
            <w:r>
              <w:rPr>
                <w:rFonts w:hint="eastAsia" w:ascii="Arial" w:hAnsi="Arial" w:cs="Arial"/>
                <w:color w:val="000000" w:themeColor="text1"/>
                <w:shd w:val="clear" w:color="auto" w:fill="FFFFFF"/>
                <w14:textFill>
                  <w14:solidFill>
                    <w14:schemeClr w14:val="tx1"/>
                  </w14:solidFill>
                </w14:textFill>
              </w:rPr>
              <w:t>30%</w:t>
            </w:r>
            <w:r>
              <w:rPr>
                <w:rFonts w:hint="eastAsia" w:ascii="宋体" w:hAnsi="宋体" w:cs="Arial"/>
                <w:color w:val="000000" w:themeColor="text1"/>
                <w:shd w:val="clear" w:color="auto" w:fill="FFFFFF"/>
                <w14:textFill>
                  <w14:solidFill>
                    <w14:schemeClr w14:val="tx1"/>
                  </w14:solidFill>
                </w14:textFill>
              </w:rPr>
              <w:t>以上至</w:t>
            </w:r>
            <w:r>
              <w:rPr>
                <w:rFonts w:hint="eastAsia" w:ascii="Arial" w:hAnsi="Arial" w:cs="Arial"/>
                <w:color w:val="000000" w:themeColor="text1"/>
                <w:shd w:val="clear" w:color="auto" w:fill="FFFFFF"/>
                <w14:textFill>
                  <w14:solidFill>
                    <w14:schemeClr w14:val="tx1"/>
                  </w14:solidFill>
                </w14:textFill>
              </w:rPr>
              <w:t>40%</w:t>
            </w:r>
            <w:r>
              <w:rPr>
                <w:rFonts w:hint="eastAsia" w:ascii="宋体" w:hAnsi="宋体" w:cs="Arial"/>
                <w:color w:val="000000" w:themeColor="text1"/>
                <w:shd w:val="clear" w:color="auto" w:fill="FFFFFF"/>
                <w14:textFill>
                  <w14:solidFill>
                    <w14:schemeClr w14:val="tx1"/>
                  </w14:solidFill>
                </w14:textFill>
              </w:rPr>
              <w:t>（含</w:t>
            </w:r>
            <w:r>
              <w:rPr>
                <w:rFonts w:hint="eastAsia" w:ascii="Arial" w:hAnsi="Arial" w:cs="Arial"/>
                <w:color w:val="000000" w:themeColor="text1"/>
                <w:shd w:val="clear" w:color="auto" w:fill="FFFFFF"/>
                <w14:textFill>
                  <w14:solidFill>
                    <w14:schemeClr w14:val="tx1"/>
                  </w14:solidFill>
                </w14:textFill>
              </w:rPr>
              <w:t>40%</w:t>
            </w:r>
            <w:r>
              <w:rPr>
                <w:rFonts w:hint="eastAsia" w:ascii="宋体" w:hAnsi="宋体" w:cs="Arial"/>
                <w:color w:val="000000" w:themeColor="text1"/>
                <w:shd w:val="clear" w:color="auto" w:fill="FFFFFF"/>
                <w14:textFill>
                  <w14:solidFill>
                    <w14:schemeClr w14:val="tx1"/>
                  </w14:solidFill>
                </w14:textFill>
              </w:rPr>
              <w:t>）</w:t>
            </w:r>
          </w:p>
        </w:tc>
        <w:tc>
          <w:tcPr>
            <w:tcW w:w="4450"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责令卸载，作超限记录，处</w:t>
            </w:r>
            <w:r>
              <w:rPr>
                <w:rFonts w:hint="eastAsia" w:ascii="Arial" w:hAnsi="Arial" w:cs="Arial"/>
                <w:color w:val="000000" w:themeColor="text1"/>
                <w:shd w:val="clear" w:color="auto" w:fill="FFFFFF"/>
                <w14:textFill>
                  <w14:solidFill>
                    <w14:schemeClr w14:val="tx1"/>
                  </w14:solidFill>
                </w14:textFill>
              </w:rPr>
              <w:t>800</w:t>
            </w:r>
            <w:r>
              <w:rPr>
                <w:rFonts w:hint="eastAsia" w:ascii="宋体" w:hAnsi="宋体" w:cs="Arial"/>
                <w:color w:val="000000" w:themeColor="text1"/>
                <w:shd w:val="clear" w:color="auto" w:fill="FFFFFF"/>
                <w14:textFill>
                  <w14:solidFill>
                    <w14:schemeClr w14:val="tx1"/>
                  </w14:solidFill>
                </w14:textFill>
              </w:rPr>
              <w:t>元罚款</w:t>
            </w:r>
          </w:p>
        </w:tc>
        <w:tc>
          <w:tcPr>
            <w:tcW w:w="1368"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color w:val="000000" w:themeColor="text1"/>
                <w14:textFill>
                  <w14:solidFill>
                    <w14:schemeClr w14:val="tx1"/>
                  </w14:solidFill>
                </w14:textFill>
              </w:rPr>
            </w:pPr>
          </w:p>
        </w:tc>
        <w:tc>
          <w:tcPr>
            <w:tcW w:w="2610" w:type="dxa"/>
            <w:vMerge w:val="continue"/>
          </w:tcPr>
          <w:p>
            <w:pPr>
              <w:rPr>
                <w:color w:val="000000" w:themeColor="text1"/>
                <w14:textFill>
                  <w14:solidFill>
                    <w14:schemeClr w14:val="tx1"/>
                  </w14:solidFill>
                </w14:textFill>
              </w:rPr>
            </w:pPr>
          </w:p>
        </w:tc>
        <w:tc>
          <w:tcPr>
            <w:tcW w:w="1245" w:type="dxa"/>
            <w:vMerge w:val="continue"/>
            <w:vAlign w:val="center"/>
          </w:tcPr>
          <w:p>
            <w:pPr>
              <w:jc w:val="center"/>
              <w:rPr>
                <w:color w:val="000000" w:themeColor="text1"/>
                <w14:textFill>
                  <w14:solidFill>
                    <w14:schemeClr w14:val="tx1"/>
                  </w14:solidFill>
                </w14:textFill>
              </w:rPr>
            </w:pPr>
          </w:p>
        </w:tc>
        <w:tc>
          <w:tcPr>
            <w:tcW w:w="4029"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超限</w:t>
            </w:r>
            <w:r>
              <w:rPr>
                <w:rFonts w:hint="eastAsia" w:ascii="Arial" w:hAnsi="Arial" w:cs="Arial"/>
                <w:color w:val="000000" w:themeColor="text1"/>
                <w:shd w:val="clear" w:color="auto" w:fill="FFFFFF"/>
                <w14:textFill>
                  <w14:solidFill>
                    <w14:schemeClr w14:val="tx1"/>
                  </w14:solidFill>
                </w14:textFill>
              </w:rPr>
              <w:t>40%</w:t>
            </w:r>
            <w:r>
              <w:rPr>
                <w:rFonts w:hint="eastAsia" w:ascii="宋体" w:hAnsi="宋体" w:cs="Arial"/>
                <w:color w:val="000000" w:themeColor="text1"/>
                <w:shd w:val="clear" w:color="auto" w:fill="FFFFFF"/>
                <w14:textFill>
                  <w14:solidFill>
                    <w14:schemeClr w14:val="tx1"/>
                  </w14:solidFill>
                </w14:textFill>
              </w:rPr>
              <w:t>以上至</w:t>
            </w:r>
            <w:r>
              <w:rPr>
                <w:rFonts w:hint="eastAsia" w:ascii="Arial" w:hAnsi="Arial" w:cs="Arial"/>
                <w:color w:val="000000" w:themeColor="text1"/>
                <w:shd w:val="clear" w:color="auto" w:fill="FFFFFF"/>
                <w14:textFill>
                  <w14:solidFill>
                    <w14:schemeClr w14:val="tx1"/>
                  </w14:solidFill>
                </w14:textFill>
              </w:rPr>
              <w:t>50%</w:t>
            </w:r>
            <w:r>
              <w:rPr>
                <w:rFonts w:hint="eastAsia" w:ascii="宋体" w:hAnsi="宋体" w:cs="Arial"/>
                <w:color w:val="000000" w:themeColor="text1"/>
                <w:shd w:val="clear" w:color="auto" w:fill="FFFFFF"/>
                <w14:textFill>
                  <w14:solidFill>
                    <w14:schemeClr w14:val="tx1"/>
                  </w14:solidFill>
                </w14:textFill>
              </w:rPr>
              <w:t>（含</w:t>
            </w:r>
            <w:r>
              <w:rPr>
                <w:rFonts w:hint="eastAsia" w:ascii="Arial" w:hAnsi="Arial" w:cs="Arial"/>
                <w:color w:val="000000" w:themeColor="text1"/>
                <w:shd w:val="clear" w:color="auto" w:fill="FFFFFF"/>
                <w14:textFill>
                  <w14:solidFill>
                    <w14:schemeClr w14:val="tx1"/>
                  </w14:solidFill>
                </w14:textFill>
              </w:rPr>
              <w:t>50%</w:t>
            </w:r>
            <w:r>
              <w:rPr>
                <w:rFonts w:hint="eastAsia" w:ascii="宋体" w:hAnsi="宋体" w:cs="Arial"/>
                <w:color w:val="000000" w:themeColor="text1"/>
                <w:shd w:val="clear" w:color="auto" w:fill="FFFFFF"/>
                <w14:textFill>
                  <w14:solidFill>
                    <w14:schemeClr w14:val="tx1"/>
                  </w14:solidFill>
                </w14:textFill>
              </w:rPr>
              <w:t>）</w:t>
            </w:r>
          </w:p>
        </w:tc>
        <w:tc>
          <w:tcPr>
            <w:tcW w:w="4450"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责令卸载，作超限记录，处</w:t>
            </w:r>
            <w:r>
              <w:rPr>
                <w:rFonts w:hint="eastAsia" w:ascii="Arial" w:hAnsi="Arial" w:cs="Arial"/>
                <w:color w:val="000000" w:themeColor="text1"/>
                <w:shd w:val="clear" w:color="auto" w:fill="FFFFFF"/>
                <w14:textFill>
                  <w14:solidFill>
                    <w14:schemeClr w14:val="tx1"/>
                  </w14:solidFill>
                </w14:textFill>
              </w:rPr>
              <w:t>1000</w:t>
            </w:r>
            <w:r>
              <w:rPr>
                <w:rFonts w:hint="eastAsia" w:ascii="宋体" w:hAnsi="宋体" w:cs="Arial"/>
                <w:color w:val="000000" w:themeColor="text1"/>
                <w:shd w:val="clear" w:color="auto" w:fill="FFFFFF"/>
                <w14:textFill>
                  <w14:solidFill>
                    <w14:schemeClr w14:val="tx1"/>
                  </w14:solidFill>
                </w14:textFill>
              </w:rPr>
              <w:t>元罚款</w:t>
            </w:r>
          </w:p>
        </w:tc>
        <w:tc>
          <w:tcPr>
            <w:tcW w:w="1368"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90" w:type="dxa"/>
            <w:vMerge w:val="continue"/>
          </w:tcPr>
          <w:p>
            <w:pPr>
              <w:rPr>
                <w:color w:val="000000" w:themeColor="text1"/>
                <w14:textFill>
                  <w14:solidFill>
                    <w14:schemeClr w14:val="tx1"/>
                  </w14:solidFill>
                </w14:textFill>
              </w:rPr>
            </w:pPr>
          </w:p>
        </w:tc>
        <w:tc>
          <w:tcPr>
            <w:tcW w:w="2610" w:type="dxa"/>
            <w:vMerge w:val="continue"/>
          </w:tcPr>
          <w:p>
            <w:pPr>
              <w:rPr>
                <w:color w:val="000000" w:themeColor="text1"/>
                <w14:textFill>
                  <w14:solidFill>
                    <w14:schemeClr w14:val="tx1"/>
                  </w14:solidFill>
                </w14:textFill>
              </w:rPr>
            </w:pPr>
          </w:p>
        </w:tc>
        <w:tc>
          <w:tcPr>
            <w:tcW w:w="1245" w:type="dxa"/>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较 重</w:t>
            </w:r>
          </w:p>
        </w:tc>
        <w:tc>
          <w:tcPr>
            <w:tcW w:w="4029"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超限</w:t>
            </w:r>
            <w:r>
              <w:rPr>
                <w:rFonts w:hint="eastAsia" w:ascii="Arial" w:hAnsi="Arial" w:cs="Arial"/>
                <w:color w:val="000000" w:themeColor="text1"/>
                <w:shd w:val="clear" w:color="auto" w:fill="FFFFFF"/>
                <w14:textFill>
                  <w14:solidFill>
                    <w14:schemeClr w14:val="tx1"/>
                  </w14:solidFill>
                </w14:textFill>
              </w:rPr>
              <w:t>50%</w:t>
            </w:r>
            <w:r>
              <w:rPr>
                <w:rFonts w:hint="eastAsia" w:ascii="宋体" w:hAnsi="宋体" w:cs="Arial"/>
                <w:color w:val="000000" w:themeColor="text1"/>
                <w:shd w:val="clear" w:color="auto" w:fill="FFFFFF"/>
                <w14:textFill>
                  <w14:solidFill>
                    <w14:schemeClr w14:val="tx1"/>
                  </w14:solidFill>
                </w14:textFill>
              </w:rPr>
              <w:t>以上至</w:t>
            </w:r>
            <w:r>
              <w:rPr>
                <w:rFonts w:hint="eastAsia" w:ascii="Arial" w:hAnsi="Arial" w:cs="Arial"/>
                <w:color w:val="000000" w:themeColor="text1"/>
                <w:shd w:val="clear" w:color="auto" w:fill="FFFFFF"/>
                <w14:textFill>
                  <w14:solidFill>
                    <w14:schemeClr w14:val="tx1"/>
                  </w14:solidFill>
                </w14:textFill>
              </w:rPr>
              <w:t>60%</w:t>
            </w:r>
            <w:r>
              <w:rPr>
                <w:rFonts w:hint="eastAsia" w:ascii="宋体" w:hAnsi="宋体" w:cs="Arial"/>
                <w:color w:val="000000" w:themeColor="text1"/>
                <w:shd w:val="clear" w:color="auto" w:fill="FFFFFF"/>
                <w14:textFill>
                  <w14:solidFill>
                    <w14:schemeClr w14:val="tx1"/>
                  </w14:solidFill>
                </w14:textFill>
              </w:rPr>
              <w:t>（含</w:t>
            </w:r>
            <w:r>
              <w:rPr>
                <w:rFonts w:hint="eastAsia" w:ascii="Arial" w:hAnsi="Arial" w:cs="Arial"/>
                <w:color w:val="000000" w:themeColor="text1"/>
                <w:shd w:val="clear" w:color="auto" w:fill="FFFFFF"/>
                <w14:textFill>
                  <w14:solidFill>
                    <w14:schemeClr w14:val="tx1"/>
                  </w14:solidFill>
                </w14:textFill>
              </w:rPr>
              <w:t>60%</w:t>
            </w:r>
            <w:r>
              <w:rPr>
                <w:rFonts w:hint="eastAsia" w:ascii="宋体" w:hAnsi="宋体" w:cs="Arial"/>
                <w:color w:val="000000" w:themeColor="text1"/>
                <w:shd w:val="clear" w:color="auto" w:fill="FFFFFF"/>
                <w14:textFill>
                  <w14:solidFill>
                    <w14:schemeClr w14:val="tx1"/>
                  </w14:solidFill>
                </w14:textFill>
              </w:rPr>
              <w:t>）</w:t>
            </w:r>
          </w:p>
        </w:tc>
        <w:tc>
          <w:tcPr>
            <w:tcW w:w="4450"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责令卸载，作超限记录，处</w:t>
            </w:r>
            <w:r>
              <w:rPr>
                <w:rFonts w:hint="eastAsia" w:ascii="Arial" w:hAnsi="Arial" w:cs="Arial"/>
                <w:color w:val="000000" w:themeColor="text1"/>
                <w:shd w:val="clear" w:color="auto" w:fill="FFFFFF"/>
                <w14:textFill>
                  <w14:solidFill>
                    <w14:schemeClr w14:val="tx1"/>
                  </w14:solidFill>
                </w14:textFill>
              </w:rPr>
              <w:t>1600</w:t>
            </w:r>
            <w:r>
              <w:rPr>
                <w:rFonts w:hint="eastAsia" w:ascii="宋体" w:hAnsi="宋体" w:cs="Arial"/>
                <w:color w:val="000000" w:themeColor="text1"/>
                <w:shd w:val="clear" w:color="auto" w:fill="FFFFFF"/>
                <w14:textFill>
                  <w14:solidFill>
                    <w14:schemeClr w14:val="tx1"/>
                  </w14:solidFill>
                </w14:textFill>
              </w:rPr>
              <w:t>元罚款</w:t>
            </w:r>
          </w:p>
        </w:tc>
        <w:tc>
          <w:tcPr>
            <w:tcW w:w="1368"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color w:val="000000" w:themeColor="text1"/>
                <w14:textFill>
                  <w14:solidFill>
                    <w14:schemeClr w14:val="tx1"/>
                  </w14:solidFill>
                </w14:textFill>
              </w:rPr>
            </w:pPr>
          </w:p>
        </w:tc>
        <w:tc>
          <w:tcPr>
            <w:tcW w:w="2610" w:type="dxa"/>
            <w:vMerge w:val="continue"/>
          </w:tcPr>
          <w:p>
            <w:pPr>
              <w:rPr>
                <w:color w:val="000000" w:themeColor="text1"/>
                <w14:textFill>
                  <w14:solidFill>
                    <w14:schemeClr w14:val="tx1"/>
                  </w14:solidFill>
                </w14:textFill>
              </w:rPr>
            </w:pPr>
          </w:p>
        </w:tc>
        <w:tc>
          <w:tcPr>
            <w:tcW w:w="1245" w:type="dxa"/>
            <w:vMerge w:val="continue"/>
            <w:vAlign w:val="center"/>
          </w:tcPr>
          <w:p>
            <w:pPr>
              <w:jc w:val="center"/>
              <w:rPr>
                <w:color w:val="000000" w:themeColor="text1"/>
                <w14:textFill>
                  <w14:solidFill>
                    <w14:schemeClr w14:val="tx1"/>
                  </w14:solidFill>
                </w14:textFill>
              </w:rPr>
            </w:pPr>
          </w:p>
        </w:tc>
        <w:tc>
          <w:tcPr>
            <w:tcW w:w="4029"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超限</w:t>
            </w:r>
            <w:r>
              <w:rPr>
                <w:rFonts w:hint="eastAsia" w:ascii="Arial" w:hAnsi="Arial" w:cs="Arial"/>
                <w:color w:val="000000" w:themeColor="text1"/>
                <w:shd w:val="clear" w:color="auto" w:fill="FFFFFF"/>
                <w14:textFill>
                  <w14:solidFill>
                    <w14:schemeClr w14:val="tx1"/>
                  </w14:solidFill>
                </w14:textFill>
              </w:rPr>
              <w:t>60%</w:t>
            </w:r>
            <w:r>
              <w:rPr>
                <w:rFonts w:hint="eastAsia" w:ascii="宋体" w:hAnsi="宋体" w:cs="Arial"/>
                <w:color w:val="000000" w:themeColor="text1"/>
                <w:shd w:val="clear" w:color="auto" w:fill="FFFFFF"/>
                <w14:textFill>
                  <w14:solidFill>
                    <w14:schemeClr w14:val="tx1"/>
                  </w14:solidFill>
                </w14:textFill>
              </w:rPr>
              <w:t>以上至</w:t>
            </w:r>
            <w:r>
              <w:rPr>
                <w:rFonts w:hint="eastAsia" w:ascii="Arial" w:hAnsi="Arial" w:cs="Arial"/>
                <w:color w:val="000000" w:themeColor="text1"/>
                <w:shd w:val="clear" w:color="auto" w:fill="FFFFFF"/>
                <w14:textFill>
                  <w14:solidFill>
                    <w14:schemeClr w14:val="tx1"/>
                  </w14:solidFill>
                </w14:textFill>
              </w:rPr>
              <w:t>70%</w:t>
            </w:r>
            <w:r>
              <w:rPr>
                <w:rFonts w:hint="eastAsia" w:ascii="宋体" w:hAnsi="宋体" w:cs="Arial"/>
                <w:color w:val="000000" w:themeColor="text1"/>
                <w:shd w:val="clear" w:color="auto" w:fill="FFFFFF"/>
                <w14:textFill>
                  <w14:solidFill>
                    <w14:schemeClr w14:val="tx1"/>
                  </w14:solidFill>
                </w14:textFill>
              </w:rPr>
              <w:t>（含</w:t>
            </w:r>
            <w:r>
              <w:rPr>
                <w:rFonts w:hint="eastAsia" w:ascii="Arial" w:hAnsi="Arial" w:cs="Arial"/>
                <w:color w:val="000000" w:themeColor="text1"/>
                <w:shd w:val="clear" w:color="auto" w:fill="FFFFFF"/>
                <w14:textFill>
                  <w14:solidFill>
                    <w14:schemeClr w14:val="tx1"/>
                  </w14:solidFill>
                </w14:textFill>
              </w:rPr>
              <w:t>70%</w:t>
            </w:r>
            <w:r>
              <w:rPr>
                <w:rFonts w:hint="eastAsia" w:ascii="宋体" w:hAnsi="宋体" w:cs="Arial"/>
                <w:color w:val="000000" w:themeColor="text1"/>
                <w:shd w:val="clear" w:color="auto" w:fill="FFFFFF"/>
                <w14:textFill>
                  <w14:solidFill>
                    <w14:schemeClr w14:val="tx1"/>
                  </w14:solidFill>
                </w14:textFill>
              </w:rPr>
              <w:t>）</w:t>
            </w:r>
          </w:p>
        </w:tc>
        <w:tc>
          <w:tcPr>
            <w:tcW w:w="4450"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责令卸载，作超限记录，处</w:t>
            </w:r>
            <w:r>
              <w:rPr>
                <w:rFonts w:hint="eastAsia" w:ascii="Arial" w:hAnsi="Arial" w:cs="Arial"/>
                <w:color w:val="000000" w:themeColor="text1"/>
                <w:shd w:val="clear" w:color="auto" w:fill="FFFFFF"/>
                <w14:textFill>
                  <w14:solidFill>
                    <w14:schemeClr w14:val="tx1"/>
                  </w14:solidFill>
                </w14:textFill>
              </w:rPr>
              <w:t>2200</w:t>
            </w:r>
            <w:r>
              <w:rPr>
                <w:rFonts w:hint="eastAsia" w:ascii="宋体" w:hAnsi="宋体" w:cs="Arial"/>
                <w:color w:val="000000" w:themeColor="text1"/>
                <w:shd w:val="clear" w:color="auto" w:fill="FFFFFF"/>
                <w14:textFill>
                  <w14:solidFill>
                    <w14:schemeClr w14:val="tx1"/>
                  </w14:solidFill>
                </w14:textFill>
              </w:rPr>
              <w:t>元罚款</w:t>
            </w:r>
          </w:p>
        </w:tc>
        <w:tc>
          <w:tcPr>
            <w:tcW w:w="1368"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color w:val="000000" w:themeColor="text1"/>
                <w14:textFill>
                  <w14:solidFill>
                    <w14:schemeClr w14:val="tx1"/>
                  </w14:solidFill>
                </w14:textFill>
              </w:rPr>
            </w:pPr>
          </w:p>
        </w:tc>
        <w:tc>
          <w:tcPr>
            <w:tcW w:w="2610" w:type="dxa"/>
            <w:vMerge w:val="continue"/>
          </w:tcPr>
          <w:p>
            <w:pPr>
              <w:rPr>
                <w:color w:val="000000" w:themeColor="text1"/>
                <w14:textFill>
                  <w14:solidFill>
                    <w14:schemeClr w14:val="tx1"/>
                  </w14:solidFill>
                </w14:textFill>
              </w:rPr>
            </w:pPr>
          </w:p>
        </w:tc>
        <w:tc>
          <w:tcPr>
            <w:tcW w:w="1245" w:type="dxa"/>
            <w:vMerge w:val="continue"/>
            <w:vAlign w:val="center"/>
          </w:tcPr>
          <w:p>
            <w:pPr>
              <w:jc w:val="center"/>
              <w:rPr>
                <w:color w:val="000000" w:themeColor="text1"/>
                <w14:textFill>
                  <w14:solidFill>
                    <w14:schemeClr w14:val="tx1"/>
                  </w14:solidFill>
                </w14:textFill>
              </w:rPr>
            </w:pPr>
          </w:p>
        </w:tc>
        <w:tc>
          <w:tcPr>
            <w:tcW w:w="4029"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超限</w:t>
            </w:r>
            <w:r>
              <w:rPr>
                <w:rFonts w:hint="eastAsia" w:ascii="Arial" w:hAnsi="Arial" w:cs="Arial"/>
                <w:color w:val="000000" w:themeColor="text1"/>
                <w:shd w:val="clear" w:color="auto" w:fill="FFFFFF"/>
                <w14:textFill>
                  <w14:solidFill>
                    <w14:schemeClr w14:val="tx1"/>
                  </w14:solidFill>
                </w14:textFill>
              </w:rPr>
              <w:t>70%</w:t>
            </w:r>
            <w:r>
              <w:rPr>
                <w:rFonts w:hint="eastAsia" w:ascii="宋体" w:hAnsi="宋体" w:cs="Arial"/>
                <w:color w:val="000000" w:themeColor="text1"/>
                <w:shd w:val="clear" w:color="auto" w:fill="FFFFFF"/>
                <w14:textFill>
                  <w14:solidFill>
                    <w14:schemeClr w14:val="tx1"/>
                  </w14:solidFill>
                </w14:textFill>
              </w:rPr>
              <w:t>以上至</w:t>
            </w:r>
            <w:r>
              <w:rPr>
                <w:rFonts w:hint="eastAsia" w:ascii="Arial" w:hAnsi="Arial" w:cs="Arial"/>
                <w:color w:val="000000" w:themeColor="text1"/>
                <w:shd w:val="clear" w:color="auto" w:fill="FFFFFF"/>
                <w14:textFill>
                  <w14:solidFill>
                    <w14:schemeClr w14:val="tx1"/>
                  </w14:solidFill>
                </w14:textFill>
              </w:rPr>
              <w:t>80%</w:t>
            </w:r>
            <w:r>
              <w:rPr>
                <w:rFonts w:hint="eastAsia" w:ascii="宋体" w:hAnsi="宋体" w:cs="Arial"/>
                <w:color w:val="000000" w:themeColor="text1"/>
                <w:shd w:val="clear" w:color="auto" w:fill="FFFFFF"/>
                <w14:textFill>
                  <w14:solidFill>
                    <w14:schemeClr w14:val="tx1"/>
                  </w14:solidFill>
                </w14:textFill>
              </w:rPr>
              <w:t>（含</w:t>
            </w:r>
            <w:r>
              <w:rPr>
                <w:rFonts w:hint="eastAsia" w:ascii="Arial" w:hAnsi="Arial" w:cs="Arial"/>
                <w:color w:val="000000" w:themeColor="text1"/>
                <w:shd w:val="clear" w:color="auto" w:fill="FFFFFF"/>
                <w14:textFill>
                  <w14:solidFill>
                    <w14:schemeClr w14:val="tx1"/>
                  </w14:solidFill>
                </w14:textFill>
              </w:rPr>
              <w:t>80%</w:t>
            </w:r>
            <w:r>
              <w:rPr>
                <w:rFonts w:hint="eastAsia" w:ascii="宋体" w:hAnsi="宋体" w:cs="Arial"/>
                <w:color w:val="000000" w:themeColor="text1"/>
                <w:shd w:val="clear" w:color="auto" w:fill="FFFFFF"/>
                <w14:textFill>
                  <w14:solidFill>
                    <w14:schemeClr w14:val="tx1"/>
                  </w14:solidFill>
                </w14:textFill>
              </w:rPr>
              <w:t>）</w:t>
            </w:r>
          </w:p>
        </w:tc>
        <w:tc>
          <w:tcPr>
            <w:tcW w:w="4450"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责令卸载，作超限记录，处</w:t>
            </w:r>
            <w:r>
              <w:rPr>
                <w:rFonts w:hint="eastAsia" w:ascii="Arial" w:hAnsi="Arial" w:cs="Arial"/>
                <w:color w:val="000000" w:themeColor="text1"/>
                <w:shd w:val="clear" w:color="auto" w:fill="FFFFFF"/>
                <w14:textFill>
                  <w14:solidFill>
                    <w14:schemeClr w14:val="tx1"/>
                  </w14:solidFill>
                </w14:textFill>
              </w:rPr>
              <w:t>2800</w:t>
            </w:r>
            <w:r>
              <w:rPr>
                <w:rFonts w:hint="eastAsia" w:ascii="宋体" w:hAnsi="宋体" w:cs="Arial"/>
                <w:color w:val="000000" w:themeColor="text1"/>
                <w:shd w:val="clear" w:color="auto" w:fill="FFFFFF"/>
                <w14:textFill>
                  <w14:solidFill>
                    <w14:schemeClr w14:val="tx1"/>
                  </w14:solidFill>
                </w14:textFill>
              </w:rPr>
              <w:t>元罚款</w:t>
            </w:r>
          </w:p>
        </w:tc>
        <w:tc>
          <w:tcPr>
            <w:tcW w:w="1368"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color w:val="000000" w:themeColor="text1"/>
                <w14:textFill>
                  <w14:solidFill>
                    <w14:schemeClr w14:val="tx1"/>
                  </w14:solidFill>
                </w14:textFill>
              </w:rPr>
            </w:pPr>
          </w:p>
        </w:tc>
        <w:tc>
          <w:tcPr>
            <w:tcW w:w="2610" w:type="dxa"/>
            <w:vMerge w:val="continue"/>
          </w:tcPr>
          <w:p>
            <w:pPr>
              <w:rPr>
                <w:color w:val="000000" w:themeColor="text1"/>
                <w14:textFill>
                  <w14:solidFill>
                    <w14:schemeClr w14:val="tx1"/>
                  </w14:solidFill>
                </w14:textFill>
              </w:rPr>
            </w:pPr>
          </w:p>
        </w:tc>
        <w:tc>
          <w:tcPr>
            <w:tcW w:w="1245" w:type="dxa"/>
            <w:vMerge w:val="continue"/>
            <w:vAlign w:val="center"/>
          </w:tcPr>
          <w:p>
            <w:pPr>
              <w:jc w:val="center"/>
              <w:rPr>
                <w:color w:val="000000" w:themeColor="text1"/>
                <w14:textFill>
                  <w14:solidFill>
                    <w14:schemeClr w14:val="tx1"/>
                  </w14:solidFill>
                </w14:textFill>
              </w:rPr>
            </w:pPr>
          </w:p>
        </w:tc>
        <w:tc>
          <w:tcPr>
            <w:tcW w:w="4029"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超限</w:t>
            </w:r>
            <w:r>
              <w:rPr>
                <w:rFonts w:hint="eastAsia" w:ascii="Arial" w:hAnsi="Arial" w:cs="Arial"/>
                <w:color w:val="000000" w:themeColor="text1"/>
                <w:shd w:val="clear" w:color="auto" w:fill="FFFFFF"/>
                <w14:textFill>
                  <w14:solidFill>
                    <w14:schemeClr w14:val="tx1"/>
                  </w14:solidFill>
                </w14:textFill>
              </w:rPr>
              <w:t>80%</w:t>
            </w:r>
            <w:r>
              <w:rPr>
                <w:rFonts w:hint="eastAsia" w:ascii="宋体" w:hAnsi="宋体" w:cs="Arial"/>
                <w:color w:val="000000" w:themeColor="text1"/>
                <w:shd w:val="clear" w:color="auto" w:fill="FFFFFF"/>
                <w14:textFill>
                  <w14:solidFill>
                    <w14:schemeClr w14:val="tx1"/>
                  </w14:solidFill>
                </w14:textFill>
              </w:rPr>
              <w:t>以上至</w:t>
            </w:r>
            <w:r>
              <w:rPr>
                <w:rFonts w:hint="eastAsia" w:ascii="Arial" w:hAnsi="Arial" w:cs="Arial"/>
                <w:color w:val="000000" w:themeColor="text1"/>
                <w:shd w:val="clear" w:color="auto" w:fill="FFFFFF"/>
                <w14:textFill>
                  <w14:solidFill>
                    <w14:schemeClr w14:val="tx1"/>
                  </w14:solidFill>
                </w14:textFill>
              </w:rPr>
              <w:t>90%</w:t>
            </w:r>
            <w:r>
              <w:rPr>
                <w:rFonts w:hint="eastAsia" w:ascii="宋体" w:hAnsi="宋体" w:cs="Arial"/>
                <w:color w:val="000000" w:themeColor="text1"/>
                <w:shd w:val="clear" w:color="auto" w:fill="FFFFFF"/>
                <w14:textFill>
                  <w14:solidFill>
                    <w14:schemeClr w14:val="tx1"/>
                  </w14:solidFill>
                </w14:textFill>
              </w:rPr>
              <w:t>（含</w:t>
            </w:r>
            <w:r>
              <w:rPr>
                <w:rFonts w:hint="eastAsia" w:ascii="Arial" w:hAnsi="Arial" w:cs="Arial"/>
                <w:color w:val="000000" w:themeColor="text1"/>
                <w:shd w:val="clear" w:color="auto" w:fill="FFFFFF"/>
                <w14:textFill>
                  <w14:solidFill>
                    <w14:schemeClr w14:val="tx1"/>
                  </w14:solidFill>
                </w14:textFill>
              </w:rPr>
              <w:t>90%</w:t>
            </w:r>
            <w:r>
              <w:rPr>
                <w:rFonts w:hint="eastAsia" w:ascii="宋体" w:hAnsi="宋体" w:cs="Arial"/>
                <w:color w:val="000000" w:themeColor="text1"/>
                <w:shd w:val="clear" w:color="auto" w:fill="FFFFFF"/>
                <w14:textFill>
                  <w14:solidFill>
                    <w14:schemeClr w14:val="tx1"/>
                  </w14:solidFill>
                </w14:textFill>
              </w:rPr>
              <w:t>）</w:t>
            </w:r>
          </w:p>
        </w:tc>
        <w:tc>
          <w:tcPr>
            <w:tcW w:w="4450"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责令卸载，作超限记录，处</w:t>
            </w:r>
            <w:r>
              <w:rPr>
                <w:rFonts w:hint="eastAsia" w:ascii="Arial" w:hAnsi="Arial" w:cs="Arial"/>
                <w:color w:val="000000" w:themeColor="text1"/>
                <w:shd w:val="clear" w:color="auto" w:fill="FFFFFF"/>
                <w14:textFill>
                  <w14:solidFill>
                    <w14:schemeClr w14:val="tx1"/>
                  </w14:solidFill>
                </w14:textFill>
              </w:rPr>
              <w:t>3400</w:t>
            </w:r>
            <w:r>
              <w:rPr>
                <w:rFonts w:hint="eastAsia" w:ascii="宋体" w:hAnsi="宋体" w:cs="Arial"/>
                <w:color w:val="000000" w:themeColor="text1"/>
                <w:shd w:val="clear" w:color="auto" w:fill="FFFFFF"/>
                <w14:textFill>
                  <w14:solidFill>
                    <w14:schemeClr w14:val="tx1"/>
                  </w14:solidFill>
                </w14:textFill>
              </w:rPr>
              <w:t>元罚款</w:t>
            </w:r>
          </w:p>
        </w:tc>
        <w:tc>
          <w:tcPr>
            <w:tcW w:w="1368"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color w:val="000000" w:themeColor="text1"/>
                <w14:textFill>
                  <w14:solidFill>
                    <w14:schemeClr w14:val="tx1"/>
                  </w14:solidFill>
                </w14:textFill>
              </w:rPr>
            </w:pPr>
          </w:p>
        </w:tc>
        <w:tc>
          <w:tcPr>
            <w:tcW w:w="2610" w:type="dxa"/>
            <w:vMerge w:val="continue"/>
          </w:tcPr>
          <w:p>
            <w:pPr>
              <w:rPr>
                <w:color w:val="000000" w:themeColor="text1"/>
                <w14:textFill>
                  <w14:solidFill>
                    <w14:schemeClr w14:val="tx1"/>
                  </w14:solidFill>
                </w14:textFill>
              </w:rPr>
            </w:pPr>
          </w:p>
        </w:tc>
        <w:tc>
          <w:tcPr>
            <w:tcW w:w="1245" w:type="dxa"/>
            <w:vMerge w:val="continue"/>
            <w:vAlign w:val="center"/>
          </w:tcPr>
          <w:p>
            <w:pPr>
              <w:jc w:val="center"/>
              <w:rPr>
                <w:color w:val="000000" w:themeColor="text1"/>
                <w14:textFill>
                  <w14:solidFill>
                    <w14:schemeClr w14:val="tx1"/>
                  </w14:solidFill>
                </w14:textFill>
              </w:rPr>
            </w:pPr>
          </w:p>
        </w:tc>
        <w:tc>
          <w:tcPr>
            <w:tcW w:w="4029"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超限</w:t>
            </w:r>
            <w:r>
              <w:rPr>
                <w:rFonts w:hint="eastAsia" w:ascii="Arial" w:hAnsi="Arial" w:cs="Arial"/>
                <w:color w:val="000000" w:themeColor="text1"/>
                <w:shd w:val="clear" w:color="auto" w:fill="FFFFFF"/>
                <w14:textFill>
                  <w14:solidFill>
                    <w14:schemeClr w14:val="tx1"/>
                  </w14:solidFill>
                </w14:textFill>
              </w:rPr>
              <w:t>90%</w:t>
            </w:r>
            <w:r>
              <w:rPr>
                <w:rFonts w:hint="eastAsia" w:ascii="宋体" w:hAnsi="宋体" w:cs="Arial"/>
                <w:color w:val="000000" w:themeColor="text1"/>
                <w:shd w:val="clear" w:color="auto" w:fill="FFFFFF"/>
                <w14:textFill>
                  <w14:solidFill>
                    <w14:schemeClr w14:val="tx1"/>
                  </w14:solidFill>
                </w14:textFill>
              </w:rPr>
              <w:t>以上至</w:t>
            </w:r>
            <w:r>
              <w:rPr>
                <w:rFonts w:hint="eastAsia" w:ascii="Arial" w:hAnsi="Arial" w:cs="Arial"/>
                <w:color w:val="000000" w:themeColor="text1"/>
                <w:shd w:val="clear" w:color="auto" w:fill="FFFFFF"/>
                <w14:textFill>
                  <w14:solidFill>
                    <w14:schemeClr w14:val="tx1"/>
                  </w14:solidFill>
                </w14:textFill>
              </w:rPr>
              <w:t>100%</w:t>
            </w:r>
            <w:r>
              <w:rPr>
                <w:rFonts w:hint="eastAsia" w:ascii="宋体" w:hAnsi="宋体" w:cs="Arial"/>
                <w:color w:val="000000" w:themeColor="text1"/>
                <w:shd w:val="clear" w:color="auto" w:fill="FFFFFF"/>
                <w14:textFill>
                  <w14:solidFill>
                    <w14:schemeClr w14:val="tx1"/>
                  </w14:solidFill>
                </w14:textFill>
              </w:rPr>
              <w:t>（含</w:t>
            </w:r>
            <w:r>
              <w:rPr>
                <w:rFonts w:hint="eastAsia" w:ascii="Arial" w:hAnsi="Arial" w:cs="Arial"/>
                <w:color w:val="000000" w:themeColor="text1"/>
                <w:shd w:val="clear" w:color="auto" w:fill="FFFFFF"/>
                <w14:textFill>
                  <w14:solidFill>
                    <w14:schemeClr w14:val="tx1"/>
                  </w14:solidFill>
                </w14:textFill>
              </w:rPr>
              <w:t>100%</w:t>
            </w:r>
            <w:r>
              <w:rPr>
                <w:rFonts w:hint="eastAsia" w:ascii="宋体" w:hAnsi="宋体" w:cs="Arial"/>
                <w:color w:val="000000" w:themeColor="text1"/>
                <w:shd w:val="clear" w:color="auto" w:fill="FFFFFF"/>
                <w14:textFill>
                  <w14:solidFill>
                    <w14:schemeClr w14:val="tx1"/>
                  </w14:solidFill>
                </w14:textFill>
              </w:rPr>
              <w:t>）</w:t>
            </w:r>
          </w:p>
        </w:tc>
        <w:tc>
          <w:tcPr>
            <w:tcW w:w="4450"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责令卸载，作超限记录，处</w:t>
            </w:r>
            <w:r>
              <w:rPr>
                <w:rFonts w:hint="eastAsia" w:ascii="Arial" w:hAnsi="Arial" w:cs="Arial"/>
                <w:color w:val="000000" w:themeColor="text1"/>
                <w:shd w:val="clear" w:color="auto" w:fill="FFFFFF"/>
                <w14:textFill>
                  <w14:solidFill>
                    <w14:schemeClr w14:val="tx1"/>
                  </w14:solidFill>
                </w14:textFill>
              </w:rPr>
              <w:t>4000</w:t>
            </w:r>
            <w:r>
              <w:rPr>
                <w:rFonts w:hint="eastAsia" w:ascii="宋体" w:hAnsi="宋体" w:cs="Arial"/>
                <w:color w:val="000000" w:themeColor="text1"/>
                <w:shd w:val="clear" w:color="auto" w:fill="FFFFFF"/>
                <w14:textFill>
                  <w14:solidFill>
                    <w14:schemeClr w14:val="tx1"/>
                  </w14:solidFill>
                </w14:textFill>
              </w:rPr>
              <w:t>元罚款</w:t>
            </w:r>
          </w:p>
        </w:tc>
        <w:tc>
          <w:tcPr>
            <w:tcW w:w="1368"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color w:val="000000" w:themeColor="text1"/>
                <w14:textFill>
                  <w14:solidFill>
                    <w14:schemeClr w14:val="tx1"/>
                  </w14:solidFill>
                </w14:textFill>
              </w:rPr>
            </w:pPr>
          </w:p>
        </w:tc>
        <w:tc>
          <w:tcPr>
            <w:tcW w:w="2610" w:type="dxa"/>
            <w:vMerge w:val="continue"/>
          </w:tcPr>
          <w:p>
            <w:pPr>
              <w:rPr>
                <w:color w:val="000000" w:themeColor="text1"/>
                <w14:textFill>
                  <w14:solidFill>
                    <w14:schemeClr w14:val="tx1"/>
                  </w14:solidFill>
                </w14:textFill>
              </w:rPr>
            </w:pPr>
          </w:p>
        </w:tc>
        <w:tc>
          <w:tcPr>
            <w:tcW w:w="1245" w:type="dxa"/>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严 重</w:t>
            </w:r>
          </w:p>
        </w:tc>
        <w:tc>
          <w:tcPr>
            <w:tcW w:w="4029"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超限</w:t>
            </w:r>
            <w:r>
              <w:rPr>
                <w:rFonts w:hint="eastAsia" w:ascii="Arial" w:hAnsi="Arial" w:cs="Arial"/>
                <w:color w:val="000000" w:themeColor="text1"/>
                <w:shd w:val="clear" w:color="auto" w:fill="FFFFFF"/>
                <w14:textFill>
                  <w14:solidFill>
                    <w14:schemeClr w14:val="tx1"/>
                  </w14:solidFill>
                </w14:textFill>
              </w:rPr>
              <w:t>100%</w:t>
            </w:r>
            <w:r>
              <w:rPr>
                <w:rFonts w:hint="eastAsia" w:ascii="宋体" w:hAnsi="宋体" w:cs="Arial"/>
                <w:color w:val="000000" w:themeColor="text1"/>
                <w:shd w:val="clear" w:color="auto" w:fill="FFFFFF"/>
                <w14:textFill>
                  <w14:solidFill>
                    <w14:schemeClr w14:val="tx1"/>
                  </w14:solidFill>
                </w14:textFill>
              </w:rPr>
              <w:t>以上至</w:t>
            </w:r>
            <w:r>
              <w:rPr>
                <w:rFonts w:hint="eastAsia" w:ascii="Arial" w:hAnsi="Arial" w:cs="Arial"/>
                <w:color w:val="000000" w:themeColor="text1"/>
                <w:shd w:val="clear" w:color="auto" w:fill="FFFFFF"/>
                <w14:textFill>
                  <w14:solidFill>
                    <w14:schemeClr w14:val="tx1"/>
                  </w14:solidFill>
                </w14:textFill>
              </w:rPr>
              <w:t>110%</w:t>
            </w:r>
            <w:r>
              <w:rPr>
                <w:rFonts w:hint="eastAsia" w:ascii="宋体" w:hAnsi="宋体" w:cs="Arial"/>
                <w:color w:val="000000" w:themeColor="text1"/>
                <w:shd w:val="clear" w:color="auto" w:fill="FFFFFF"/>
                <w14:textFill>
                  <w14:solidFill>
                    <w14:schemeClr w14:val="tx1"/>
                  </w14:solidFill>
                </w14:textFill>
              </w:rPr>
              <w:t>（含</w:t>
            </w:r>
            <w:r>
              <w:rPr>
                <w:rFonts w:hint="eastAsia" w:ascii="Arial" w:hAnsi="Arial" w:cs="Arial"/>
                <w:color w:val="000000" w:themeColor="text1"/>
                <w:shd w:val="clear" w:color="auto" w:fill="FFFFFF"/>
                <w14:textFill>
                  <w14:solidFill>
                    <w14:schemeClr w14:val="tx1"/>
                  </w14:solidFill>
                </w14:textFill>
              </w:rPr>
              <w:t>110%</w:t>
            </w:r>
            <w:r>
              <w:rPr>
                <w:rFonts w:hint="eastAsia" w:ascii="宋体" w:hAnsi="宋体" w:cs="Arial"/>
                <w:color w:val="000000" w:themeColor="text1"/>
                <w:shd w:val="clear" w:color="auto" w:fill="FFFFFF"/>
                <w14:textFill>
                  <w14:solidFill>
                    <w14:schemeClr w14:val="tx1"/>
                  </w14:solidFill>
                </w14:textFill>
              </w:rPr>
              <w:t>）</w:t>
            </w:r>
          </w:p>
        </w:tc>
        <w:tc>
          <w:tcPr>
            <w:tcW w:w="4450"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责令卸载，作超限记录，处</w:t>
            </w:r>
            <w:r>
              <w:rPr>
                <w:rFonts w:hint="eastAsia" w:ascii="Arial" w:hAnsi="Arial" w:cs="Arial"/>
                <w:color w:val="000000" w:themeColor="text1"/>
                <w:shd w:val="clear" w:color="auto" w:fill="FFFFFF"/>
                <w14:textFill>
                  <w14:solidFill>
                    <w14:schemeClr w14:val="tx1"/>
                  </w14:solidFill>
                </w14:textFill>
              </w:rPr>
              <w:t>5000</w:t>
            </w:r>
            <w:r>
              <w:rPr>
                <w:rFonts w:hint="eastAsia" w:ascii="宋体" w:hAnsi="宋体" w:cs="Arial"/>
                <w:color w:val="000000" w:themeColor="text1"/>
                <w:shd w:val="clear" w:color="auto" w:fill="FFFFFF"/>
                <w14:textFill>
                  <w14:solidFill>
                    <w14:schemeClr w14:val="tx1"/>
                  </w14:solidFill>
                </w14:textFill>
              </w:rPr>
              <w:t>元罚款</w:t>
            </w:r>
          </w:p>
        </w:tc>
        <w:tc>
          <w:tcPr>
            <w:tcW w:w="1368"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color w:val="000000" w:themeColor="text1"/>
                <w14:textFill>
                  <w14:solidFill>
                    <w14:schemeClr w14:val="tx1"/>
                  </w14:solidFill>
                </w14:textFill>
              </w:rPr>
            </w:pPr>
          </w:p>
        </w:tc>
        <w:tc>
          <w:tcPr>
            <w:tcW w:w="2610" w:type="dxa"/>
            <w:vMerge w:val="continue"/>
          </w:tcPr>
          <w:p>
            <w:pPr>
              <w:rPr>
                <w:color w:val="000000" w:themeColor="text1"/>
                <w14:textFill>
                  <w14:solidFill>
                    <w14:schemeClr w14:val="tx1"/>
                  </w14:solidFill>
                </w14:textFill>
              </w:rPr>
            </w:pPr>
          </w:p>
        </w:tc>
        <w:tc>
          <w:tcPr>
            <w:tcW w:w="1245" w:type="dxa"/>
            <w:vMerge w:val="continue"/>
            <w:vAlign w:val="center"/>
          </w:tcPr>
          <w:p>
            <w:pPr>
              <w:jc w:val="center"/>
              <w:rPr>
                <w:color w:val="000000" w:themeColor="text1"/>
                <w14:textFill>
                  <w14:solidFill>
                    <w14:schemeClr w14:val="tx1"/>
                  </w14:solidFill>
                </w14:textFill>
              </w:rPr>
            </w:pPr>
          </w:p>
        </w:tc>
        <w:tc>
          <w:tcPr>
            <w:tcW w:w="4029"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超限</w:t>
            </w:r>
            <w:r>
              <w:rPr>
                <w:rFonts w:hint="eastAsia" w:ascii="Arial" w:hAnsi="Arial" w:cs="Arial"/>
                <w:color w:val="000000" w:themeColor="text1"/>
                <w:shd w:val="clear" w:color="auto" w:fill="FFFFFF"/>
                <w14:textFill>
                  <w14:solidFill>
                    <w14:schemeClr w14:val="tx1"/>
                  </w14:solidFill>
                </w14:textFill>
              </w:rPr>
              <w:t>110%</w:t>
            </w:r>
            <w:r>
              <w:rPr>
                <w:rFonts w:hint="eastAsia" w:ascii="宋体" w:hAnsi="宋体" w:cs="Arial"/>
                <w:color w:val="000000" w:themeColor="text1"/>
                <w:shd w:val="clear" w:color="auto" w:fill="FFFFFF"/>
                <w14:textFill>
                  <w14:solidFill>
                    <w14:schemeClr w14:val="tx1"/>
                  </w14:solidFill>
                </w14:textFill>
              </w:rPr>
              <w:t>以上至</w:t>
            </w:r>
            <w:r>
              <w:rPr>
                <w:rFonts w:hint="eastAsia" w:ascii="Arial" w:hAnsi="Arial" w:cs="Arial"/>
                <w:color w:val="000000" w:themeColor="text1"/>
                <w:shd w:val="clear" w:color="auto" w:fill="FFFFFF"/>
                <w14:textFill>
                  <w14:solidFill>
                    <w14:schemeClr w14:val="tx1"/>
                  </w14:solidFill>
                </w14:textFill>
              </w:rPr>
              <w:t>120%</w:t>
            </w:r>
            <w:r>
              <w:rPr>
                <w:rFonts w:hint="eastAsia" w:ascii="宋体" w:hAnsi="宋体" w:cs="Arial"/>
                <w:color w:val="000000" w:themeColor="text1"/>
                <w:shd w:val="clear" w:color="auto" w:fill="FFFFFF"/>
                <w14:textFill>
                  <w14:solidFill>
                    <w14:schemeClr w14:val="tx1"/>
                  </w14:solidFill>
                </w14:textFill>
              </w:rPr>
              <w:t>（含</w:t>
            </w:r>
            <w:r>
              <w:rPr>
                <w:rFonts w:hint="eastAsia" w:ascii="Arial" w:hAnsi="Arial" w:cs="Arial"/>
                <w:color w:val="000000" w:themeColor="text1"/>
                <w:shd w:val="clear" w:color="auto" w:fill="FFFFFF"/>
                <w14:textFill>
                  <w14:solidFill>
                    <w14:schemeClr w14:val="tx1"/>
                  </w14:solidFill>
                </w14:textFill>
              </w:rPr>
              <w:t>120%</w:t>
            </w:r>
            <w:r>
              <w:rPr>
                <w:rFonts w:hint="eastAsia" w:ascii="宋体" w:hAnsi="宋体" w:cs="Arial"/>
                <w:color w:val="000000" w:themeColor="text1"/>
                <w:shd w:val="clear" w:color="auto" w:fill="FFFFFF"/>
                <w14:textFill>
                  <w14:solidFill>
                    <w14:schemeClr w14:val="tx1"/>
                  </w14:solidFill>
                </w14:textFill>
              </w:rPr>
              <w:t>）</w:t>
            </w:r>
          </w:p>
        </w:tc>
        <w:tc>
          <w:tcPr>
            <w:tcW w:w="4450"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责令卸载，作超限记录，处</w:t>
            </w:r>
            <w:r>
              <w:rPr>
                <w:rFonts w:hint="eastAsia" w:ascii="Arial" w:hAnsi="Arial" w:cs="Arial"/>
                <w:color w:val="000000" w:themeColor="text1"/>
                <w:shd w:val="clear" w:color="auto" w:fill="FFFFFF"/>
                <w14:textFill>
                  <w14:solidFill>
                    <w14:schemeClr w14:val="tx1"/>
                  </w14:solidFill>
                </w14:textFill>
              </w:rPr>
              <w:t>6000</w:t>
            </w:r>
            <w:r>
              <w:rPr>
                <w:rFonts w:hint="eastAsia" w:ascii="宋体" w:hAnsi="宋体" w:cs="Arial"/>
                <w:color w:val="000000" w:themeColor="text1"/>
                <w:shd w:val="clear" w:color="auto" w:fill="FFFFFF"/>
                <w14:textFill>
                  <w14:solidFill>
                    <w14:schemeClr w14:val="tx1"/>
                  </w14:solidFill>
                </w14:textFill>
              </w:rPr>
              <w:t>元罚款</w:t>
            </w:r>
          </w:p>
        </w:tc>
        <w:tc>
          <w:tcPr>
            <w:tcW w:w="1368"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color w:val="000000" w:themeColor="text1"/>
                <w14:textFill>
                  <w14:solidFill>
                    <w14:schemeClr w14:val="tx1"/>
                  </w14:solidFill>
                </w14:textFill>
              </w:rPr>
            </w:pPr>
          </w:p>
        </w:tc>
        <w:tc>
          <w:tcPr>
            <w:tcW w:w="2610" w:type="dxa"/>
            <w:vMerge w:val="continue"/>
          </w:tcPr>
          <w:p>
            <w:pPr>
              <w:rPr>
                <w:color w:val="000000" w:themeColor="text1"/>
                <w14:textFill>
                  <w14:solidFill>
                    <w14:schemeClr w14:val="tx1"/>
                  </w14:solidFill>
                </w14:textFill>
              </w:rPr>
            </w:pPr>
          </w:p>
        </w:tc>
        <w:tc>
          <w:tcPr>
            <w:tcW w:w="1245" w:type="dxa"/>
            <w:vMerge w:val="continue"/>
            <w:vAlign w:val="center"/>
          </w:tcPr>
          <w:p>
            <w:pPr>
              <w:jc w:val="center"/>
              <w:rPr>
                <w:color w:val="000000" w:themeColor="text1"/>
                <w14:textFill>
                  <w14:solidFill>
                    <w14:schemeClr w14:val="tx1"/>
                  </w14:solidFill>
                </w14:textFill>
              </w:rPr>
            </w:pPr>
          </w:p>
        </w:tc>
        <w:tc>
          <w:tcPr>
            <w:tcW w:w="4029"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超限</w:t>
            </w:r>
            <w:r>
              <w:rPr>
                <w:rFonts w:hint="eastAsia" w:ascii="Arial" w:hAnsi="Arial" w:cs="Arial"/>
                <w:color w:val="000000" w:themeColor="text1"/>
                <w:shd w:val="clear" w:color="auto" w:fill="FFFFFF"/>
                <w14:textFill>
                  <w14:solidFill>
                    <w14:schemeClr w14:val="tx1"/>
                  </w14:solidFill>
                </w14:textFill>
              </w:rPr>
              <w:t>120%</w:t>
            </w:r>
            <w:r>
              <w:rPr>
                <w:rFonts w:hint="eastAsia" w:ascii="宋体" w:hAnsi="宋体" w:cs="Arial"/>
                <w:color w:val="000000" w:themeColor="text1"/>
                <w:shd w:val="clear" w:color="auto" w:fill="FFFFFF"/>
                <w14:textFill>
                  <w14:solidFill>
                    <w14:schemeClr w14:val="tx1"/>
                  </w14:solidFill>
                </w14:textFill>
              </w:rPr>
              <w:t>以上至</w:t>
            </w:r>
            <w:r>
              <w:rPr>
                <w:rFonts w:hint="eastAsia" w:ascii="Arial" w:hAnsi="Arial" w:cs="Arial"/>
                <w:color w:val="000000" w:themeColor="text1"/>
                <w:shd w:val="clear" w:color="auto" w:fill="FFFFFF"/>
                <w14:textFill>
                  <w14:solidFill>
                    <w14:schemeClr w14:val="tx1"/>
                  </w14:solidFill>
                </w14:textFill>
              </w:rPr>
              <w:t>130%</w:t>
            </w:r>
            <w:r>
              <w:rPr>
                <w:rFonts w:hint="eastAsia" w:ascii="宋体" w:hAnsi="宋体" w:cs="Arial"/>
                <w:color w:val="000000" w:themeColor="text1"/>
                <w:shd w:val="clear" w:color="auto" w:fill="FFFFFF"/>
                <w14:textFill>
                  <w14:solidFill>
                    <w14:schemeClr w14:val="tx1"/>
                  </w14:solidFill>
                </w14:textFill>
              </w:rPr>
              <w:t>（含</w:t>
            </w:r>
            <w:r>
              <w:rPr>
                <w:rFonts w:hint="eastAsia" w:ascii="Arial" w:hAnsi="Arial" w:cs="Arial"/>
                <w:color w:val="000000" w:themeColor="text1"/>
                <w:shd w:val="clear" w:color="auto" w:fill="FFFFFF"/>
                <w14:textFill>
                  <w14:solidFill>
                    <w14:schemeClr w14:val="tx1"/>
                  </w14:solidFill>
                </w14:textFill>
              </w:rPr>
              <w:t>130%</w:t>
            </w:r>
            <w:r>
              <w:rPr>
                <w:rFonts w:hint="eastAsia" w:ascii="宋体" w:hAnsi="宋体" w:cs="Arial"/>
                <w:color w:val="000000" w:themeColor="text1"/>
                <w:shd w:val="clear" w:color="auto" w:fill="FFFFFF"/>
                <w14:textFill>
                  <w14:solidFill>
                    <w14:schemeClr w14:val="tx1"/>
                  </w14:solidFill>
                </w14:textFill>
              </w:rPr>
              <w:t>）</w:t>
            </w:r>
          </w:p>
        </w:tc>
        <w:tc>
          <w:tcPr>
            <w:tcW w:w="4450"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责令卸载，作超限记录，处</w:t>
            </w:r>
            <w:r>
              <w:rPr>
                <w:rFonts w:hint="eastAsia" w:ascii="Arial" w:hAnsi="Arial" w:cs="Arial"/>
                <w:color w:val="000000" w:themeColor="text1"/>
                <w:shd w:val="clear" w:color="auto" w:fill="FFFFFF"/>
                <w14:textFill>
                  <w14:solidFill>
                    <w14:schemeClr w14:val="tx1"/>
                  </w14:solidFill>
                </w14:textFill>
              </w:rPr>
              <w:t>7000</w:t>
            </w:r>
            <w:r>
              <w:rPr>
                <w:rFonts w:hint="eastAsia" w:ascii="宋体" w:hAnsi="宋体" w:cs="Arial"/>
                <w:color w:val="000000" w:themeColor="text1"/>
                <w:shd w:val="clear" w:color="auto" w:fill="FFFFFF"/>
                <w14:textFill>
                  <w14:solidFill>
                    <w14:schemeClr w14:val="tx1"/>
                  </w14:solidFill>
                </w14:textFill>
              </w:rPr>
              <w:t>元罚款</w:t>
            </w:r>
          </w:p>
        </w:tc>
        <w:tc>
          <w:tcPr>
            <w:tcW w:w="1368"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color w:val="000000" w:themeColor="text1"/>
                <w14:textFill>
                  <w14:solidFill>
                    <w14:schemeClr w14:val="tx1"/>
                  </w14:solidFill>
                </w14:textFill>
              </w:rPr>
            </w:pPr>
          </w:p>
        </w:tc>
        <w:tc>
          <w:tcPr>
            <w:tcW w:w="2610" w:type="dxa"/>
            <w:vMerge w:val="continue"/>
          </w:tcPr>
          <w:p>
            <w:pPr>
              <w:rPr>
                <w:color w:val="000000" w:themeColor="text1"/>
                <w14:textFill>
                  <w14:solidFill>
                    <w14:schemeClr w14:val="tx1"/>
                  </w14:solidFill>
                </w14:textFill>
              </w:rPr>
            </w:pPr>
          </w:p>
        </w:tc>
        <w:tc>
          <w:tcPr>
            <w:tcW w:w="1245" w:type="dxa"/>
            <w:vMerge w:val="continue"/>
            <w:vAlign w:val="center"/>
          </w:tcPr>
          <w:p>
            <w:pPr>
              <w:jc w:val="center"/>
              <w:rPr>
                <w:color w:val="000000" w:themeColor="text1"/>
                <w14:textFill>
                  <w14:solidFill>
                    <w14:schemeClr w14:val="tx1"/>
                  </w14:solidFill>
                </w14:textFill>
              </w:rPr>
            </w:pPr>
          </w:p>
        </w:tc>
        <w:tc>
          <w:tcPr>
            <w:tcW w:w="4029"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超限</w:t>
            </w:r>
            <w:r>
              <w:rPr>
                <w:rFonts w:hint="eastAsia" w:ascii="Arial" w:hAnsi="Arial" w:cs="Arial"/>
                <w:color w:val="000000" w:themeColor="text1"/>
                <w:shd w:val="clear" w:color="auto" w:fill="FFFFFF"/>
                <w14:textFill>
                  <w14:solidFill>
                    <w14:schemeClr w14:val="tx1"/>
                  </w14:solidFill>
                </w14:textFill>
              </w:rPr>
              <w:t>130%</w:t>
            </w:r>
            <w:r>
              <w:rPr>
                <w:rFonts w:hint="eastAsia" w:ascii="宋体" w:hAnsi="宋体" w:cs="Arial"/>
                <w:color w:val="000000" w:themeColor="text1"/>
                <w:shd w:val="clear" w:color="auto" w:fill="FFFFFF"/>
                <w14:textFill>
                  <w14:solidFill>
                    <w14:schemeClr w14:val="tx1"/>
                  </w14:solidFill>
                </w14:textFill>
              </w:rPr>
              <w:t>以上至</w:t>
            </w:r>
            <w:r>
              <w:rPr>
                <w:rFonts w:hint="eastAsia" w:ascii="Arial" w:hAnsi="Arial" w:cs="Arial"/>
                <w:color w:val="000000" w:themeColor="text1"/>
                <w:shd w:val="clear" w:color="auto" w:fill="FFFFFF"/>
                <w14:textFill>
                  <w14:solidFill>
                    <w14:schemeClr w14:val="tx1"/>
                  </w14:solidFill>
                </w14:textFill>
              </w:rPr>
              <w:t>140%</w:t>
            </w:r>
            <w:r>
              <w:rPr>
                <w:rFonts w:hint="eastAsia" w:ascii="宋体" w:hAnsi="宋体" w:cs="Arial"/>
                <w:color w:val="000000" w:themeColor="text1"/>
                <w:shd w:val="clear" w:color="auto" w:fill="FFFFFF"/>
                <w14:textFill>
                  <w14:solidFill>
                    <w14:schemeClr w14:val="tx1"/>
                  </w14:solidFill>
                </w14:textFill>
              </w:rPr>
              <w:t>（含</w:t>
            </w:r>
            <w:r>
              <w:rPr>
                <w:rFonts w:hint="eastAsia" w:ascii="Arial" w:hAnsi="Arial" w:cs="Arial"/>
                <w:color w:val="000000" w:themeColor="text1"/>
                <w:shd w:val="clear" w:color="auto" w:fill="FFFFFF"/>
                <w14:textFill>
                  <w14:solidFill>
                    <w14:schemeClr w14:val="tx1"/>
                  </w14:solidFill>
                </w14:textFill>
              </w:rPr>
              <w:t>140%</w:t>
            </w:r>
            <w:r>
              <w:rPr>
                <w:rFonts w:hint="eastAsia" w:ascii="宋体" w:hAnsi="宋体" w:cs="Arial"/>
                <w:color w:val="000000" w:themeColor="text1"/>
                <w:shd w:val="clear" w:color="auto" w:fill="FFFFFF"/>
                <w14:textFill>
                  <w14:solidFill>
                    <w14:schemeClr w14:val="tx1"/>
                  </w14:solidFill>
                </w14:textFill>
              </w:rPr>
              <w:t>）</w:t>
            </w:r>
          </w:p>
        </w:tc>
        <w:tc>
          <w:tcPr>
            <w:tcW w:w="4450"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责令卸载，作超限记录，处</w:t>
            </w:r>
            <w:r>
              <w:rPr>
                <w:rFonts w:hint="eastAsia" w:ascii="Arial" w:hAnsi="Arial" w:cs="Arial"/>
                <w:color w:val="000000" w:themeColor="text1"/>
                <w:shd w:val="clear" w:color="auto" w:fill="FFFFFF"/>
                <w14:textFill>
                  <w14:solidFill>
                    <w14:schemeClr w14:val="tx1"/>
                  </w14:solidFill>
                </w14:textFill>
              </w:rPr>
              <w:t>8000</w:t>
            </w:r>
            <w:r>
              <w:rPr>
                <w:rFonts w:hint="eastAsia" w:ascii="宋体" w:hAnsi="宋体" w:cs="Arial"/>
                <w:color w:val="000000" w:themeColor="text1"/>
                <w:shd w:val="clear" w:color="auto" w:fill="FFFFFF"/>
                <w14:textFill>
                  <w14:solidFill>
                    <w14:schemeClr w14:val="tx1"/>
                  </w14:solidFill>
                </w14:textFill>
              </w:rPr>
              <w:t>元罚款</w:t>
            </w:r>
          </w:p>
        </w:tc>
        <w:tc>
          <w:tcPr>
            <w:tcW w:w="1368"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color w:val="000000" w:themeColor="text1"/>
                <w14:textFill>
                  <w14:solidFill>
                    <w14:schemeClr w14:val="tx1"/>
                  </w14:solidFill>
                </w14:textFill>
              </w:rPr>
            </w:pPr>
          </w:p>
        </w:tc>
        <w:tc>
          <w:tcPr>
            <w:tcW w:w="2610" w:type="dxa"/>
            <w:vMerge w:val="continue"/>
          </w:tcPr>
          <w:p>
            <w:pPr>
              <w:rPr>
                <w:color w:val="000000" w:themeColor="text1"/>
                <w14:textFill>
                  <w14:solidFill>
                    <w14:schemeClr w14:val="tx1"/>
                  </w14:solidFill>
                </w14:textFill>
              </w:rPr>
            </w:pPr>
          </w:p>
        </w:tc>
        <w:tc>
          <w:tcPr>
            <w:tcW w:w="1245" w:type="dxa"/>
            <w:vMerge w:val="continue"/>
            <w:vAlign w:val="center"/>
          </w:tcPr>
          <w:p>
            <w:pPr>
              <w:jc w:val="center"/>
              <w:rPr>
                <w:color w:val="000000" w:themeColor="text1"/>
                <w14:textFill>
                  <w14:solidFill>
                    <w14:schemeClr w14:val="tx1"/>
                  </w14:solidFill>
                </w14:textFill>
              </w:rPr>
            </w:pPr>
          </w:p>
        </w:tc>
        <w:tc>
          <w:tcPr>
            <w:tcW w:w="4029"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超限</w:t>
            </w:r>
            <w:r>
              <w:rPr>
                <w:rFonts w:hint="eastAsia" w:ascii="Arial" w:hAnsi="Arial" w:cs="Arial"/>
                <w:color w:val="000000" w:themeColor="text1"/>
                <w:shd w:val="clear" w:color="auto" w:fill="FFFFFF"/>
                <w14:textFill>
                  <w14:solidFill>
                    <w14:schemeClr w14:val="tx1"/>
                  </w14:solidFill>
                </w14:textFill>
              </w:rPr>
              <w:t>140%</w:t>
            </w:r>
            <w:r>
              <w:rPr>
                <w:rFonts w:hint="eastAsia" w:ascii="宋体" w:hAnsi="宋体" w:cs="Arial"/>
                <w:color w:val="000000" w:themeColor="text1"/>
                <w:shd w:val="clear" w:color="auto" w:fill="FFFFFF"/>
                <w14:textFill>
                  <w14:solidFill>
                    <w14:schemeClr w14:val="tx1"/>
                  </w14:solidFill>
                </w14:textFill>
              </w:rPr>
              <w:t>以上至</w:t>
            </w:r>
            <w:r>
              <w:rPr>
                <w:rFonts w:hint="eastAsia" w:ascii="Arial" w:hAnsi="Arial" w:cs="Arial"/>
                <w:color w:val="000000" w:themeColor="text1"/>
                <w:shd w:val="clear" w:color="auto" w:fill="FFFFFF"/>
                <w14:textFill>
                  <w14:solidFill>
                    <w14:schemeClr w14:val="tx1"/>
                  </w14:solidFill>
                </w14:textFill>
              </w:rPr>
              <w:t>150%</w:t>
            </w:r>
            <w:r>
              <w:rPr>
                <w:rFonts w:hint="eastAsia" w:ascii="宋体" w:hAnsi="宋体" w:cs="Arial"/>
                <w:color w:val="000000" w:themeColor="text1"/>
                <w:shd w:val="clear" w:color="auto" w:fill="FFFFFF"/>
                <w14:textFill>
                  <w14:solidFill>
                    <w14:schemeClr w14:val="tx1"/>
                  </w14:solidFill>
                </w14:textFill>
              </w:rPr>
              <w:t>（含</w:t>
            </w:r>
            <w:r>
              <w:rPr>
                <w:rFonts w:hint="eastAsia" w:ascii="Arial" w:hAnsi="Arial" w:cs="Arial"/>
                <w:color w:val="000000" w:themeColor="text1"/>
                <w:shd w:val="clear" w:color="auto" w:fill="FFFFFF"/>
                <w14:textFill>
                  <w14:solidFill>
                    <w14:schemeClr w14:val="tx1"/>
                  </w14:solidFill>
                </w14:textFill>
              </w:rPr>
              <w:t>150%</w:t>
            </w:r>
            <w:r>
              <w:rPr>
                <w:rFonts w:hint="eastAsia" w:ascii="宋体" w:hAnsi="宋体" w:cs="Arial"/>
                <w:color w:val="000000" w:themeColor="text1"/>
                <w:shd w:val="clear" w:color="auto" w:fill="FFFFFF"/>
                <w14:textFill>
                  <w14:solidFill>
                    <w14:schemeClr w14:val="tx1"/>
                  </w14:solidFill>
                </w14:textFill>
              </w:rPr>
              <w:t>）</w:t>
            </w:r>
          </w:p>
        </w:tc>
        <w:tc>
          <w:tcPr>
            <w:tcW w:w="4450"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责令卸载，作超限记录，处</w:t>
            </w:r>
            <w:r>
              <w:rPr>
                <w:rFonts w:hint="eastAsia" w:ascii="Arial" w:hAnsi="Arial" w:cs="Arial"/>
                <w:color w:val="000000" w:themeColor="text1"/>
                <w:shd w:val="clear" w:color="auto" w:fill="FFFFFF"/>
                <w14:textFill>
                  <w14:solidFill>
                    <w14:schemeClr w14:val="tx1"/>
                  </w14:solidFill>
                </w14:textFill>
              </w:rPr>
              <w:t>9000</w:t>
            </w:r>
            <w:r>
              <w:rPr>
                <w:rFonts w:hint="eastAsia" w:ascii="宋体" w:hAnsi="宋体" w:cs="Arial"/>
                <w:color w:val="000000" w:themeColor="text1"/>
                <w:shd w:val="clear" w:color="auto" w:fill="FFFFFF"/>
                <w14:textFill>
                  <w14:solidFill>
                    <w14:schemeClr w14:val="tx1"/>
                  </w14:solidFill>
                </w14:textFill>
              </w:rPr>
              <w:t>元罚款</w:t>
            </w:r>
          </w:p>
        </w:tc>
        <w:tc>
          <w:tcPr>
            <w:tcW w:w="1368"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color w:val="000000" w:themeColor="text1"/>
                <w14:textFill>
                  <w14:solidFill>
                    <w14:schemeClr w14:val="tx1"/>
                  </w14:solidFill>
                </w14:textFill>
              </w:rPr>
            </w:pPr>
          </w:p>
        </w:tc>
        <w:tc>
          <w:tcPr>
            <w:tcW w:w="2610" w:type="dxa"/>
            <w:vMerge w:val="continue"/>
          </w:tcPr>
          <w:p>
            <w:pPr>
              <w:rPr>
                <w:color w:val="000000" w:themeColor="text1"/>
                <w14:textFill>
                  <w14:solidFill>
                    <w14:schemeClr w14:val="tx1"/>
                  </w14:solidFill>
                </w14:textFill>
              </w:rPr>
            </w:pPr>
          </w:p>
        </w:tc>
        <w:tc>
          <w:tcPr>
            <w:tcW w:w="1245" w:type="dxa"/>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特别严重</w:t>
            </w:r>
          </w:p>
        </w:tc>
        <w:tc>
          <w:tcPr>
            <w:tcW w:w="4029"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超限</w:t>
            </w:r>
            <w:r>
              <w:rPr>
                <w:rFonts w:hint="eastAsia" w:ascii="Arial" w:hAnsi="Arial" w:cs="Arial"/>
                <w:color w:val="000000" w:themeColor="text1"/>
                <w:shd w:val="clear" w:color="auto" w:fill="FFFFFF"/>
                <w14:textFill>
                  <w14:solidFill>
                    <w14:schemeClr w14:val="tx1"/>
                  </w14:solidFill>
                </w14:textFill>
              </w:rPr>
              <w:t>150%</w:t>
            </w:r>
            <w:r>
              <w:rPr>
                <w:rFonts w:hint="eastAsia" w:ascii="宋体" w:hAnsi="宋体" w:cs="Arial"/>
                <w:color w:val="000000" w:themeColor="text1"/>
                <w:shd w:val="clear" w:color="auto" w:fill="FFFFFF"/>
                <w14:textFill>
                  <w14:solidFill>
                    <w14:schemeClr w14:val="tx1"/>
                  </w14:solidFill>
                </w14:textFill>
              </w:rPr>
              <w:t>以上至</w:t>
            </w:r>
            <w:r>
              <w:rPr>
                <w:rFonts w:hint="eastAsia" w:ascii="Arial" w:hAnsi="Arial" w:cs="Arial"/>
                <w:color w:val="000000" w:themeColor="text1"/>
                <w:shd w:val="clear" w:color="auto" w:fill="FFFFFF"/>
                <w14:textFill>
                  <w14:solidFill>
                    <w14:schemeClr w14:val="tx1"/>
                  </w14:solidFill>
                </w14:textFill>
              </w:rPr>
              <w:t>160%</w:t>
            </w:r>
            <w:r>
              <w:rPr>
                <w:rFonts w:hint="eastAsia" w:ascii="宋体" w:hAnsi="宋体" w:cs="Arial"/>
                <w:color w:val="000000" w:themeColor="text1"/>
                <w:shd w:val="clear" w:color="auto" w:fill="FFFFFF"/>
                <w14:textFill>
                  <w14:solidFill>
                    <w14:schemeClr w14:val="tx1"/>
                  </w14:solidFill>
                </w14:textFill>
              </w:rPr>
              <w:t>（含</w:t>
            </w:r>
            <w:r>
              <w:rPr>
                <w:rFonts w:hint="eastAsia" w:ascii="Arial" w:hAnsi="Arial" w:cs="Arial"/>
                <w:color w:val="000000" w:themeColor="text1"/>
                <w:shd w:val="clear" w:color="auto" w:fill="FFFFFF"/>
                <w14:textFill>
                  <w14:solidFill>
                    <w14:schemeClr w14:val="tx1"/>
                  </w14:solidFill>
                </w14:textFill>
              </w:rPr>
              <w:t>160%</w:t>
            </w:r>
            <w:r>
              <w:rPr>
                <w:rFonts w:hint="eastAsia" w:ascii="宋体" w:hAnsi="宋体" w:cs="Arial"/>
                <w:color w:val="000000" w:themeColor="text1"/>
                <w:shd w:val="clear" w:color="auto" w:fill="FFFFFF"/>
                <w14:textFill>
                  <w14:solidFill>
                    <w14:schemeClr w14:val="tx1"/>
                  </w14:solidFill>
                </w14:textFill>
              </w:rPr>
              <w:t>）</w:t>
            </w:r>
          </w:p>
        </w:tc>
        <w:tc>
          <w:tcPr>
            <w:tcW w:w="4450"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责令卸载，作超限记录，处</w:t>
            </w:r>
            <w:r>
              <w:rPr>
                <w:rFonts w:hint="eastAsia" w:ascii="Arial" w:hAnsi="Arial" w:cs="Arial"/>
                <w:color w:val="000000" w:themeColor="text1"/>
                <w:shd w:val="clear" w:color="auto" w:fill="FFFFFF"/>
                <w14:textFill>
                  <w14:solidFill>
                    <w14:schemeClr w14:val="tx1"/>
                  </w14:solidFill>
                </w14:textFill>
              </w:rPr>
              <w:t>11000</w:t>
            </w:r>
            <w:r>
              <w:rPr>
                <w:rFonts w:hint="eastAsia" w:ascii="宋体" w:hAnsi="宋体" w:cs="Arial"/>
                <w:color w:val="000000" w:themeColor="text1"/>
                <w:shd w:val="clear" w:color="auto" w:fill="FFFFFF"/>
                <w14:textFill>
                  <w14:solidFill>
                    <w14:schemeClr w14:val="tx1"/>
                  </w14:solidFill>
                </w14:textFill>
              </w:rPr>
              <w:t>元罚款</w:t>
            </w:r>
          </w:p>
        </w:tc>
        <w:tc>
          <w:tcPr>
            <w:tcW w:w="1368"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color w:val="000000" w:themeColor="text1"/>
                <w14:textFill>
                  <w14:solidFill>
                    <w14:schemeClr w14:val="tx1"/>
                  </w14:solidFill>
                </w14:textFill>
              </w:rPr>
            </w:pPr>
          </w:p>
        </w:tc>
        <w:tc>
          <w:tcPr>
            <w:tcW w:w="2610" w:type="dxa"/>
            <w:vMerge w:val="continue"/>
          </w:tcPr>
          <w:p>
            <w:pPr>
              <w:rPr>
                <w:color w:val="000000" w:themeColor="text1"/>
                <w14:textFill>
                  <w14:solidFill>
                    <w14:schemeClr w14:val="tx1"/>
                  </w14:solidFill>
                </w14:textFill>
              </w:rPr>
            </w:pPr>
          </w:p>
        </w:tc>
        <w:tc>
          <w:tcPr>
            <w:tcW w:w="1245" w:type="dxa"/>
            <w:vMerge w:val="continue"/>
          </w:tcPr>
          <w:p>
            <w:pPr>
              <w:rPr>
                <w:color w:val="000000" w:themeColor="text1"/>
                <w14:textFill>
                  <w14:solidFill>
                    <w14:schemeClr w14:val="tx1"/>
                  </w14:solidFill>
                </w14:textFill>
              </w:rPr>
            </w:pPr>
          </w:p>
        </w:tc>
        <w:tc>
          <w:tcPr>
            <w:tcW w:w="4029"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超限</w:t>
            </w:r>
            <w:r>
              <w:rPr>
                <w:rFonts w:hint="eastAsia" w:ascii="Arial" w:hAnsi="Arial" w:cs="Arial"/>
                <w:color w:val="000000" w:themeColor="text1"/>
                <w:shd w:val="clear" w:color="auto" w:fill="FFFFFF"/>
                <w14:textFill>
                  <w14:solidFill>
                    <w14:schemeClr w14:val="tx1"/>
                  </w14:solidFill>
                </w14:textFill>
              </w:rPr>
              <w:t>160%</w:t>
            </w:r>
            <w:r>
              <w:rPr>
                <w:rFonts w:hint="eastAsia" w:ascii="宋体" w:hAnsi="宋体" w:cs="Arial"/>
                <w:color w:val="000000" w:themeColor="text1"/>
                <w:shd w:val="clear" w:color="auto" w:fill="FFFFFF"/>
                <w14:textFill>
                  <w14:solidFill>
                    <w14:schemeClr w14:val="tx1"/>
                  </w14:solidFill>
                </w14:textFill>
              </w:rPr>
              <w:t>以上至</w:t>
            </w:r>
            <w:r>
              <w:rPr>
                <w:rFonts w:hint="eastAsia" w:ascii="Arial" w:hAnsi="Arial" w:cs="Arial"/>
                <w:color w:val="000000" w:themeColor="text1"/>
                <w:shd w:val="clear" w:color="auto" w:fill="FFFFFF"/>
                <w14:textFill>
                  <w14:solidFill>
                    <w14:schemeClr w14:val="tx1"/>
                  </w14:solidFill>
                </w14:textFill>
              </w:rPr>
              <w:t>170%</w:t>
            </w:r>
            <w:r>
              <w:rPr>
                <w:rFonts w:hint="eastAsia" w:ascii="宋体" w:hAnsi="宋体" w:cs="Arial"/>
                <w:color w:val="000000" w:themeColor="text1"/>
                <w:shd w:val="clear" w:color="auto" w:fill="FFFFFF"/>
                <w14:textFill>
                  <w14:solidFill>
                    <w14:schemeClr w14:val="tx1"/>
                  </w14:solidFill>
                </w14:textFill>
              </w:rPr>
              <w:t>（含</w:t>
            </w:r>
            <w:r>
              <w:rPr>
                <w:rFonts w:hint="eastAsia" w:ascii="Arial" w:hAnsi="Arial" w:cs="Arial"/>
                <w:color w:val="000000" w:themeColor="text1"/>
                <w:shd w:val="clear" w:color="auto" w:fill="FFFFFF"/>
                <w14:textFill>
                  <w14:solidFill>
                    <w14:schemeClr w14:val="tx1"/>
                  </w14:solidFill>
                </w14:textFill>
              </w:rPr>
              <w:t>170%</w:t>
            </w:r>
            <w:r>
              <w:rPr>
                <w:rFonts w:hint="eastAsia" w:ascii="宋体" w:hAnsi="宋体" w:cs="Arial"/>
                <w:color w:val="000000" w:themeColor="text1"/>
                <w:shd w:val="clear" w:color="auto" w:fill="FFFFFF"/>
                <w14:textFill>
                  <w14:solidFill>
                    <w14:schemeClr w14:val="tx1"/>
                  </w14:solidFill>
                </w14:textFill>
              </w:rPr>
              <w:t>）</w:t>
            </w:r>
          </w:p>
        </w:tc>
        <w:tc>
          <w:tcPr>
            <w:tcW w:w="4450"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责令卸载，作超限记录，处</w:t>
            </w:r>
            <w:r>
              <w:rPr>
                <w:rFonts w:hint="eastAsia" w:ascii="Arial" w:hAnsi="Arial" w:cs="Arial"/>
                <w:color w:val="000000" w:themeColor="text1"/>
                <w:shd w:val="clear" w:color="auto" w:fill="FFFFFF"/>
                <w14:textFill>
                  <w14:solidFill>
                    <w14:schemeClr w14:val="tx1"/>
                  </w14:solidFill>
                </w14:textFill>
              </w:rPr>
              <w:t>13000</w:t>
            </w:r>
            <w:r>
              <w:rPr>
                <w:rFonts w:hint="eastAsia" w:ascii="宋体" w:hAnsi="宋体" w:cs="Arial"/>
                <w:color w:val="000000" w:themeColor="text1"/>
                <w:shd w:val="clear" w:color="auto" w:fill="FFFFFF"/>
                <w14:textFill>
                  <w14:solidFill>
                    <w14:schemeClr w14:val="tx1"/>
                  </w14:solidFill>
                </w14:textFill>
              </w:rPr>
              <w:t>元罚款</w:t>
            </w:r>
          </w:p>
        </w:tc>
        <w:tc>
          <w:tcPr>
            <w:tcW w:w="1368"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color w:val="000000" w:themeColor="text1"/>
                <w14:textFill>
                  <w14:solidFill>
                    <w14:schemeClr w14:val="tx1"/>
                  </w14:solidFill>
                </w14:textFill>
              </w:rPr>
            </w:pPr>
          </w:p>
        </w:tc>
        <w:tc>
          <w:tcPr>
            <w:tcW w:w="2610" w:type="dxa"/>
            <w:vMerge w:val="continue"/>
          </w:tcPr>
          <w:p>
            <w:pPr>
              <w:rPr>
                <w:color w:val="000000" w:themeColor="text1"/>
                <w14:textFill>
                  <w14:solidFill>
                    <w14:schemeClr w14:val="tx1"/>
                  </w14:solidFill>
                </w14:textFill>
              </w:rPr>
            </w:pPr>
          </w:p>
        </w:tc>
        <w:tc>
          <w:tcPr>
            <w:tcW w:w="1245" w:type="dxa"/>
            <w:vMerge w:val="continue"/>
          </w:tcPr>
          <w:p>
            <w:pPr>
              <w:rPr>
                <w:color w:val="000000" w:themeColor="text1"/>
                <w14:textFill>
                  <w14:solidFill>
                    <w14:schemeClr w14:val="tx1"/>
                  </w14:solidFill>
                </w14:textFill>
              </w:rPr>
            </w:pPr>
          </w:p>
        </w:tc>
        <w:tc>
          <w:tcPr>
            <w:tcW w:w="4029"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超限</w:t>
            </w:r>
            <w:r>
              <w:rPr>
                <w:rFonts w:hint="eastAsia" w:ascii="Arial" w:hAnsi="Arial" w:cs="Arial"/>
                <w:color w:val="000000" w:themeColor="text1"/>
                <w:shd w:val="clear" w:color="auto" w:fill="FFFFFF"/>
                <w14:textFill>
                  <w14:solidFill>
                    <w14:schemeClr w14:val="tx1"/>
                  </w14:solidFill>
                </w14:textFill>
              </w:rPr>
              <w:t>170%</w:t>
            </w:r>
            <w:r>
              <w:rPr>
                <w:rFonts w:hint="eastAsia" w:ascii="宋体" w:hAnsi="宋体" w:cs="Arial"/>
                <w:color w:val="000000" w:themeColor="text1"/>
                <w:shd w:val="clear" w:color="auto" w:fill="FFFFFF"/>
                <w14:textFill>
                  <w14:solidFill>
                    <w14:schemeClr w14:val="tx1"/>
                  </w14:solidFill>
                </w14:textFill>
              </w:rPr>
              <w:t>以上至</w:t>
            </w:r>
            <w:r>
              <w:rPr>
                <w:rFonts w:hint="eastAsia" w:ascii="Arial" w:hAnsi="Arial" w:cs="Arial"/>
                <w:color w:val="000000" w:themeColor="text1"/>
                <w:shd w:val="clear" w:color="auto" w:fill="FFFFFF"/>
                <w14:textFill>
                  <w14:solidFill>
                    <w14:schemeClr w14:val="tx1"/>
                  </w14:solidFill>
                </w14:textFill>
              </w:rPr>
              <w:t>180%</w:t>
            </w:r>
            <w:r>
              <w:rPr>
                <w:rFonts w:hint="eastAsia" w:ascii="宋体" w:hAnsi="宋体" w:cs="Arial"/>
                <w:color w:val="000000" w:themeColor="text1"/>
                <w:shd w:val="clear" w:color="auto" w:fill="FFFFFF"/>
                <w14:textFill>
                  <w14:solidFill>
                    <w14:schemeClr w14:val="tx1"/>
                  </w14:solidFill>
                </w14:textFill>
              </w:rPr>
              <w:t>（含</w:t>
            </w:r>
            <w:r>
              <w:rPr>
                <w:rFonts w:hint="eastAsia" w:ascii="Arial" w:hAnsi="Arial" w:cs="Arial"/>
                <w:color w:val="000000" w:themeColor="text1"/>
                <w:shd w:val="clear" w:color="auto" w:fill="FFFFFF"/>
                <w14:textFill>
                  <w14:solidFill>
                    <w14:schemeClr w14:val="tx1"/>
                  </w14:solidFill>
                </w14:textFill>
              </w:rPr>
              <w:t>180%</w:t>
            </w:r>
            <w:r>
              <w:rPr>
                <w:rFonts w:hint="eastAsia" w:ascii="宋体" w:hAnsi="宋体" w:cs="Arial"/>
                <w:color w:val="000000" w:themeColor="text1"/>
                <w:shd w:val="clear" w:color="auto" w:fill="FFFFFF"/>
                <w14:textFill>
                  <w14:solidFill>
                    <w14:schemeClr w14:val="tx1"/>
                  </w14:solidFill>
                </w14:textFill>
              </w:rPr>
              <w:t>）</w:t>
            </w:r>
          </w:p>
        </w:tc>
        <w:tc>
          <w:tcPr>
            <w:tcW w:w="4450"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责令卸载，作超限记录，处</w:t>
            </w:r>
            <w:r>
              <w:rPr>
                <w:rFonts w:hint="eastAsia" w:ascii="Arial" w:hAnsi="Arial" w:cs="Arial"/>
                <w:color w:val="000000" w:themeColor="text1"/>
                <w:shd w:val="clear" w:color="auto" w:fill="FFFFFF"/>
                <w14:textFill>
                  <w14:solidFill>
                    <w14:schemeClr w14:val="tx1"/>
                  </w14:solidFill>
                </w14:textFill>
              </w:rPr>
              <w:t>15000</w:t>
            </w:r>
            <w:r>
              <w:rPr>
                <w:rFonts w:hint="eastAsia" w:ascii="宋体" w:hAnsi="宋体" w:cs="Arial"/>
                <w:color w:val="000000" w:themeColor="text1"/>
                <w:shd w:val="clear" w:color="auto" w:fill="FFFFFF"/>
                <w14:textFill>
                  <w14:solidFill>
                    <w14:schemeClr w14:val="tx1"/>
                  </w14:solidFill>
                </w14:textFill>
              </w:rPr>
              <w:t>元罚款</w:t>
            </w:r>
          </w:p>
        </w:tc>
        <w:tc>
          <w:tcPr>
            <w:tcW w:w="1368"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color w:val="000000" w:themeColor="text1"/>
                <w14:textFill>
                  <w14:solidFill>
                    <w14:schemeClr w14:val="tx1"/>
                  </w14:solidFill>
                </w14:textFill>
              </w:rPr>
            </w:pPr>
          </w:p>
        </w:tc>
        <w:tc>
          <w:tcPr>
            <w:tcW w:w="2610" w:type="dxa"/>
            <w:vMerge w:val="continue"/>
          </w:tcPr>
          <w:p>
            <w:pPr>
              <w:rPr>
                <w:color w:val="000000" w:themeColor="text1"/>
                <w14:textFill>
                  <w14:solidFill>
                    <w14:schemeClr w14:val="tx1"/>
                  </w14:solidFill>
                </w14:textFill>
              </w:rPr>
            </w:pPr>
          </w:p>
        </w:tc>
        <w:tc>
          <w:tcPr>
            <w:tcW w:w="1245" w:type="dxa"/>
            <w:vMerge w:val="continue"/>
          </w:tcPr>
          <w:p>
            <w:pPr>
              <w:rPr>
                <w:color w:val="000000" w:themeColor="text1"/>
                <w14:textFill>
                  <w14:solidFill>
                    <w14:schemeClr w14:val="tx1"/>
                  </w14:solidFill>
                </w14:textFill>
              </w:rPr>
            </w:pPr>
          </w:p>
        </w:tc>
        <w:tc>
          <w:tcPr>
            <w:tcW w:w="4029"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超限</w:t>
            </w:r>
            <w:r>
              <w:rPr>
                <w:rFonts w:hint="eastAsia" w:ascii="Arial" w:hAnsi="Arial" w:cs="Arial"/>
                <w:color w:val="000000" w:themeColor="text1"/>
                <w:shd w:val="clear" w:color="auto" w:fill="FFFFFF"/>
                <w14:textFill>
                  <w14:solidFill>
                    <w14:schemeClr w14:val="tx1"/>
                  </w14:solidFill>
                </w14:textFill>
              </w:rPr>
              <w:t>180%</w:t>
            </w:r>
            <w:r>
              <w:rPr>
                <w:rFonts w:hint="eastAsia" w:ascii="宋体" w:hAnsi="宋体" w:cs="Arial"/>
                <w:color w:val="000000" w:themeColor="text1"/>
                <w:shd w:val="clear" w:color="auto" w:fill="FFFFFF"/>
                <w14:textFill>
                  <w14:solidFill>
                    <w14:schemeClr w14:val="tx1"/>
                  </w14:solidFill>
                </w14:textFill>
              </w:rPr>
              <w:t>以上至</w:t>
            </w:r>
            <w:r>
              <w:rPr>
                <w:rFonts w:hint="eastAsia" w:ascii="Arial" w:hAnsi="Arial" w:cs="Arial"/>
                <w:color w:val="000000" w:themeColor="text1"/>
                <w:shd w:val="clear" w:color="auto" w:fill="FFFFFF"/>
                <w14:textFill>
                  <w14:solidFill>
                    <w14:schemeClr w14:val="tx1"/>
                  </w14:solidFill>
                </w14:textFill>
              </w:rPr>
              <w:t>200%</w:t>
            </w:r>
            <w:r>
              <w:rPr>
                <w:rFonts w:hint="eastAsia" w:ascii="宋体" w:hAnsi="宋体" w:cs="Arial"/>
                <w:color w:val="000000" w:themeColor="text1"/>
                <w:shd w:val="clear" w:color="auto" w:fill="FFFFFF"/>
                <w14:textFill>
                  <w14:solidFill>
                    <w14:schemeClr w14:val="tx1"/>
                  </w14:solidFill>
                </w14:textFill>
              </w:rPr>
              <w:t>（含</w:t>
            </w:r>
            <w:r>
              <w:rPr>
                <w:rFonts w:hint="eastAsia" w:ascii="Arial" w:hAnsi="Arial" w:cs="Arial"/>
                <w:color w:val="000000" w:themeColor="text1"/>
                <w:shd w:val="clear" w:color="auto" w:fill="FFFFFF"/>
                <w14:textFill>
                  <w14:solidFill>
                    <w14:schemeClr w14:val="tx1"/>
                  </w14:solidFill>
                </w14:textFill>
              </w:rPr>
              <w:t>200%</w:t>
            </w:r>
            <w:r>
              <w:rPr>
                <w:rFonts w:hint="eastAsia" w:ascii="宋体" w:hAnsi="宋体" w:cs="Arial"/>
                <w:color w:val="000000" w:themeColor="text1"/>
                <w:shd w:val="clear" w:color="auto" w:fill="FFFFFF"/>
                <w14:textFill>
                  <w14:solidFill>
                    <w14:schemeClr w14:val="tx1"/>
                  </w14:solidFill>
                </w14:textFill>
              </w:rPr>
              <w:t>）</w:t>
            </w:r>
          </w:p>
        </w:tc>
        <w:tc>
          <w:tcPr>
            <w:tcW w:w="4450"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责令卸载，作超限记录，处</w:t>
            </w:r>
            <w:r>
              <w:rPr>
                <w:rFonts w:hint="eastAsia" w:ascii="Arial" w:hAnsi="Arial" w:cs="Arial"/>
                <w:color w:val="000000" w:themeColor="text1"/>
                <w:shd w:val="clear" w:color="auto" w:fill="FFFFFF"/>
                <w14:textFill>
                  <w14:solidFill>
                    <w14:schemeClr w14:val="tx1"/>
                  </w14:solidFill>
                </w14:textFill>
              </w:rPr>
              <w:t>2</w:t>
            </w:r>
            <w:r>
              <w:rPr>
                <w:rFonts w:hint="eastAsia" w:ascii="宋体" w:hAnsi="宋体" w:cs="Arial"/>
                <w:color w:val="000000" w:themeColor="text1"/>
                <w:shd w:val="clear" w:color="auto" w:fill="FFFFFF"/>
                <w14:textFill>
                  <w14:solidFill>
                    <w14:schemeClr w14:val="tx1"/>
                  </w14:solidFill>
                </w14:textFill>
              </w:rPr>
              <w:t>万元罚款</w:t>
            </w:r>
          </w:p>
        </w:tc>
        <w:tc>
          <w:tcPr>
            <w:tcW w:w="1368"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color w:val="000000" w:themeColor="text1"/>
                <w14:textFill>
                  <w14:solidFill>
                    <w14:schemeClr w14:val="tx1"/>
                  </w14:solidFill>
                </w14:textFill>
              </w:rPr>
            </w:pPr>
          </w:p>
        </w:tc>
        <w:tc>
          <w:tcPr>
            <w:tcW w:w="2610" w:type="dxa"/>
            <w:vMerge w:val="continue"/>
          </w:tcPr>
          <w:p>
            <w:pPr>
              <w:rPr>
                <w:color w:val="000000" w:themeColor="text1"/>
                <w14:textFill>
                  <w14:solidFill>
                    <w14:schemeClr w14:val="tx1"/>
                  </w14:solidFill>
                </w14:textFill>
              </w:rPr>
            </w:pPr>
          </w:p>
        </w:tc>
        <w:tc>
          <w:tcPr>
            <w:tcW w:w="1245" w:type="dxa"/>
            <w:vMerge w:val="continue"/>
          </w:tcPr>
          <w:p>
            <w:pPr>
              <w:rPr>
                <w:color w:val="000000" w:themeColor="text1"/>
                <w14:textFill>
                  <w14:solidFill>
                    <w14:schemeClr w14:val="tx1"/>
                  </w14:solidFill>
                </w14:textFill>
              </w:rPr>
            </w:pPr>
          </w:p>
        </w:tc>
        <w:tc>
          <w:tcPr>
            <w:tcW w:w="4029" w:type="dxa"/>
          </w:tcPr>
          <w:p>
            <w:pPr>
              <w:rPr>
                <w:color w:val="000000" w:themeColor="text1"/>
                <w14:textFill>
                  <w14:solidFill>
                    <w14:schemeClr w14:val="tx1"/>
                  </w14:solidFill>
                </w14:textFill>
              </w:rPr>
            </w:pPr>
            <w:r>
              <w:rPr>
                <w:rFonts w:hint="eastAsia" w:ascii="Arial" w:hAnsi="Arial" w:cs="Arial"/>
                <w:color w:val="000000" w:themeColor="text1"/>
                <w:shd w:val="clear" w:color="auto" w:fill="FFFFFF"/>
                <w14:textFill>
                  <w14:solidFill>
                    <w14:schemeClr w14:val="tx1"/>
                  </w14:solidFill>
                </w14:textFill>
              </w:rPr>
              <w:t>1.</w:t>
            </w:r>
            <w:r>
              <w:rPr>
                <w:rFonts w:hint="eastAsia" w:ascii="宋体" w:hAnsi="宋体" w:cs="Arial"/>
                <w:color w:val="000000" w:themeColor="text1"/>
                <w:shd w:val="clear" w:color="auto" w:fill="FFFFFF"/>
                <w14:textFill>
                  <w14:solidFill>
                    <w14:schemeClr w14:val="tx1"/>
                  </w14:solidFill>
                </w14:textFill>
              </w:rPr>
              <w:t>超限</w:t>
            </w:r>
            <w:r>
              <w:rPr>
                <w:rFonts w:hint="eastAsia" w:ascii="Arial" w:hAnsi="Arial" w:cs="Arial"/>
                <w:color w:val="000000" w:themeColor="text1"/>
                <w:shd w:val="clear" w:color="auto" w:fill="FFFFFF"/>
                <w14:textFill>
                  <w14:solidFill>
                    <w14:schemeClr w14:val="tx1"/>
                  </w14:solidFill>
                </w14:textFill>
              </w:rPr>
              <w:t>200%</w:t>
            </w:r>
            <w:r>
              <w:rPr>
                <w:rFonts w:hint="eastAsia" w:ascii="宋体" w:hAnsi="宋体" w:cs="Arial"/>
                <w:color w:val="000000" w:themeColor="text1"/>
                <w:shd w:val="clear" w:color="auto" w:fill="FFFFFF"/>
                <w14:textFill>
                  <w14:solidFill>
                    <w14:schemeClr w14:val="tx1"/>
                  </w14:solidFill>
                </w14:textFill>
              </w:rPr>
              <w:t>以上；</w:t>
            </w:r>
            <w:r>
              <w:rPr>
                <w:rFonts w:hint="eastAsia" w:ascii="Arial" w:hAnsi="Arial" w:cs="Arial"/>
                <w:color w:val="000000" w:themeColor="text1"/>
                <w:shd w:val="clear" w:color="auto" w:fill="FFFFFF"/>
                <w14:textFill>
                  <w14:solidFill>
                    <w14:schemeClr w14:val="tx1"/>
                  </w14:solidFill>
                </w14:textFill>
              </w:rPr>
              <w:t>2.</w:t>
            </w:r>
            <w:r>
              <w:rPr>
                <w:rFonts w:hint="eastAsia" w:ascii="宋体" w:hAnsi="宋体" w:cs="Arial"/>
                <w:color w:val="000000" w:themeColor="text1"/>
                <w:shd w:val="clear" w:color="auto" w:fill="FFFFFF"/>
                <w14:textFill>
                  <w14:solidFill>
                    <w14:schemeClr w14:val="tx1"/>
                  </w14:solidFill>
                </w14:textFill>
              </w:rPr>
              <w:t>暴力抗法或造成严重社会影响的</w:t>
            </w:r>
          </w:p>
        </w:tc>
        <w:tc>
          <w:tcPr>
            <w:tcW w:w="4450" w:type="dxa"/>
          </w:tcPr>
          <w:p>
            <w:pPr>
              <w:rPr>
                <w:color w:val="000000" w:themeColor="text1"/>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责令卸载，作超限记录，处</w:t>
            </w:r>
            <w:r>
              <w:rPr>
                <w:rFonts w:hint="eastAsia" w:ascii="Arial" w:hAnsi="Arial" w:cs="Arial"/>
                <w:color w:val="000000" w:themeColor="text1"/>
                <w:shd w:val="clear" w:color="auto" w:fill="FFFFFF"/>
                <w14:textFill>
                  <w14:solidFill>
                    <w14:schemeClr w14:val="tx1"/>
                  </w14:solidFill>
                </w14:textFill>
              </w:rPr>
              <w:t>3</w:t>
            </w:r>
            <w:r>
              <w:rPr>
                <w:rFonts w:hint="eastAsia" w:ascii="宋体" w:hAnsi="宋体" w:cs="Arial"/>
                <w:color w:val="000000" w:themeColor="text1"/>
                <w:shd w:val="clear" w:color="auto" w:fill="FFFFFF"/>
                <w14:textFill>
                  <w14:solidFill>
                    <w14:schemeClr w14:val="tx1"/>
                  </w14:solidFill>
                </w14:textFill>
              </w:rPr>
              <w:t>万元罚款</w:t>
            </w:r>
          </w:p>
        </w:tc>
        <w:tc>
          <w:tcPr>
            <w:tcW w:w="1368" w:type="dxa"/>
            <w:vMerge w:val="continue"/>
          </w:tcPr>
          <w:p>
            <w:pPr>
              <w:rPr>
                <w:color w:val="000000" w:themeColor="text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rPr>
          <w:color w:val="000000" w:themeColor="text1"/>
          <w:sz w:val="2"/>
          <w:szCs w:val="2"/>
          <w14:textFill>
            <w14:solidFill>
              <w14:schemeClr w14:val="tx1"/>
            </w14:solidFill>
          </w14:textFill>
        </w:rPr>
      </w:pPr>
    </w:p>
    <w:sectPr>
      <w:pgSz w:w="16838" w:h="11906" w:orient="landscape"/>
      <w:pgMar w:top="1418" w:right="1134" w:bottom="1588" w:left="1361" w:header="851" w:footer="1400"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rPr>
                              <w:rFonts w:ascii="宋体" w:hAnsi="宋体" w:cs="宋体"/>
                              <w:sz w:val="18"/>
                              <w:szCs w:val="18"/>
                            </w:rPr>
                            <w:t>- 2 -</w:t>
                          </w:r>
                          <w:r>
                            <w:rPr>
                              <w:rFonts w:hint="eastAsia" w:ascii="宋体" w:hAnsi="宋体" w:cs="宋体"/>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3"/>
                      <w:rPr>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rPr>
                        <w:rFonts w:ascii="宋体" w:hAnsi="宋体" w:cs="宋体"/>
                        <w:sz w:val="18"/>
                        <w:szCs w:val="18"/>
                      </w:rPr>
                      <w:t>- 2 -</w:t>
                    </w:r>
                    <w:r>
                      <w:rPr>
                        <w:rFonts w:hint="eastAsia" w:ascii="宋体" w:hAnsi="宋体" w:cs="宋体"/>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18377"/>
      <w:docPartObj>
        <w:docPartGallery w:val="autotext"/>
      </w:docPartObj>
    </w:sdtPr>
    <w:sdtContent>
      <w:p>
        <w:pPr>
          <w:pStyle w:val="3"/>
          <w:jc w:val="right"/>
        </w:pPr>
        <w:r>
          <w:fldChar w:fldCharType="begin"/>
        </w:r>
        <w:r>
          <w:instrText xml:space="preserve"> PAGE   \* MERGEFORMAT </w:instrText>
        </w:r>
        <w:r>
          <w:fldChar w:fldCharType="separate"/>
        </w:r>
        <w:r>
          <w:rPr>
            <w:lang w:val="zh-CN"/>
          </w:rPr>
          <w:t>-</w:t>
        </w:r>
        <w:r>
          <w:t xml:space="preserve"> 1 -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C8"/>
    <w:rsid w:val="00037028"/>
    <w:rsid w:val="000757F8"/>
    <w:rsid w:val="000D0B79"/>
    <w:rsid w:val="000D7458"/>
    <w:rsid w:val="0014581D"/>
    <w:rsid w:val="00173BEF"/>
    <w:rsid w:val="001C0F83"/>
    <w:rsid w:val="001F3BF0"/>
    <w:rsid w:val="00213710"/>
    <w:rsid w:val="002367EA"/>
    <w:rsid w:val="00237D57"/>
    <w:rsid w:val="00266554"/>
    <w:rsid w:val="002B483C"/>
    <w:rsid w:val="00322E41"/>
    <w:rsid w:val="00332210"/>
    <w:rsid w:val="00345618"/>
    <w:rsid w:val="003816C8"/>
    <w:rsid w:val="004236D0"/>
    <w:rsid w:val="00464B37"/>
    <w:rsid w:val="00481C95"/>
    <w:rsid w:val="004C5EAF"/>
    <w:rsid w:val="00504847"/>
    <w:rsid w:val="0054136A"/>
    <w:rsid w:val="00565B95"/>
    <w:rsid w:val="005E18DB"/>
    <w:rsid w:val="00624EB1"/>
    <w:rsid w:val="0062753B"/>
    <w:rsid w:val="0074209C"/>
    <w:rsid w:val="00930480"/>
    <w:rsid w:val="00931D54"/>
    <w:rsid w:val="00A14E3B"/>
    <w:rsid w:val="00A15585"/>
    <w:rsid w:val="00A27947"/>
    <w:rsid w:val="00A54EF7"/>
    <w:rsid w:val="00A93C44"/>
    <w:rsid w:val="00CC33F7"/>
    <w:rsid w:val="00CD2562"/>
    <w:rsid w:val="00D27BD2"/>
    <w:rsid w:val="00D43898"/>
    <w:rsid w:val="00D51A1B"/>
    <w:rsid w:val="00D77D0C"/>
    <w:rsid w:val="00DB231C"/>
    <w:rsid w:val="00DE746F"/>
    <w:rsid w:val="00E11048"/>
    <w:rsid w:val="00E857E4"/>
    <w:rsid w:val="00F767BC"/>
    <w:rsid w:val="022A49B8"/>
    <w:rsid w:val="02572D69"/>
    <w:rsid w:val="0EC95193"/>
    <w:rsid w:val="0F4B2E58"/>
    <w:rsid w:val="14770068"/>
    <w:rsid w:val="1C000618"/>
    <w:rsid w:val="1E663A71"/>
    <w:rsid w:val="21DC357F"/>
    <w:rsid w:val="37913B5B"/>
    <w:rsid w:val="42931760"/>
    <w:rsid w:val="42FC0C0E"/>
    <w:rsid w:val="46135147"/>
    <w:rsid w:val="55A734CB"/>
    <w:rsid w:val="58B0438B"/>
    <w:rsid w:val="59C7791F"/>
    <w:rsid w:val="5D69505C"/>
    <w:rsid w:val="61D639BE"/>
    <w:rsid w:val="69981B4C"/>
    <w:rsid w:val="73BC73B4"/>
    <w:rsid w:val="78A00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qFormat/>
    <w:uiPriority w:val="99"/>
    <w:pPr>
      <w:widowControl w:val="0"/>
      <w:spacing w:before="240" w:after="60"/>
      <w:jc w:val="center"/>
      <w:outlineLvl w:val="0"/>
    </w:pPr>
    <w:rPr>
      <w:rFonts w:ascii="Arial" w:hAnsi="Arial" w:eastAsia="宋体" w:cs="Times New Roman"/>
      <w:b/>
      <w:kern w:val="2"/>
      <w:sz w:val="32"/>
      <w:szCs w:val="24"/>
      <w:lang w:val="en-US" w:eastAsia="zh-CN" w:bidi="ar-SA"/>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脚 Char"/>
    <w:basedOn w:val="6"/>
    <w:link w:val="3"/>
    <w:qFormat/>
    <w:uiPriority w:val="99"/>
    <w:rPr>
      <w:rFonts w:ascii="Times New Roman" w:hAnsi="Times New Roman" w:eastAsia="宋体" w:cs="Times New Roman"/>
      <w:sz w:val="18"/>
      <w:szCs w:val="24"/>
    </w:rPr>
  </w:style>
  <w:style w:type="character" w:customStyle="1" w:styleId="8">
    <w:name w:val="页眉 Char"/>
    <w:basedOn w:val="6"/>
    <w:link w:val="4"/>
    <w:uiPriority w:val="0"/>
    <w:rPr>
      <w:rFonts w:ascii="Times New Roman" w:hAnsi="Times New Roman" w:eastAsia="宋体" w:cs="Times New Roman"/>
      <w:sz w:val="18"/>
      <w:szCs w:val="24"/>
    </w:rPr>
  </w:style>
  <w:style w:type="paragraph" w:customStyle="1" w:styleId="9">
    <w:name w:val="p0"/>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300</Words>
  <Characters>1712</Characters>
  <Lines>14</Lines>
  <Paragraphs>4</Paragraphs>
  <TotalTime>1</TotalTime>
  <ScaleCrop>false</ScaleCrop>
  <LinksUpToDate>false</LinksUpToDate>
  <CharactersWithSpaces>2008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2021-05-16T02:11:00Z</dcterms:created>
  <dc:creator>dreamsummit</dc:creator>
  <cp:lastModifiedBy>*-*星</cp:lastModifiedBy>
  <cp:lastPrinted>2021-05-17T06:32:00Z</cp:lastPrinted>
  <dcterms:modified xsi:type="dcterms:W3CDTF">2021-05-27T07:33:09Z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