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widowControl/>
        <w:shd w:val="clear" w:color="auto" w:fill="FFFFFF"/>
        <w:spacing w:before="0" w:beforeAutospacing="0" w:after="0" w:afterAutospacing="0" w:line="560" w:lineRule="exact"/>
        <w:jc w:val="center"/>
        <w:rPr>
          <w:rFonts w:ascii="方正小标宋简体" w:hAnsi="方正小标宋简体" w:eastAsia="方正小标宋简体" w:cs="方正小标宋简体"/>
          <w:b/>
          <w:sz w:val="44"/>
          <w:szCs w:val="44"/>
        </w:rPr>
      </w:pPr>
      <w:bookmarkStart w:id="0" w:name="_Hlk125574040"/>
      <w:r>
        <w:rPr>
          <w:rFonts w:hint="eastAsia" w:ascii="方正小标宋简体" w:hAnsi="方正小标宋简体" w:eastAsia="方正小标宋简体" w:cs="方正小标宋简体"/>
          <w:b/>
          <w:sz w:val="44"/>
          <w:szCs w:val="44"/>
        </w:rPr>
        <w:t>济宁市人民政府办公室</w:t>
      </w:r>
    </w:p>
    <w:bookmarkEnd w:id="0"/>
    <w:p>
      <w:pPr>
        <w:pStyle w:val="4"/>
        <w:widowControl/>
        <w:shd w:val="clear" w:color="auto" w:fill="FFFFFF"/>
        <w:spacing w:before="0" w:beforeAutospacing="0" w:after="0" w:afterAutospacing="0" w:line="560" w:lineRule="exact"/>
        <w:jc w:val="center"/>
        <w:rPr>
          <w:rFonts w:ascii="方正小标宋简体" w:hAnsi="方正小标宋简体" w:eastAsia="方正小标宋简体" w:cs="方正小标宋简体"/>
          <w:b/>
          <w:sz w:val="44"/>
          <w:szCs w:val="44"/>
        </w:rPr>
      </w:pPr>
      <w:r>
        <w:rPr>
          <w:rFonts w:hint="eastAsia" w:ascii="方正小标宋简体" w:hAnsi="方正小标宋简体" w:eastAsia="方正小标宋简体" w:cs="方正小标宋简体"/>
          <w:b/>
          <w:sz w:val="44"/>
          <w:szCs w:val="44"/>
        </w:rPr>
        <w:t>202</w:t>
      </w:r>
      <w:r>
        <w:rPr>
          <w:rFonts w:ascii="方正小标宋简体" w:hAnsi="方正小标宋简体" w:eastAsia="方正小标宋简体" w:cs="方正小标宋简体"/>
          <w:b/>
          <w:sz w:val="44"/>
          <w:szCs w:val="44"/>
        </w:rPr>
        <w:t>2</w:t>
      </w:r>
      <w:r>
        <w:rPr>
          <w:rFonts w:hint="eastAsia" w:ascii="方正小标宋简体" w:hAnsi="方正小标宋简体" w:eastAsia="方正小标宋简体" w:cs="方正小标宋简体"/>
          <w:b/>
          <w:sz w:val="44"/>
          <w:szCs w:val="44"/>
        </w:rPr>
        <w:t>年政府信息公开工作年度报告</w:t>
      </w:r>
    </w:p>
    <w:p>
      <w:pPr>
        <w:pStyle w:val="4"/>
        <w:widowControl/>
        <w:shd w:val="clear" w:color="auto" w:fill="FFFFFF"/>
        <w:spacing w:before="0" w:beforeAutospacing="0" w:after="0" w:afterAutospacing="0"/>
        <w:ind w:firstLine="420"/>
        <w:jc w:val="both"/>
        <w:rPr>
          <w:rFonts w:ascii="宋体" w:hAnsi="宋体" w:cs="宋体"/>
          <w:b/>
        </w:rPr>
      </w:pPr>
    </w:p>
    <w:p>
      <w:pPr>
        <w:pStyle w:val="4"/>
        <w:widowControl/>
        <w:spacing w:before="0" w:beforeAutospacing="0" w:after="0" w:afterAutospacing="0" w:line="585" w:lineRule="atLeast"/>
        <w:ind w:firstLine="630"/>
        <w:jc w:val="both"/>
        <w:rPr>
          <w:rFonts w:ascii="方正仿宋简体" w:hAnsi="方正仿宋简体" w:eastAsia="方正仿宋简体" w:cs="方正仿宋简体"/>
          <w:b/>
          <w:sz w:val="32"/>
          <w:szCs w:val="32"/>
        </w:rPr>
      </w:pPr>
      <w:r>
        <w:rPr>
          <w:rStyle w:val="7"/>
          <w:rFonts w:hint="eastAsia" w:ascii="方正仿宋简体" w:hAnsi="方正仿宋简体" w:eastAsia="方正仿宋简体" w:cs="方正仿宋简体"/>
          <w:sz w:val="32"/>
          <w:szCs w:val="32"/>
        </w:rPr>
        <w:t>本报告由济宁市人民政府办公室按照《中华人民共和国政府信息公开条例》（以下简</w:t>
      </w:r>
      <w:bookmarkStart w:id="1" w:name="_GoBack"/>
      <w:bookmarkEnd w:id="1"/>
      <w:r>
        <w:rPr>
          <w:rStyle w:val="7"/>
          <w:rFonts w:hint="eastAsia" w:ascii="方正仿宋简体" w:hAnsi="方正仿宋简体" w:eastAsia="方正仿宋简体" w:cs="方正仿宋简体"/>
          <w:sz w:val="32"/>
          <w:szCs w:val="32"/>
        </w:rPr>
        <w:t>称《条例》）和《中华人民共和国政府信息公开工作年度报告格式》（国办公开办函〔2021〕30号）要求编制。本报告内容包括总体情况、主动公开政府信息情况、收到和处理政府信息公开申请情况、政府信息公开行政复议和行政诉讼情况、存在的主要问题及改进情况、其他需要报告的事项等六部分内容。</w:t>
      </w:r>
    </w:p>
    <w:p>
      <w:pPr>
        <w:pStyle w:val="4"/>
        <w:widowControl/>
        <w:spacing w:before="0" w:beforeAutospacing="0" w:after="0" w:afterAutospacing="0" w:line="585" w:lineRule="atLeast"/>
        <w:ind w:firstLine="630"/>
        <w:jc w:val="both"/>
        <w:rPr>
          <w:rFonts w:ascii="Times New Roman" w:hAnsi="Times New Roman"/>
          <w:b/>
          <w:sz w:val="32"/>
          <w:szCs w:val="32"/>
        </w:rPr>
      </w:pPr>
      <w:r>
        <w:rPr>
          <w:rStyle w:val="7"/>
          <w:rFonts w:hint="eastAsia" w:ascii="方正仿宋简体" w:hAnsi="方正仿宋简体" w:eastAsia="方正仿宋简体" w:cs="方正仿宋简体"/>
          <w:sz w:val="32"/>
          <w:szCs w:val="32"/>
        </w:rPr>
        <w:t>本报告所列数据的统计期限自202</w:t>
      </w:r>
      <w:r>
        <w:rPr>
          <w:rStyle w:val="7"/>
          <w:rFonts w:ascii="方正仿宋简体" w:hAnsi="方正仿宋简体" w:eastAsia="方正仿宋简体" w:cs="方正仿宋简体"/>
          <w:sz w:val="32"/>
          <w:szCs w:val="32"/>
        </w:rPr>
        <w:t>2</w:t>
      </w:r>
      <w:r>
        <w:rPr>
          <w:rStyle w:val="7"/>
          <w:rFonts w:hint="eastAsia" w:ascii="方正仿宋简体" w:hAnsi="方正仿宋简体" w:eastAsia="方正仿宋简体" w:cs="方正仿宋简体"/>
          <w:sz w:val="32"/>
          <w:szCs w:val="32"/>
        </w:rPr>
        <w:t>年1月1日起至202</w:t>
      </w:r>
      <w:r>
        <w:rPr>
          <w:rStyle w:val="7"/>
          <w:rFonts w:ascii="方正仿宋简体" w:hAnsi="方正仿宋简体" w:eastAsia="方正仿宋简体" w:cs="方正仿宋简体"/>
          <w:sz w:val="32"/>
          <w:szCs w:val="32"/>
        </w:rPr>
        <w:t>2</w:t>
      </w:r>
      <w:r>
        <w:rPr>
          <w:rStyle w:val="7"/>
          <w:rFonts w:hint="eastAsia" w:ascii="方正仿宋简体" w:hAnsi="方正仿宋简体" w:eastAsia="方正仿宋简体" w:cs="方正仿宋简体"/>
          <w:sz w:val="32"/>
          <w:szCs w:val="32"/>
        </w:rPr>
        <w:t>年12月31日止。本报告电子版可在“中国·济宁”政府门户网站（</w:t>
      </w:r>
      <w:r>
        <w:rPr>
          <w:rStyle w:val="7"/>
          <w:rFonts w:ascii="方正仿宋简体" w:hAnsi="方正仿宋简体" w:eastAsia="方正仿宋简体" w:cs="方正仿宋简体"/>
          <w:sz w:val="32"/>
          <w:szCs w:val="32"/>
        </w:rPr>
        <w:t>http://www.jining.gov.cn/</w:t>
      </w:r>
      <w:r>
        <w:rPr>
          <w:rStyle w:val="7"/>
          <w:rFonts w:hint="eastAsia" w:ascii="方正仿宋简体" w:hAnsi="方正仿宋简体" w:eastAsia="方正仿宋简体" w:cs="方正仿宋简体"/>
          <w:sz w:val="32"/>
          <w:szCs w:val="32"/>
        </w:rPr>
        <w:t>）查阅或下载。</w:t>
      </w:r>
      <w:r>
        <w:rPr>
          <w:rFonts w:ascii="方正仿宋简体" w:hAnsi="方正仿宋简体" w:eastAsia="方正仿宋简体" w:cs="方正仿宋简体"/>
          <w:b/>
          <w:sz w:val="32"/>
          <w:szCs w:val="32"/>
          <w:shd w:val="clear" w:color="auto" w:fill="FFFFFF"/>
        </w:rPr>
        <w:t>如对本报告有疑问，请与</w:t>
      </w:r>
      <w:r>
        <w:rPr>
          <w:rStyle w:val="7"/>
          <w:rFonts w:hint="eastAsia" w:ascii="方正仿宋简体" w:hAnsi="方正仿宋简体" w:eastAsia="方正仿宋简体" w:cs="方正仿宋简体"/>
          <w:sz w:val="32"/>
          <w:szCs w:val="32"/>
        </w:rPr>
        <w:t>济宁市人民政府办公室</w:t>
      </w:r>
      <w:r>
        <w:rPr>
          <w:rFonts w:ascii="方正仿宋简体" w:hAnsi="方正仿宋简体" w:eastAsia="方正仿宋简体" w:cs="方正仿宋简体"/>
          <w:b/>
          <w:sz w:val="32"/>
          <w:szCs w:val="32"/>
          <w:shd w:val="clear" w:color="auto" w:fill="FFFFFF"/>
        </w:rPr>
        <w:t>联系（地址：</w:t>
      </w:r>
      <w:r>
        <w:rPr>
          <w:rStyle w:val="7"/>
          <w:rFonts w:hint="eastAsia" w:ascii="方正仿宋简体" w:hAnsi="方正仿宋简体" w:eastAsia="方正仿宋简体" w:cs="方正仿宋简体"/>
          <w:sz w:val="32"/>
          <w:szCs w:val="32"/>
        </w:rPr>
        <w:t>济宁市任城区红星中路1</w:t>
      </w:r>
      <w:r>
        <w:rPr>
          <w:rStyle w:val="7"/>
          <w:rFonts w:ascii="方正仿宋简体" w:hAnsi="方正仿宋简体" w:eastAsia="方正仿宋简体" w:cs="方正仿宋简体"/>
          <w:sz w:val="32"/>
          <w:szCs w:val="32"/>
        </w:rPr>
        <w:t>3</w:t>
      </w:r>
      <w:r>
        <w:rPr>
          <w:rStyle w:val="7"/>
          <w:rFonts w:hint="eastAsia" w:ascii="方正仿宋简体" w:hAnsi="方正仿宋简体" w:eastAsia="方正仿宋简体" w:cs="方正仿宋简体"/>
          <w:sz w:val="32"/>
          <w:szCs w:val="32"/>
        </w:rPr>
        <w:t>号</w:t>
      </w:r>
      <w:r>
        <w:rPr>
          <w:rFonts w:ascii="方正仿宋简体" w:hAnsi="方正仿宋简体" w:eastAsia="方正仿宋简体" w:cs="方正仿宋简体"/>
          <w:b/>
          <w:sz w:val="32"/>
          <w:szCs w:val="32"/>
          <w:shd w:val="clear" w:color="auto" w:fill="FFFFFF"/>
        </w:rPr>
        <w:t>，联系电话：</w:t>
      </w:r>
      <w:r>
        <w:rPr>
          <w:rStyle w:val="7"/>
          <w:rFonts w:ascii="方正仿宋简体" w:hAnsi="方正仿宋简体" w:eastAsia="方正仿宋简体" w:cs="方正仿宋简体"/>
          <w:bCs/>
          <w:sz w:val="32"/>
          <w:szCs w:val="32"/>
        </w:rPr>
        <w:t>0537-234823</w:t>
      </w:r>
      <w:r>
        <w:rPr>
          <w:rStyle w:val="7"/>
          <w:rFonts w:ascii="方正仿宋简体" w:hAnsi="方正仿宋简体" w:eastAsia="方正仿宋简体" w:cs="方正仿宋简体"/>
          <w:sz w:val="32"/>
          <w:szCs w:val="32"/>
        </w:rPr>
        <w:t>8</w:t>
      </w:r>
      <w:r>
        <w:rPr>
          <w:rFonts w:hint="eastAsia" w:ascii="方正仿宋简体" w:hAnsi="方正仿宋简体" w:eastAsia="方正仿宋简体" w:cs="方正仿宋简体"/>
          <w:b/>
          <w:sz w:val="32"/>
          <w:szCs w:val="32"/>
          <w:shd w:val="clear" w:color="auto" w:fill="FFFFFF"/>
        </w:rPr>
        <w:t>）。</w:t>
      </w:r>
    </w:p>
    <w:p>
      <w:pPr>
        <w:pStyle w:val="4"/>
        <w:widowControl/>
        <w:shd w:val="clear" w:color="auto" w:fill="FFFFFF"/>
        <w:spacing w:before="0" w:beforeAutospacing="0" w:after="0" w:afterAutospacing="0"/>
        <w:ind w:firstLine="642" w:firstLineChars="200"/>
        <w:jc w:val="both"/>
        <w:rPr>
          <w:rFonts w:ascii="黑体" w:hAnsi="黑体" w:eastAsia="黑体" w:cs="黑体"/>
          <w:b/>
          <w:sz w:val="32"/>
          <w:szCs w:val="32"/>
        </w:rPr>
      </w:pPr>
      <w:r>
        <w:rPr>
          <w:rFonts w:hint="eastAsia" w:ascii="黑体" w:hAnsi="黑体" w:eastAsia="黑体" w:cs="黑体"/>
          <w:b/>
          <w:sz w:val="32"/>
          <w:szCs w:val="32"/>
          <w:shd w:val="clear" w:color="auto" w:fill="FFFFFF"/>
        </w:rPr>
        <w:t>一、总体情况</w:t>
      </w:r>
    </w:p>
    <w:p>
      <w:pPr>
        <w:widowControl/>
        <w:autoSpaceDE w:val="0"/>
        <w:spacing w:line="560" w:lineRule="exact"/>
        <w:ind w:firstLine="642" w:firstLineChars="200"/>
        <w:jc w:val="left"/>
        <w:rPr>
          <w:rFonts w:ascii="方正仿宋简体" w:eastAsia="方正仿宋简体"/>
          <w:b/>
          <w:bCs/>
          <w:kern w:val="0"/>
          <w:sz w:val="32"/>
          <w:szCs w:val="32"/>
        </w:rPr>
      </w:pPr>
      <w:r>
        <w:rPr>
          <w:rFonts w:hint="eastAsia" w:ascii="方正仿宋简体" w:eastAsia="方正仿宋简体"/>
          <w:b/>
          <w:bCs/>
          <w:kern w:val="0"/>
          <w:sz w:val="32"/>
          <w:szCs w:val="32"/>
        </w:rPr>
        <w:t>2022年，济宁市政府办公室坚决落实《条例》和国家、省、市对政务公开工作的系列部署要求，坚持“以公开为常态、不公开为例外”，把政务公开贯穿政务运行全过程，以公开促落实、促规范、促服务，不断推动我市政务公开向纵深发展。</w:t>
      </w:r>
    </w:p>
    <w:p>
      <w:pPr>
        <w:widowControl/>
        <w:autoSpaceDE w:val="0"/>
        <w:spacing w:line="560" w:lineRule="exact"/>
        <w:ind w:firstLine="642" w:firstLineChars="200"/>
        <w:jc w:val="left"/>
        <w:rPr>
          <w:rFonts w:ascii="方正楷体简体" w:eastAsia="方正楷体简体"/>
          <w:b/>
          <w:bCs/>
          <w:kern w:val="0"/>
          <w:sz w:val="32"/>
          <w:szCs w:val="32"/>
        </w:rPr>
      </w:pPr>
      <w:r>
        <w:rPr>
          <w:rFonts w:hint="eastAsia" w:ascii="方正楷体简体" w:eastAsia="方正楷体简体"/>
          <w:b/>
          <w:bCs/>
          <w:kern w:val="0"/>
          <w:sz w:val="32"/>
          <w:szCs w:val="32"/>
        </w:rPr>
        <w:t>（一）聚焦基础工作，加大公开力度</w:t>
      </w:r>
    </w:p>
    <w:p>
      <w:pPr>
        <w:ind w:firstLine="642" w:firstLineChars="200"/>
        <w:rPr>
          <w:rFonts w:ascii="Times New Roman" w:hAnsi="Times New Roman"/>
          <w:szCs w:val="21"/>
        </w:rPr>
      </w:pPr>
      <w:r>
        <w:rPr>
          <w:rFonts w:hint="eastAsia" w:ascii="方正仿宋简体" w:eastAsia="方正仿宋简体"/>
          <w:b/>
          <w:bCs/>
          <w:kern w:val="0"/>
          <w:sz w:val="32"/>
          <w:szCs w:val="32"/>
        </w:rPr>
        <w:t>2</w:t>
      </w:r>
      <w:r>
        <w:rPr>
          <w:rFonts w:ascii="方正仿宋简体" w:eastAsia="方正仿宋简体"/>
          <w:b/>
          <w:bCs/>
          <w:kern w:val="0"/>
          <w:sz w:val="32"/>
          <w:szCs w:val="32"/>
        </w:rPr>
        <w:t>022</w:t>
      </w:r>
      <w:r>
        <w:rPr>
          <w:rFonts w:hint="eastAsia" w:ascii="方正仿宋简体" w:eastAsia="方正仿宋简体"/>
          <w:b/>
          <w:bCs/>
          <w:kern w:val="0"/>
          <w:sz w:val="32"/>
          <w:szCs w:val="32"/>
        </w:rPr>
        <w:t>年，累计发布政府信息6082条，其中发布规范性文件1</w:t>
      </w:r>
      <w:r>
        <w:rPr>
          <w:rFonts w:ascii="方正仿宋简体" w:eastAsia="方正仿宋简体"/>
          <w:b/>
          <w:bCs/>
          <w:kern w:val="0"/>
          <w:sz w:val="32"/>
          <w:szCs w:val="32"/>
        </w:rPr>
        <w:t>0</w:t>
      </w:r>
      <w:r>
        <w:rPr>
          <w:rFonts w:hint="eastAsia" w:ascii="方正仿宋简体" w:eastAsia="方正仿宋简体"/>
          <w:b/>
          <w:bCs/>
          <w:kern w:val="0"/>
          <w:sz w:val="32"/>
          <w:szCs w:val="32"/>
        </w:rPr>
        <w:t>件，发布常务会议及解读48篇，发布市政府重大决策12项；</w:t>
      </w:r>
      <w:r>
        <w:rPr>
          <w:rFonts w:hint="eastAsia" w:ascii="方正仿宋简体" w:eastAsia="方正仿宋简体"/>
          <w:b/>
          <w:kern w:val="0"/>
          <w:sz w:val="32"/>
          <w:szCs w:val="32"/>
        </w:rPr>
        <w:t>编制《政务公开</w:t>
      </w:r>
      <w:r>
        <w:rPr>
          <w:rFonts w:hint="eastAsia" w:ascii="方正仿宋简体" w:eastAsia="方正仿宋简体"/>
          <w:b/>
          <w:color w:val="000000"/>
          <w:kern w:val="0"/>
          <w:sz w:val="32"/>
          <w:szCs w:val="32"/>
        </w:rPr>
        <w:t>后台信息</w:t>
      </w:r>
      <w:r>
        <w:rPr>
          <w:rFonts w:hint="eastAsia" w:ascii="方正仿宋简体" w:eastAsia="方正仿宋简体"/>
          <w:b/>
          <w:kern w:val="0"/>
          <w:sz w:val="32"/>
          <w:szCs w:val="32"/>
        </w:rPr>
        <w:t>发布手册》《政务公开信息发布模板汇编》，</w:t>
      </w:r>
      <w:r>
        <w:rPr>
          <w:rFonts w:hint="eastAsia" w:ascii="方正仿宋简体" w:eastAsia="方正仿宋简体"/>
          <w:b/>
          <w:bCs/>
          <w:kern w:val="0"/>
          <w:sz w:val="32"/>
          <w:szCs w:val="32"/>
        </w:rPr>
        <w:t>完善全市政务公开基本目录，更新基层政务公开标准目录，提升信息发布质量；进一步规范解读流程，从源头保证解读质量，2</w:t>
      </w:r>
      <w:r>
        <w:rPr>
          <w:rFonts w:ascii="方正仿宋简体" w:eastAsia="方正仿宋简体"/>
          <w:b/>
          <w:bCs/>
          <w:kern w:val="0"/>
          <w:sz w:val="32"/>
          <w:szCs w:val="32"/>
        </w:rPr>
        <w:t>022</w:t>
      </w:r>
      <w:r>
        <w:rPr>
          <w:rFonts w:hint="eastAsia" w:ascii="方正仿宋简体" w:eastAsia="方正仿宋简体"/>
          <w:b/>
          <w:bCs/>
          <w:kern w:val="0"/>
          <w:sz w:val="32"/>
          <w:szCs w:val="32"/>
        </w:rPr>
        <w:t>年指导市直部门发布多样化解读材料579篇，</w:t>
      </w:r>
      <w:r>
        <w:rPr>
          <w:rFonts w:ascii="方正仿宋简体" w:eastAsia="方正仿宋简体"/>
          <w:b/>
          <w:bCs/>
          <w:kern w:val="0"/>
          <w:sz w:val="32"/>
          <w:szCs w:val="32"/>
        </w:rPr>
        <w:t>政策文件解读率达到100%。</w:t>
      </w:r>
    </w:p>
    <w:p>
      <w:pPr>
        <w:ind w:firstLine="642" w:firstLineChars="200"/>
        <w:rPr>
          <w:rStyle w:val="7"/>
          <w:rFonts w:hint="default" w:ascii="方正楷体简体" w:hAnsi="方正楷体简体" w:eastAsia="方正楷体简体" w:cs="方正楷体简体"/>
          <w:sz w:val="32"/>
          <w:szCs w:val="32"/>
          <w:lang w:val="en-US" w:eastAsia="zh-CN"/>
        </w:rPr>
      </w:pPr>
      <w:r>
        <w:rPr>
          <w:rStyle w:val="7"/>
          <w:rFonts w:hint="eastAsia" w:ascii="方正楷体简体" w:hAnsi="方正楷体简体" w:eastAsia="方正楷体简体" w:cs="方正楷体简体"/>
          <w:sz w:val="32"/>
          <w:szCs w:val="32"/>
        </w:rPr>
        <w:t>（二）</w:t>
      </w:r>
      <w:r>
        <w:rPr>
          <w:rStyle w:val="7"/>
          <w:rFonts w:hint="eastAsia" w:ascii="方正楷体简体" w:hAnsi="方正楷体简体" w:eastAsia="方正楷体简体" w:cs="方正楷体简体"/>
          <w:sz w:val="32"/>
          <w:szCs w:val="32"/>
          <w:lang w:val="en-US" w:eastAsia="zh-CN"/>
        </w:rPr>
        <w:t>完善办理机制，提高答复质量</w:t>
      </w:r>
    </w:p>
    <w:p>
      <w:pPr>
        <w:widowControl/>
        <w:autoSpaceDE w:val="0"/>
        <w:spacing w:line="560" w:lineRule="exact"/>
        <w:ind w:firstLine="642" w:firstLineChars="200"/>
        <w:jc w:val="left"/>
        <w:rPr>
          <w:rFonts w:ascii="方正仿宋简体" w:eastAsia="方正仿宋简体"/>
          <w:b/>
          <w:bCs/>
          <w:kern w:val="0"/>
          <w:sz w:val="32"/>
          <w:szCs w:val="32"/>
        </w:rPr>
      </w:pPr>
      <w:r>
        <w:rPr>
          <w:rFonts w:hint="eastAsia" w:ascii="方正仿宋简体" w:eastAsia="方正仿宋简体"/>
          <w:b/>
          <w:bCs/>
          <w:kern w:val="0"/>
          <w:sz w:val="32"/>
          <w:szCs w:val="32"/>
        </w:rPr>
        <w:t>健全答复流程，注重与申请人的协调沟通，力争行政争议诉前调解；建立疑难件会商机制和多重审核机制，有效提升依申请公开答复质量。2022年累计受理依申请公开件67件，受理省政府协查函25件，均在法定期限内予以答复，因依申请公开引发行政复议1件，结果维持。</w:t>
      </w:r>
    </w:p>
    <w:p>
      <w:pPr>
        <w:jc w:val="center"/>
        <w:rPr>
          <w:rStyle w:val="7"/>
          <w:rFonts w:ascii="方正楷体简体" w:hAnsi="方正楷体简体" w:eastAsia="方正楷体简体" w:cs="方正楷体简体"/>
          <w:sz w:val="32"/>
          <w:szCs w:val="32"/>
        </w:rPr>
      </w:pPr>
      <w:r>
        <w:rPr>
          <w:rFonts w:ascii="方正仿宋简体" w:eastAsia="方正仿宋简体"/>
          <w:b/>
          <w:bCs/>
          <w:kern w:val="0"/>
          <w:sz w:val="32"/>
          <w:szCs w:val="32"/>
        </w:rPr>
        <w:drawing>
          <wp:inline distT="0" distB="0" distL="0" distR="0">
            <wp:extent cx="4273550" cy="2568575"/>
            <wp:effectExtent l="0" t="0" r="0" b="3175"/>
            <wp:docPr id="2" name="图片 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true" noChangeArrowheads="true"/>
                    </pic:cNvPicPr>
                  </pic:nvPicPr>
                  <pic:blipFill>
                    <a:blip r:embed="rId5">
                      <a:extLst>
                        <a:ext uri="{28A0092B-C50C-407E-A947-70E740481C1C}">
                          <a14:useLocalDpi xmlns:a14="http://schemas.microsoft.com/office/drawing/2010/main" val="false"/>
                        </a:ext>
                      </a:extLst>
                    </a:blip>
                    <a:srcRect/>
                    <a:stretch>
                      <a:fillRect/>
                    </a:stretch>
                  </pic:blipFill>
                  <pic:spPr>
                    <a:xfrm>
                      <a:off x="0" y="0"/>
                      <a:ext cx="4281584" cy="2573695"/>
                    </a:xfrm>
                    <a:prstGeom prst="rect">
                      <a:avLst/>
                    </a:prstGeom>
                    <a:noFill/>
                  </pic:spPr>
                </pic:pic>
              </a:graphicData>
            </a:graphic>
          </wp:inline>
        </w:drawing>
      </w:r>
    </w:p>
    <w:p>
      <w:pPr>
        <w:ind w:firstLine="642" w:firstLineChars="200"/>
        <w:rPr>
          <w:rFonts w:hint="eastAsia" w:ascii="方正仿宋简体" w:eastAsia="方正仿宋简体"/>
          <w:b/>
          <w:kern w:val="0"/>
          <w:sz w:val="32"/>
          <w:szCs w:val="32"/>
        </w:rPr>
      </w:pPr>
      <w:r>
        <w:rPr>
          <w:rFonts w:hint="eastAsia" w:ascii="方正仿宋简体" w:eastAsia="方正仿宋简体"/>
          <w:b/>
          <w:kern w:val="0"/>
          <w:sz w:val="32"/>
          <w:szCs w:val="32"/>
        </w:rPr>
        <w:t>从申请人类型看，占比较大的为自然人申请人，累计6</w:t>
      </w:r>
      <w:r>
        <w:rPr>
          <w:rFonts w:ascii="方正仿宋简体" w:eastAsia="方正仿宋简体"/>
          <w:b/>
          <w:kern w:val="0"/>
          <w:sz w:val="32"/>
          <w:szCs w:val="32"/>
        </w:rPr>
        <w:t>1</w:t>
      </w:r>
      <w:r>
        <w:rPr>
          <w:rFonts w:hint="eastAsia" w:ascii="方正仿宋简体" w:eastAsia="方正仿宋简体"/>
          <w:b/>
          <w:kern w:val="0"/>
          <w:sz w:val="32"/>
          <w:szCs w:val="32"/>
        </w:rPr>
        <w:t>件，从答复情况看，因本机关不掌握相关政府信息而无法提供4</w:t>
      </w:r>
      <w:r>
        <w:rPr>
          <w:rFonts w:ascii="方正仿宋简体" w:eastAsia="方正仿宋简体"/>
          <w:b/>
          <w:kern w:val="0"/>
          <w:sz w:val="32"/>
          <w:szCs w:val="32"/>
        </w:rPr>
        <w:t>4</w:t>
      </w:r>
      <w:r>
        <w:rPr>
          <w:rFonts w:hint="eastAsia" w:ascii="方正仿宋简体" w:eastAsia="方正仿宋简体"/>
          <w:b/>
          <w:kern w:val="0"/>
          <w:sz w:val="32"/>
          <w:szCs w:val="32"/>
        </w:rPr>
        <w:t>件，予以公开1</w:t>
      </w:r>
      <w:r>
        <w:rPr>
          <w:rFonts w:ascii="方正仿宋简体" w:eastAsia="方正仿宋简体"/>
          <w:b/>
          <w:kern w:val="0"/>
          <w:sz w:val="32"/>
          <w:szCs w:val="32"/>
        </w:rPr>
        <w:t>0</w:t>
      </w:r>
      <w:r>
        <w:rPr>
          <w:rFonts w:hint="eastAsia" w:ascii="方正仿宋简体" w:eastAsia="方正仿宋简体"/>
          <w:b/>
          <w:kern w:val="0"/>
          <w:sz w:val="32"/>
          <w:szCs w:val="32"/>
        </w:rPr>
        <w:t>件，部分公开8件，不予公开4件，其他处理1件。</w:t>
      </w:r>
    </w:p>
    <w:p>
      <w:pPr>
        <w:ind w:firstLine="420" w:firstLineChars="200"/>
        <w:rPr>
          <w:rFonts w:hint="eastAsia" w:ascii="方正仿宋简体" w:eastAsia="方正仿宋简体"/>
          <w:b/>
          <w:kern w:val="0"/>
          <w:sz w:val="32"/>
          <w:szCs w:val="32"/>
        </w:rPr>
      </w:pPr>
      <w:r>
        <w:drawing>
          <wp:inline distT="0" distB="0" distL="114300" distR="114300">
            <wp:extent cx="4584065" cy="2755265"/>
            <wp:effectExtent l="0" t="0" r="635" b="635"/>
            <wp:docPr id="5" name="图片 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true"/>
                    </pic:cNvPicPr>
                  </pic:nvPicPr>
                  <pic:blipFill>
                    <a:blip r:embed="rId6"/>
                    <a:stretch>
                      <a:fillRect/>
                    </a:stretch>
                  </pic:blipFill>
                  <pic:spPr>
                    <a:xfrm>
                      <a:off x="0" y="0"/>
                      <a:ext cx="4584065" cy="2755265"/>
                    </a:xfrm>
                    <a:prstGeom prst="rect">
                      <a:avLst/>
                    </a:prstGeom>
                    <a:noFill/>
                    <a:ln>
                      <a:noFill/>
                    </a:ln>
                  </pic:spPr>
                </pic:pic>
              </a:graphicData>
            </a:graphic>
          </wp:inline>
        </w:drawing>
      </w:r>
    </w:p>
    <w:p>
      <w:pPr>
        <w:ind w:firstLine="642" w:firstLineChars="200"/>
        <w:rPr>
          <w:rStyle w:val="7"/>
          <w:rFonts w:hint="default" w:ascii="方正楷体简体" w:hAnsi="方正楷体简体" w:eastAsia="方正楷体简体" w:cs="方正楷体简体"/>
          <w:sz w:val="32"/>
          <w:szCs w:val="32"/>
          <w:lang w:val="en-US" w:eastAsia="zh-CN"/>
        </w:rPr>
      </w:pPr>
      <w:r>
        <w:rPr>
          <w:rStyle w:val="7"/>
          <w:rFonts w:hint="eastAsia" w:ascii="方正楷体简体" w:hAnsi="方正楷体简体" w:eastAsia="方正楷体简体" w:cs="方正楷体简体"/>
          <w:sz w:val="32"/>
          <w:szCs w:val="32"/>
        </w:rPr>
        <w:t>（三）</w:t>
      </w:r>
      <w:r>
        <w:rPr>
          <w:rStyle w:val="7"/>
          <w:rFonts w:hint="eastAsia" w:ascii="方正楷体简体" w:hAnsi="方正楷体简体" w:eastAsia="方正楷体简体" w:cs="方正楷体简体"/>
          <w:sz w:val="32"/>
          <w:szCs w:val="32"/>
          <w:lang w:val="en-US" w:eastAsia="zh-CN"/>
        </w:rPr>
        <w:t>优化信息管理，提升公开质效</w:t>
      </w:r>
    </w:p>
    <w:p>
      <w:pPr>
        <w:autoSpaceDE w:val="0"/>
        <w:ind w:firstLine="618" w:firstLineChars="200"/>
        <w:rPr>
          <w:rFonts w:hint="eastAsia" w:ascii="方正仿宋简体" w:hAnsi="Times New Roman" w:eastAsia="方正仿宋简体"/>
          <w:b/>
          <w:kern w:val="0"/>
          <w:sz w:val="32"/>
          <w:szCs w:val="32"/>
        </w:rPr>
      </w:pPr>
      <w:r>
        <w:rPr>
          <w:rFonts w:hint="eastAsia" w:ascii="方正仿宋简体" w:hAnsi="Times New Roman" w:eastAsia="方正仿宋简体"/>
          <w:b/>
          <w:bCs/>
          <w:spacing w:val="-6"/>
          <w:kern w:val="0"/>
          <w:sz w:val="32"/>
          <w:szCs w:val="32"/>
          <w:shd w:val="clear" w:color="auto" w:fill="FFFFFF"/>
        </w:rPr>
        <w:t>创新打造“济宁市政策咨询综合服务平台”，将群众较为关心、与企业群众密切相关的热点信息，进行“菜单式”集中展示，方便</w:t>
      </w:r>
      <w:r>
        <w:rPr>
          <w:rFonts w:hint="eastAsia" w:ascii="方正仿宋简体" w:hAnsi="Times New Roman" w:eastAsia="方正仿宋简体"/>
          <w:b/>
          <w:bCs/>
          <w:spacing w:val="-6"/>
          <w:kern w:val="0"/>
          <w:sz w:val="32"/>
          <w:szCs w:val="32"/>
          <w:highlight w:val="none"/>
          <w:shd w:val="clear" w:color="auto" w:fill="FFFFFF"/>
        </w:rPr>
        <w:t>群众</w:t>
      </w:r>
      <w:r>
        <w:rPr>
          <w:rFonts w:hint="eastAsia" w:ascii="方正仿宋简体" w:hAnsi="Times New Roman" w:eastAsia="方正仿宋简体"/>
          <w:b/>
          <w:bCs/>
          <w:color w:val="auto"/>
          <w:spacing w:val="-6"/>
          <w:kern w:val="0"/>
          <w:sz w:val="32"/>
          <w:szCs w:val="32"/>
          <w:highlight w:val="none"/>
          <w:shd w:val="clear" w:color="auto" w:fill="FFFFFF"/>
        </w:rPr>
        <w:t>一键</w:t>
      </w:r>
      <w:r>
        <w:rPr>
          <w:rFonts w:hint="eastAsia" w:ascii="方正仿宋简体" w:hAnsi="Times New Roman" w:eastAsia="方正仿宋简体"/>
          <w:b/>
          <w:bCs/>
          <w:color w:val="auto"/>
          <w:spacing w:val="-6"/>
          <w:kern w:val="0"/>
          <w:sz w:val="32"/>
          <w:szCs w:val="32"/>
          <w:highlight w:val="none"/>
          <w:shd w:val="clear" w:color="auto" w:fill="FFFFFF"/>
          <w:lang w:eastAsia="zh-CN"/>
        </w:rPr>
        <w:t>获取</w:t>
      </w:r>
      <w:r>
        <w:rPr>
          <w:rFonts w:hint="eastAsia" w:ascii="方正仿宋简体" w:hAnsi="Times New Roman" w:eastAsia="方正仿宋简体"/>
          <w:b/>
          <w:bCs/>
          <w:spacing w:val="-6"/>
          <w:kern w:val="0"/>
          <w:sz w:val="32"/>
          <w:szCs w:val="32"/>
          <w:highlight w:val="none"/>
          <w:shd w:val="clear" w:color="auto" w:fill="FFFFFF"/>
        </w:rPr>
        <w:t>政策信息；</w:t>
      </w:r>
      <w:r>
        <w:rPr>
          <w:rFonts w:hint="eastAsia" w:ascii="方正仿宋简体" w:eastAsia="方正仿宋简体"/>
          <w:b/>
          <w:kern w:val="0"/>
          <w:sz w:val="32"/>
          <w:szCs w:val="32"/>
          <w:highlight w:val="none"/>
        </w:rPr>
        <w:t>建设“济宁市政府公文库”，打通市、县以及部门之间的数据壁垒，对1979年以后印发的规章、规范性文件和其他政府文件开展全面清理，确保现行有</w:t>
      </w:r>
      <w:r>
        <w:rPr>
          <w:rFonts w:hint="eastAsia" w:ascii="方正仿宋简体" w:eastAsia="方正仿宋简体"/>
          <w:b/>
          <w:kern w:val="0"/>
          <w:sz w:val="32"/>
          <w:szCs w:val="32"/>
          <w:highlight w:val="none"/>
          <w:lang w:eastAsia="zh-CN"/>
        </w:rPr>
        <w:t>效</w:t>
      </w:r>
      <w:r>
        <w:rPr>
          <w:rFonts w:hint="eastAsia" w:ascii="方正仿宋简体" w:eastAsia="方正仿宋简体"/>
          <w:b/>
          <w:kern w:val="0"/>
          <w:sz w:val="32"/>
          <w:szCs w:val="32"/>
          <w:highlight w:val="none"/>
        </w:rPr>
        <w:t>文件</w:t>
      </w:r>
      <w:r>
        <w:rPr>
          <w:rFonts w:hint="eastAsia" w:ascii="方正仿宋简体" w:eastAsia="方正仿宋简体"/>
          <w:b/>
          <w:kern w:val="0"/>
          <w:sz w:val="32"/>
          <w:szCs w:val="32"/>
        </w:rPr>
        <w:t>全部入库。</w:t>
      </w:r>
    </w:p>
    <w:p>
      <w:pPr>
        <w:spacing w:line="560" w:lineRule="exact"/>
        <w:ind w:firstLine="642" w:firstLineChars="200"/>
        <w:rPr>
          <w:rStyle w:val="7"/>
          <w:rFonts w:hint="default" w:ascii="方正楷体简体" w:hAnsi="方正楷体简体" w:eastAsia="方正楷体简体" w:cs="方正楷体简体"/>
          <w:sz w:val="32"/>
          <w:szCs w:val="32"/>
          <w:lang w:val="en-US" w:eastAsia="zh-CN"/>
        </w:rPr>
      </w:pPr>
      <w:r>
        <w:rPr>
          <w:rStyle w:val="7"/>
          <w:rFonts w:hint="eastAsia" w:ascii="方正楷体简体" w:hAnsi="方正楷体简体" w:eastAsia="方正楷体简体" w:cs="方正楷体简体"/>
          <w:sz w:val="32"/>
          <w:szCs w:val="32"/>
        </w:rPr>
        <w:t>（四）</w:t>
      </w:r>
      <w:r>
        <w:rPr>
          <w:rStyle w:val="7"/>
          <w:rFonts w:hint="eastAsia" w:ascii="方正楷体简体" w:hAnsi="方正楷体简体" w:eastAsia="方正楷体简体" w:cs="方正楷体简体"/>
          <w:sz w:val="32"/>
          <w:szCs w:val="32"/>
          <w:lang w:val="en-US" w:eastAsia="zh-CN"/>
        </w:rPr>
        <w:t>强化平台建设</w:t>
      </w:r>
      <w:r>
        <w:rPr>
          <w:rStyle w:val="7"/>
          <w:rFonts w:hint="eastAsia" w:ascii="方正楷体简体" w:hAnsi="方正楷体简体" w:eastAsia="方正楷体简体" w:cs="方正楷体简体"/>
          <w:sz w:val="32"/>
          <w:szCs w:val="32"/>
          <w:lang w:eastAsia="zh-CN"/>
        </w:rPr>
        <w:t>，</w:t>
      </w:r>
      <w:r>
        <w:rPr>
          <w:rStyle w:val="7"/>
          <w:rFonts w:hint="eastAsia" w:ascii="方正楷体简体" w:hAnsi="方正楷体简体" w:eastAsia="方正楷体简体" w:cs="方正楷体简体"/>
          <w:sz w:val="32"/>
          <w:szCs w:val="32"/>
          <w:lang w:val="en-US" w:eastAsia="zh-CN"/>
        </w:rPr>
        <w:t>提升服务质量</w:t>
      </w:r>
    </w:p>
    <w:p>
      <w:pPr>
        <w:ind w:firstLine="642" w:firstLineChars="200"/>
        <w:rPr>
          <w:rFonts w:hint="eastAsia"/>
          <w:szCs w:val="21"/>
        </w:rPr>
      </w:pPr>
      <w:r>
        <w:rPr>
          <w:rFonts w:hint="eastAsia" w:ascii="方正仿宋简体" w:eastAsia="方正仿宋简体"/>
          <w:b/>
          <w:color w:val="000000"/>
          <w:kern w:val="0"/>
          <w:sz w:val="32"/>
          <w:szCs w:val="32"/>
        </w:rPr>
        <w:t>严格按照标准要求对专栏进行调整优化，新增公共企事业单位、济宁市公文库专栏，优化机构职能、政策解读、重大决策、疫情防控等专栏，通过公开目录的标准化实现公开内容的精细化、规范化；</w:t>
      </w:r>
      <w:r>
        <w:rPr>
          <w:rFonts w:hint="eastAsia" w:ascii="方正仿宋简体" w:eastAsia="方正仿宋简体"/>
          <w:b/>
          <w:kern w:val="0"/>
          <w:sz w:val="32"/>
          <w:szCs w:val="32"/>
        </w:rPr>
        <w:t>发布《政务公开专区建设指南》，明确市、县、镇、村政务公开专区建</w:t>
      </w:r>
      <w:r>
        <w:rPr>
          <w:rFonts w:hint="eastAsia" w:ascii="方正仿宋简体" w:eastAsia="方正仿宋简体"/>
          <w:b/>
          <w:color w:val="000000"/>
          <w:kern w:val="0"/>
          <w:sz w:val="32"/>
          <w:szCs w:val="32"/>
        </w:rPr>
        <w:t>设标准，打造集信息公开、申请办理、办事咨询、意见征集等功能于一体的政务公开专区192个，真正实现</w:t>
      </w:r>
      <w:r>
        <w:rPr>
          <w:rFonts w:hint="eastAsia" w:ascii="方正仿宋简体" w:eastAsia="方正仿宋简体"/>
          <w:b/>
          <w:kern w:val="0"/>
          <w:sz w:val="32"/>
          <w:szCs w:val="32"/>
        </w:rPr>
        <w:t>解读面对面、服务零距离；进一步优化政府网站</w:t>
      </w:r>
      <w:r>
        <w:rPr>
          <w:rFonts w:hint="eastAsia" w:ascii="方正仿宋简体" w:hAnsi="Times New Roman" w:eastAsia="方正仿宋简体"/>
          <w:b/>
          <w:sz w:val="32"/>
          <w:szCs w:val="32"/>
        </w:rPr>
        <w:t>智能化水平，提升搜索结果的准确性，并根据关键词聚合相关信息和服务，实现更加精准的“搜索即服务”。</w:t>
      </w:r>
    </w:p>
    <w:p>
      <w:pPr>
        <w:ind w:firstLine="642" w:firstLineChars="200"/>
        <w:rPr>
          <w:rStyle w:val="7"/>
          <w:rFonts w:ascii="方正楷体简体" w:hAnsi="方正楷体简体" w:eastAsia="方正楷体简体" w:cs="方正楷体简体"/>
          <w:sz w:val="32"/>
          <w:szCs w:val="32"/>
        </w:rPr>
      </w:pPr>
      <w:r>
        <w:rPr>
          <w:rStyle w:val="7"/>
          <w:rFonts w:hint="eastAsia" w:ascii="方正楷体简体" w:hAnsi="方正楷体简体" w:eastAsia="方正楷体简体" w:cs="方正楷体简体"/>
          <w:sz w:val="32"/>
          <w:szCs w:val="32"/>
        </w:rPr>
        <w:t>（五）</w:t>
      </w:r>
      <w:r>
        <w:rPr>
          <w:rFonts w:hint="eastAsia" w:ascii="方正楷体简体" w:hAnsi="方正楷体简体" w:eastAsia="方正楷体简体" w:cs="方正楷体简体"/>
          <w:b/>
          <w:bCs/>
          <w:spacing w:val="0"/>
          <w:kern w:val="0"/>
          <w:sz w:val="32"/>
          <w:szCs w:val="32"/>
          <w:lang w:val="en-US" w:eastAsia="zh-CN"/>
        </w:rPr>
        <w:t>加强日常督导，确保任务落实</w:t>
      </w:r>
    </w:p>
    <w:p>
      <w:pPr>
        <w:ind w:firstLine="642" w:firstLineChars="200"/>
        <w:rPr>
          <w:rFonts w:ascii="方正楷体简体" w:hAnsi="方正楷体简体" w:eastAsia="方正楷体简体" w:cs="方正楷体简体"/>
          <w:b/>
          <w:sz w:val="32"/>
          <w:szCs w:val="32"/>
        </w:rPr>
      </w:pPr>
      <w:r>
        <w:rPr>
          <w:rFonts w:hint="eastAsia" w:ascii="方正仿宋简体" w:eastAsia="方正仿宋简体"/>
          <w:b/>
          <w:bCs/>
          <w:kern w:val="0"/>
          <w:sz w:val="32"/>
          <w:szCs w:val="32"/>
        </w:rPr>
        <w:t>积极开展企事业单位信息公开、年度考核、年报撰写等全体人员培训，对基础薄弱单位开展“走出去”专题授课，对新调整单位人员开展“点对点”培训</w:t>
      </w:r>
      <w:r>
        <w:rPr>
          <w:rFonts w:hint="eastAsia" w:ascii="方正仿宋简体" w:eastAsia="方正仿宋简体"/>
          <w:b/>
          <w:kern w:val="0"/>
          <w:sz w:val="32"/>
          <w:szCs w:val="32"/>
        </w:rPr>
        <w:t>，全面提升队伍公开水平；坚持</w:t>
      </w:r>
      <w:r>
        <w:rPr>
          <w:rFonts w:hint="eastAsia" w:ascii="方正仿宋简体" w:eastAsia="方正仿宋简体"/>
          <w:b/>
          <w:bCs/>
          <w:kern w:val="0"/>
          <w:sz w:val="32"/>
          <w:szCs w:val="32"/>
        </w:rPr>
        <w:t>“日常抽查、季度检测、年度评估”相结合，对重点信息公开情况进行不定期检查，每季度定期开展全市政务公开专项检测，对反馈问题建立工作台账，</w:t>
      </w:r>
      <w:r>
        <w:rPr>
          <w:rFonts w:hint="eastAsia" w:ascii="方正仿宋简体" w:eastAsia="方正仿宋简体"/>
          <w:b/>
          <w:bCs/>
          <w:kern w:val="0"/>
          <w:sz w:val="32"/>
          <w:szCs w:val="32"/>
          <w:highlight w:val="none"/>
        </w:rPr>
        <w:t>确保各</w:t>
      </w:r>
      <w:r>
        <w:rPr>
          <w:rFonts w:hint="eastAsia" w:ascii="方正仿宋简体" w:eastAsia="方正仿宋简体"/>
          <w:b/>
          <w:bCs/>
          <w:kern w:val="0"/>
          <w:sz w:val="32"/>
          <w:szCs w:val="32"/>
        </w:rPr>
        <w:t>项指标全面落实到位。</w:t>
      </w:r>
    </w:p>
    <w:p>
      <w:pPr>
        <w:pStyle w:val="4"/>
        <w:widowControl/>
        <w:shd w:val="clear" w:color="auto" w:fill="FFFFFF"/>
        <w:spacing w:before="0" w:beforeAutospacing="0" w:after="0" w:afterAutospacing="0"/>
        <w:ind w:firstLine="642" w:firstLineChars="200"/>
        <w:jc w:val="both"/>
        <w:rPr>
          <w:rFonts w:ascii="黑体" w:hAnsi="黑体" w:eastAsia="黑体" w:cs="黑体"/>
          <w:b/>
          <w:sz w:val="32"/>
          <w:szCs w:val="32"/>
        </w:rPr>
      </w:pPr>
      <w:r>
        <w:rPr>
          <w:rFonts w:hint="eastAsia" w:ascii="黑体" w:hAnsi="黑体" w:eastAsia="黑体" w:cs="黑体"/>
          <w:b/>
          <w:sz w:val="32"/>
          <w:szCs w:val="32"/>
          <w:shd w:val="clear" w:color="auto" w:fill="FFFFFF"/>
        </w:rPr>
        <w:t>二、主动公开政府信息情况</w:t>
      </w:r>
    </w:p>
    <w:tbl>
      <w:tblPr>
        <w:tblStyle w:val="5"/>
        <w:tblW w:w="9740" w:type="dxa"/>
        <w:jc w:val="center"/>
        <w:tblLayout w:type="autofit"/>
        <w:tblCellMar>
          <w:top w:w="0" w:type="dxa"/>
          <w:left w:w="0" w:type="dxa"/>
          <w:bottom w:w="0" w:type="dxa"/>
          <w:right w:w="0" w:type="dxa"/>
        </w:tblCellMar>
      </w:tblPr>
      <w:tblGrid>
        <w:gridCol w:w="2435"/>
        <w:gridCol w:w="2435"/>
        <w:gridCol w:w="2435"/>
        <w:gridCol w:w="2435"/>
      </w:tblGrid>
      <w:tr>
        <w:tblPrEx>
          <w:tblCellMar>
            <w:top w:w="0" w:type="dxa"/>
            <w:left w:w="0" w:type="dxa"/>
            <w:bottom w:w="0" w:type="dxa"/>
            <w:right w:w="0" w:type="dxa"/>
          </w:tblCellMar>
        </w:tblPrEx>
        <w:trPr>
          <w:trHeight w:val="340" w:hRule="atLeast"/>
          <w:jc w:val="center"/>
        </w:trPr>
        <w:tc>
          <w:tcPr>
            <w:tcW w:w="9740" w:type="dxa"/>
            <w:gridSpan w:val="4"/>
            <w:tcBorders>
              <w:top w:val="single" w:color="auto" w:sz="8" w:space="0"/>
              <w:left w:val="single" w:color="auto" w:sz="8" w:space="0"/>
              <w:bottom w:val="single" w:color="auto" w:sz="8" w:space="0"/>
              <w:right w:val="single" w:color="auto" w:sz="8" w:space="0"/>
            </w:tcBorders>
            <w:shd w:val="clear" w:color="auto" w:fill="C6D9F1"/>
            <w:tcMar>
              <w:left w:w="57" w:type="dxa"/>
              <w:right w:w="57" w:type="dxa"/>
            </w:tcMar>
            <w:vAlign w:val="center"/>
          </w:tcPr>
          <w:p>
            <w:pPr>
              <w:widowControl/>
              <w:jc w:val="center"/>
              <w:rPr>
                <w:b/>
              </w:rPr>
            </w:pPr>
            <w:r>
              <w:rPr>
                <w:rFonts w:hint="eastAsia" w:ascii="宋体" w:hAnsi="宋体" w:cs="宋体"/>
                <w:b/>
                <w:kern w:val="0"/>
                <w:sz w:val="20"/>
                <w:szCs w:val="20"/>
                <w:lang w:bidi="ar"/>
              </w:rPr>
              <w:t>第二十条第（一）项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tcMar>
              <w:left w:w="57" w:type="dxa"/>
              <w:right w:w="57" w:type="dxa"/>
            </w:tcMar>
            <w:vAlign w:val="center"/>
          </w:tcPr>
          <w:p>
            <w:pPr>
              <w:widowControl/>
              <w:jc w:val="center"/>
              <w:rPr>
                <w:b/>
              </w:rPr>
            </w:pPr>
            <w:r>
              <w:rPr>
                <w:rFonts w:hint="eastAsia" w:ascii="宋体" w:hAnsi="宋体" w:cs="宋体"/>
                <w:b/>
                <w:kern w:val="0"/>
                <w:sz w:val="20"/>
                <w:szCs w:val="20"/>
                <w:lang w:bidi="ar"/>
              </w:rPr>
              <w:t>信息内容</w:t>
            </w:r>
          </w:p>
        </w:tc>
        <w:tc>
          <w:tcPr>
            <w:tcW w:w="2435" w:type="dxa"/>
            <w:tcBorders>
              <w:top w:val="single" w:color="auto" w:sz="8" w:space="0"/>
              <w:left w:val="nil"/>
              <w:bottom w:val="single" w:color="auto" w:sz="8" w:space="0"/>
              <w:right w:val="single" w:color="auto" w:sz="8" w:space="0"/>
            </w:tcBorders>
            <w:tcMar>
              <w:left w:w="57" w:type="dxa"/>
              <w:right w:w="57" w:type="dxa"/>
            </w:tcMar>
            <w:vAlign w:val="center"/>
          </w:tcPr>
          <w:p>
            <w:pPr>
              <w:widowControl/>
              <w:jc w:val="center"/>
              <w:rPr>
                <w:b/>
              </w:rPr>
            </w:pPr>
            <w:r>
              <w:rPr>
                <w:rFonts w:hint="eastAsia" w:ascii="宋体" w:hAnsi="宋体" w:cs="宋体"/>
                <w:b/>
                <w:kern w:val="0"/>
                <w:sz w:val="20"/>
                <w:szCs w:val="20"/>
                <w:lang w:bidi="ar"/>
              </w:rPr>
              <w:t>本年制发件数</w:t>
            </w:r>
          </w:p>
        </w:tc>
        <w:tc>
          <w:tcPr>
            <w:tcW w:w="2435" w:type="dxa"/>
            <w:tcBorders>
              <w:top w:val="single" w:color="auto" w:sz="8" w:space="0"/>
              <w:left w:val="nil"/>
              <w:bottom w:val="single" w:color="auto" w:sz="8" w:space="0"/>
              <w:right w:val="single" w:color="auto" w:sz="8" w:space="0"/>
            </w:tcBorders>
            <w:tcMar>
              <w:left w:w="57" w:type="dxa"/>
              <w:right w:w="57" w:type="dxa"/>
            </w:tcMar>
            <w:vAlign w:val="center"/>
          </w:tcPr>
          <w:p>
            <w:pPr>
              <w:widowControl/>
              <w:jc w:val="center"/>
              <w:rPr>
                <w:b/>
              </w:rPr>
            </w:pPr>
            <w:r>
              <w:rPr>
                <w:rFonts w:hint="eastAsia" w:ascii="宋体" w:hAnsi="宋体" w:cs="宋体"/>
                <w:b/>
                <w:kern w:val="0"/>
                <w:sz w:val="20"/>
                <w:szCs w:val="20"/>
                <w:lang w:bidi="ar"/>
              </w:rPr>
              <w:t>本年废止件数</w:t>
            </w:r>
          </w:p>
        </w:tc>
        <w:tc>
          <w:tcPr>
            <w:tcW w:w="2435" w:type="dxa"/>
            <w:tcBorders>
              <w:top w:val="single" w:color="auto" w:sz="8" w:space="0"/>
              <w:left w:val="nil"/>
              <w:bottom w:val="single" w:color="auto" w:sz="8" w:space="0"/>
              <w:right w:val="single" w:color="auto" w:sz="8" w:space="0"/>
            </w:tcBorders>
            <w:tcMar>
              <w:left w:w="57" w:type="dxa"/>
              <w:right w:w="57" w:type="dxa"/>
            </w:tcMar>
            <w:vAlign w:val="center"/>
          </w:tcPr>
          <w:p>
            <w:pPr>
              <w:widowControl/>
              <w:jc w:val="center"/>
              <w:rPr>
                <w:b/>
              </w:rPr>
            </w:pPr>
            <w:r>
              <w:rPr>
                <w:rFonts w:hint="eastAsia" w:ascii="宋体" w:hAnsi="宋体" w:cs="宋体"/>
                <w:b/>
                <w:kern w:val="0"/>
                <w:sz w:val="20"/>
                <w:szCs w:val="20"/>
                <w:lang w:bidi="ar"/>
              </w:rPr>
              <w:t>现行有效件数</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tcMar>
              <w:left w:w="57" w:type="dxa"/>
              <w:right w:w="57" w:type="dxa"/>
            </w:tcMar>
            <w:vAlign w:val="center"/>
          </w:tcPr>
          <w:p>
            <w:pPr>
              <w:widowControl/>
              <w:jc w:val="left"/>
              <w:rPr>
                <w:b/>
              </w:rPr>
            </w:pPr>
            <w:r>
              <w:rPr>
                <w:rFonts w:hint="eastAsia" w:ascii="宋体" w:hAnsi="宋体" w:cs="宋体"/>
                <w:b/>
                <w:kern w:val="0"/>
                <w:sz w:val="20"/>
                <w:szCs w:val="20"/>
                <w:lang w:bidi="ar"/>
              </w:rPr>
              <w:t>规章</w:t>
            </w:r>
          </w:p>
        </w:tc>
        <w:tc>
          <w:tcPr>
            <w:tcW w:w="2435" w:type="dxa"/>
            <w:tcBorders>
              <w:top w:val="nil"/>
              <w:left w:val="nil"/>
              <w:bottom w:val="single" w:color="auto" w:sz="8" w:space="0"/>
              <w:right w:val="single" w:color="auto" w:sz="8" w:space="0"/>
            </w:tcBorders>
            <w:tcMar>
              <w:left w:w="57" w:type="dxa"/>
              <w:right w:w="57" w:type="dxa"/>
            </w:tcMar>
            <w:vAlign w:val="center"/>
          </w:tcPr>
          <w:p>
            <w:pPr>
              <w:widowControl/>
              <w:jc w:val="left"/>
              <w:rPr>
                <w:b/>
              </w:rPr>
            </w:pPr>
            <w:r>
              <w:rPr>
                <w:rFonts w:hint="eastAsia" w:ascii="宋体" w:hAnsi="宋体" w:cs="宋体"/>
                <w:b/>
                <w:kern w:val="0"/>
                <w:sz w:val="20"/>
                <w:szCs w:val="20"/>
                <w:lang w:bidi="ar"/>
              </w:rPr>
              <w:t>　　0</w:t>
            </w:r>
          </w:p>
        </w:tc>
        <w:tc>
          <w:tcPr>
            <w:tcW w:w="2435" w:type="dxa"/>
            <w:tcBorders>
              <w:top w:val="nil"/>
              <w:left w:val="nil"/>
              <w:bottom w:val="single" w:color="auto" w:sz="8" w:space="0"/>
              <w:right w:val="single" w:color="auto" w:sz="8" w:space="0"/>
            </w:tcBorders>
            <w:tcMar>
              <w:left w:w="57" w:type="dxa"/>
              <w:right w:w="57" w:type="dxa"/>
            </w:tcMar>
            <w:vAlign w:val="center"/>
          </w:tcPr>
          <w:p>
            <w:pPr>
              <w:widowControl/>
              <w:jc w:val="left"/>
              <w:rPr>
                <w:b/>
              </w:rPr>
            </w:pPr>
            <w:r>
              <w:rPr>
                <w:rFonts w:hint="eastAsia" w:ascii="宋体" w:hAnsi="宋体" w:cs="宋体"/>
                <w:b/>
                <w:kern w:val="0"/>
                <w:sz w:val="20"/>
                <w:szCs w:val="20"/>
                <w:lang w:bidi="ar"/>
              </w:rPr>
              <w:t> 　0</w:t>
            </w:r>
          </w:p>
        </w:tc>
        <w:tc>
          <w:tcPr>
            <w:tcW w:w="2435" w:type="dxa"/>
            <w:tcBorders>
              <w:top w:val="nil"/>
              <w:left w:val="nil"/>
              <w:bottom w:val="single" w:color="auto" w:sz="8" w:space="0"/>
              <w:right w:val="single" w:color="auto" w:sz="8" w:space="0"/>
            </w:tcBorders>
            <w:tcMar>
              <w:left w:w="57" w:type="dxa"/>
              <w:right w:w="57" w:type="dxa"/>
            </w:tcMar>
            <w:vAlign w:val="center"/>
          </w:tcPr>
          <w:p>
            <w:pPr>
              <w:widowControl/>
              <w:jc w:val="left"/>
              <w:rPr>
                <w:b/>
              </w:rPr>
            </w:pPr>
            <w:r>
              <w:rPr>
                <w:rFonts w:cs="Calibri"/>
                <w:b/>
                <w:kern w:val="0"/>
                <w:szCs w:val="21"/>
                <w:lang w:bidi="ar"/>
              </w:rPr>
              <w:t> 0</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tcMar>
              <w:left w:w="57" w:type="dxa"/>
              <w:right w:w="57" w:type="dxa"/>
            </w:tcMar>
            <w:vAlign w:val="center"/>
          </w:tcPr>
          <w:p>
            <w:pPr>
              <w:widowControl/>
              <w:jc w:val="left"/>
              <w:rPr>
                <w:b/>
              </w:rPr>
            </w:pPr>
            <w:r>
              <w:rPr>
                <w:rFonts w:hint="eastAsia" w:ascii="宋体" w:hAnsi="宋体" w:cs="宋体"/>
                <w:b/>
                <w:kern w:val="0"/>
                <w:sz w:val="20"/>
                <w:szCs w:val="20"/>
                <w:lang w:bidi="ar"/>
              </w:rPr>
              <w:t>行政规范性文件</w:t>
            </w:r>
          </w:p>
        </w:tc>
        <w:tc>
          <w:tcPr>
            <w:tcW w:w="2435" w:type="dxa"/>
            <w:tcBorders>
              <w:top w:val="nil"/>
              <w:left w:val="nil"/>
              <w:bottom w:val="single" w:color="auto" w:sz="8" w:space="0"/>
              <w:right w:val="single" w:color="auto" w:sz="8" w:space="0"/>
            </w:tcBorders>
            <w:tcMar>
              <w:left w:w="57" w:type="dxa"/>
              <w:right w:w="57" w:type="dxa"/>
            </w:tcMar>
            <w:vAlign w:val="center"/>
          </w:tcPr>
          <w:p>
            <w:pPr>
              <w:widowControl/>
              <w:jc w:val="left"/>
              <w:rPr>
                <w:b/>
              </w:rPr>
            </w:pPr>
            <w:r>
              <w:rPr>
                <w:rFonts w:hint="eastAsia" w:ascii="宋体" w:hAnsi="宋体" w:cs="宋体"/>
                <w:b/>
                <w:kern w:val="0"/>
                <w:sz w:val="20"/>
                <w:szCs w:val="20"/>
                <w:lang w:bidi="ar"/>
              </w:rPr>
              <w:t>　　1</w:t>
            </w:r>
            <w:r>
              <w:rPr>
                <w:rFonts w:ascii="宋体" w:hAnsi="宋体" w:cs="宋体"/>
                <w:b/>
                <w:kern w:val="0"/>
                <w:sz w:val="20"/>
                <w:szCs w:val="20"/>
                <w:lang w:bidi="ar"/>
              </w:rPr>
              <w:t>0</w:t>
            </w:r>
          </w:p>
        </w:tc>
        <w:tc>
          <w:tcPr>
            <w:tcW w:w="2435" w:type="dxa"/>
            <w:tcBorders>
              <w:top w:val="nil"/>
              <w:left w:val="nil"/>
              <w:bottom w:val="single" w:color="auto" w:sz="8" w:space="0"/>
              <w:right w:val="single" w:color="auto" w:sz="8" w:space="0"/>
            </w:tcBorders>
            <w:tcMar>
              <w:left w:w="57" w:type="dxa"/>
              <w:right w:w="57" w:type="dxa"/>
            </w:tcMar>
            <w:vAlign w:val="center"/>
          </w:tcPr>
          <w:p>
            <w:pPr>
              <w:widowControl/>
              <w:jc w:val="left"/>
              <w:rPr>
                <w:b/>
              </w:rPr>
            </w:pPr>
            <w:r>
              <w:rPr>
                <w:rFonts w:hint="eastAsia" w:ascii="宋体" w:hAnsi="宋体" w:cs="宋体"/>
                <w:b/>
                <w:kern w:val="0"/>
                <w:sz w:val="20"/>
                <w:szCs w:val="20"/>
                <w:lang w:bidi="ar"/>
              </w:rPr>
              <w:t> 　0</w:t>
            </w:r>
          </w:p>
        </w:tc>
        <w:tc>
          <w:tcPr>
            <w:tcW w:w="2435" w:type="dxa"/>
            <w:tcBorders>
              <w:top w:val="nil"/>
              <w:left w:val="nil"/>
              <w:bottom w:val="single" w:color="auto" w:sz="8" w:space="0"/>
              <w:right w:val="single" w:color="auto" w:sz="8" w:space="0"/>
            </w:tcBorders>
            <w:tcMar>
              <w:left w:w="57" w:type="dxa"/>
              <w:right w:w="57" w:type="dxa"/>
            </w:tcMar>
            <w:vAlign w:val="center"/>
          </w:tcPr>
          <w:p>
            <w:pPr>
              <w:widowControl/>
              <w:jc w:val="left"/>
              <w:rPr>
                <w:b/>
              </w:rPr>
            </w:pPr>
            <w:r>
              <w:rPr>
                <w:rFonts w:cs="Calibri"/>
                <w:b/>
                <w:kern w:val="0"/>
                <w:szCs w:val="21"/>
                <w:lang w:bidi="ar"/>
              </w:rPr>
              <w:t> 71</w:t>
            </w:r>
          </w:p>
        </w:tc>
      </w:tr>
      <w:tr>
        <w:tblPrEx>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tcMar>
              <w:left w:w="57" w:type="dxa"/>
              <w:right w:w="57" w:type="dxa"/>
            </w:tcMar>
            <w:vAlign w:val="center"/>
          </w:tcPr>
          <w:p>
            <w:pPr>
              <w:widowControl/>
              <w:jc w:val="center"/>
              <w:rPr>
                <w:b/>
              </w:rPr>
            </w:pPr>
            <w:r>
              <w:rPr>
                <w:rFonts w:hint="eastAsia" w:ascii="宋体" w:hAnsi="宋体" w:cs="宋体"/>
                <w:b/>
                <w:kern w:val="0"/>
                <w:sz w:val="20"/>
                <w:szCs w:val="20"/>
                <w:lang w:bidi="ar"/>
              </w:rPr>
              <w:t>第二十条第（五）项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tcMar>
              <w:left w:w="57" w:type="dxa"/>
              <w:right w:w="57" w:type="dxa"/>
            </w:tcMar>
            <w:vAlign w:val="center"/>
          </w:tcPr>
          <w:p>
            <w:pPr>
              <w:widowControl/>
              <w:jc w:val="center"/>
              <w:rPr>
                <w:b/>
              </w:rPr>
            </w:pPr>
            <w:r>
              <w:rPr>
                <w:rFonts w:hint="eastAsia" w:ascii="宋体" w:hAnsi="宋体" w:cs="宋体"/>
                <w:b/>
                <w:kern w:val="0"/>
                <w:sz w:val="20"/>
                <w:szCs w:val="20"/>
                <w:lang w:bidi="ar"/>
              </w:rPr>
              <w:t>信息内容</w:t>
            </w:r>
          </w:p>
        </w:tc>
        <w:tc>
          <w:tcPr>
            <w:tcW w:w="7305" w:type="dxa"/>
            <w:gridSpan w:val="3"/>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ascii="宋体" w:hAnsi="宋体" w:cs="宋体"/>
                <w:b/>
                <w:kern w:val="0"/>
                <w:sz w:val="20"/>
                <w:szCs w:val="20"/>
                <w:lang w:bidi="ar"/>
              </w:rPr>
              <w:t>本年处理决定数量</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tcMar>
              <w:left w:w="57" w:type="dxa"/>
              <w:right w:w="57" w:type="dxa"/>
            </w:tcMar>
            <w:vAlign w:val="center"/>
          </w:tcPr>
          <w:p>
            <w:pPr>
              <w:widowControl/>
              <w:jc w:val="left"/>
              <w:rPr>
                <w:b/>
              </w:rPr>
            </w:pPr>
            <w:r>
              <w:rPr>
                <w:rFonts w:hint="eastAsia" w:ascii="宋体" w:hAnsi="宋体" w:cs="宋体"/>
                <w:b/>
                <w:kern w:val="0"/>
                <w:sz w:val="20"/>
                <w:szCs w:val="20"/>
                <w:lang w:bidi="ar"/>
              </w:rPr>
              <w:t>行政许可</w:t>
            </w:r>
          </w:p>
        </w:tc>
        <w:tc>
          <w:tcPr>
            <w:tcW w:w="7305" w:type="dxa"/>
            <w:gridSpan w:val="3"/>
            <w:tcBorders>
              <w:top w:val="nil"/>
              <w:left w:val="nil"/>
              <w:bottom w:val="single" w:color="auto" w:sz="8" w:space="0"/>
              <w:right w:val="single" w:color="auto" w:sz="8" w:space="0"/>
            </w:tcBorders>
            <w:tcMar>
              <w:left w:w="57" w:type="dxa"/>
              <w:right w:w="57" w:type="dxa"/>
            </w:tcMar>
            <w:vAlign w:val="center"/>
          </w:tcPr>
          <w:p>
            <w:pPr>
              <w:widowControl/>
              <w:jc w:val="left"/>
              <w:rPr>
                <w:b/>
              </w:rPr>
            </w:pPr>
            <w:r>
              <w:rPr>
                <w:rFonts w:cs="Calibri"/>
                <w:b/>
                <w:kern w:val="0"/>
                <w:szCs w:val="21"/>
                <w:lang w:bidi="ar"/>
              </w:rPr>
              <w:t> 0</w:t>
            </w:r>
          </w:p>
        </w:tc>
      </w:tr>
      <w:tr>
        <w:tblPrEx>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tcMar>
              <w:left w:w="57" w:type="dxa"/>
              <w:right w:w="57" w:type="dxa"/>
            </w:tcMar>
            <w:vAlign w:val="center"/>
          </w:tcPr>
          <w:p>
            <w:pPr>
              <w:widowControl/>
              <w:jc w:val="center"/>
              <w:rPr>
                <w:b/>
              </w:rPr>
            </w:pPr>
            <w:r>
              <w:rPr>
                <w:rFonts w:hint="eastAsia" w:ascii="宋体" w:hAnsi="宋体" w:cs="宋体"/>
                <w:b/>
                <w:kern w:val="0"/>
                <w:sz w:val="20"/>
                <w:szCs w:val="20"/>
                <w:lang w:bidi="ar"/>
              </w:rPr>
              <w:t>第二十条第（六）项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tcMar>
              <w:left w:w="57" w:type="dxa"/>
              <w:right w:w="57" w:type="dxa"/>
            </w:tcMar>
            <w:vAlign w:val="center"/>
          </w:tcPr>
          <w:p>
            <w:pPr>
              <w:widowControl/>
              <w:jc w:val="center"/>
              <w:rPr>
                <w:b/>
              </w:rPr>
            </w:pPr>
            <w:r>
              <w:rPr>
                <w:rFonts w:hint="eastAsia" w:ascii="宋体" w:hAnsi="宋体" w:cs="宋体"/>
                <w:b/>
                <w:kern w:val="0"/>
                <w:sz w:val="20"/>
                <w:szCs w:val="20"/>
                <w:lang w:bidi="ar"/>
              </w:rPr>
              <w:t>信息内容</w:t>
            </w:r>
          </w:p>
        </w:tc>
        <w:tc>
          <w:tcPr>
            <w:tcW w:w="7305" w:type="dxa"/>
            <w:gridSpan w:val="3"/>
            <w:tcBorders>
              <w:top w:val="single" w:color="auto" w:sz="8" w:space="0"/>
              <w:left w:val="nil"/>
              <w:bottom w:val="single" w:color="auto" w:sz="8" w:space="0"/>
              <w:right w:val="single" w:color="auto" w:sz="8" w:space="0"/>
            </w:tcBorders>
            <w:tcMar>
              <w:left w:w="57" w:type="dxa"/>
              <w:right w:w="57" w:type="dxa"/>
            </w:tcMar>
            <w:vAlign w:val="center"/>
          </w:tcPr>
          <w:p>
            <w:pPr>
              <w:widowControl/>
              <w:jc w:val="center"/>
              <w:rPr>
                <w:b/>
              </w:rPr>
            </w:pPr>
            <w:r>
              <w:rPr>
                <w:rFonts w:hint="eastAsia" w:ascii="宋体" w:hAnsi="宋体" w:cs="宋体"/>
                <w:b/>
                <w:kern w:val="0"/>
                <w:sz w:val="20"/>
                <w:szCs w:val="20"/>
                <w:lang w:bidi="ar"/>
              </w:rPr>
              <w:t>本年处理决定数量</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tcMar>
              <w:left w:w="57" w:type="dxa"/>
              <w:right w:w="57" w:type="dxa"/>
            </w:tcMar>
            <w:vAlign w:val="center"/>
          </w:tcPr>
          <w:p>
            <w:pPr>
              <w:widowControl/>
              <w:jc w:val="left"/>
              <w:rPr>
                <w:b/>
              </w:rPr>
            </w:pPr>
            <w:r>
              <w:rPr>
                <w:rFonts w:hint="eastAsia" w:ascii="宋体" w:hAnsi="宋体" w:cs="宋体"/>
                <w:b/>
                <w:kern w:val="0"/>
                <w:sz w:val="20"/>
                <w:szCs w:val="20"/>
                <w:lang w:bidi="ar"/>
              </w:rPr>
              <w:t>行政处罚</w:t>
            </w:r>
          </w:p>
        </w:tc>
        <w:tc>
          <w:tcPr>
            <w:tcW w:w="7305" w:type="dxa"/>
            <w:gridSpan w:val="3"/>
            <w:tcBorders>
              <w:top w:val="nil"/>
              <w:left w:val="nil"/>
              <w:bottom w:val="single" w:color="auto" w:sz="8" w:space="0"/>
              <w:right w:val="single" w:color="auto" w:sz="8" w:space="0"/>
            </w:tcBorders>
            <w:tcMar>
              <w:left w:w="57" w:type="dxa"/>
              <w:right w:w="57" w:type="dxa"/>
            </w:tcMar>
            <w:vAlign w:val="center"/>
          </w:tcPr>
          <w:p>
            <w:pPr>
              <w:widowControl/>
              <w:jc w:val="left"/>
              <w:rPr>
                <w:b/>
              </w:rPr>
            </w:pPr>
            <w:r>
              <w:rPr>
                <w:rFonts w:hint="eastAsia" w:ascii="宋体" w:hAnsi="宋体" w:cs="宋体"/>
                <w:b/>
                <w:kern w:val="0"/>
                <w:sz w:val="20"/>
                <w:szCs w:val="20"/>
                <w:lang w:bidi="ar"/>
              </w:rPr>
              <w:t>　0</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tcMar>
              <w:left w:w="57" w:type="dxa"/>
              <w:right w:w="57" w:type="dxa"/>
            </w:tcMar>
            <w:vAlign w:val="center"/>
          </w:tcPr>
          <w:p>
            <w:pPr>
              <w:widowControl/>
              <w:jc w:val="left"/>
              <w:rPr>
                <w:b/>
              </w:rPr>
            </w:pPr>
            <w:r>
              <w:rPr>
                <w:rFonts w:hint="eastAsia" w:ascii="宋体" w:hAnsi="宋体" w:cs="宋体"/>
                <w:b/>
                <w:kern w:val="0"/>
                <w:sz w:val="20"/>
                <w:szCs w:val="20"/>
                <w:lang w:bidi="ar"/>
              </w:rPr>
              <w:t>行政强制</w:t>
            </w:r>
          </w:p>
        </w:tc>
        <w:tc>
          <w:tcPr>
            <w:tcW w:w="7305" w:type="dxa"/>
            <w:gridSpan w:val="3"/>
            <w:tcBorders>
              <w:top w:val="nil"/>
              <w:left w:val="nil"/>
              <w:bottom w:val="single" w:color="auto" w:sz="8" w:space="0"/>
              <w:right w:val="single" w:color="auto" w:sz="8" w:space="0"/>
            </w:tcBorders>
            <w:tcMar>
              <w:left w:w="57" w:type="dxa"/>
              <w:right w:w="57" w:type="dxa"/>
            </w:tcMar>
            <w:vAlign w:val="center"/>
          </w:tcPr>
          <w:p>
            <w:pPr>
              <w:widowControl/>
              <w:jc w:val="left"/>
              <w:rPr>
                <w:b/>
              </w:rPr>
            </w:pPr>
            <w:r>
              <w:rPr>
                <w:rFonts w:hint="eastAsia" w:ascii="宋体" w:hAnsi="宋体" w:cs="宋体"/>
                <w:b/>
                <w:kern w:val="0"/>
                <w:sz w:val="20"/>
                <w:szCs w:val="20"/>
                <w:lang w:bidi="ar"/>
              </w:rPr>
              <w:t>　0</w:t>
            </w:r>
          </w:p>
        </w:tc>
      </w:tr>
      <w:tr>
        <w:tblPrEx>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tcMar>
              <w:left w:w="57" w:type="dxa"/>
              <w:right w:w="57" w:type="dxa"/>
            </w:tcMar>
            <w:vAlign w:val="center"/>
          </w:tcPr>
          <w:p>
            <w:pPr>
              <w:widowControl/>
              <w:jc w:val="center"/>
              <w:rPr>
                <w:b/>
              </w:rPr>
            </w:pPr>
            <w:r>
              <w:rPr>
                <w:rFonts w:hint="eastAsia" w:ascii="宋体" w:hAnsi="宋体" w:cs="宋体"/>
                <w:b/>
                <w:kern w:val="0"/>
                <w:sz w:val="20"/>
                <w:szCs w:val="20"/>
                <w:lang w:bidi="ar"/>
              </w:rPr>
              <w:t>第二十条第（八）项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tcMar>
              <w:left w:w="57" w:type="dxa"/>
              <w:right w:w="57" w:type="dxa"/>
            </w:tcMar>
            <w:vAlign w:val="center"/>
          </w:tcPr>
          <w:p>
            <w:pPr>
              <w:widowControl/>
              <w:jc w:val="center"/>
              <w:rPr>
                <w:b/>
              </w:rPr>
            </w:pPr>
            <w:r>
              <w:rPr>
                <w:rFonts w:hint="eastAsia" w:ascii="宋体" w:hAnsi="宋体" w:cs="宋体"/>
                <w:b/>
                <w:kern w:val="0"/>
                <w:sz w:val="20"/>
                <w:szCs w:val="20"/>
                <w:lang w:bidi="ar"/>
              </w:rPr>
              <w:t>信息内容</w:t>
            </w:r>
          </w:p>
        </w:tc>
        <w:tc>
          <w:tcPr>
            <w:tcW w:w="7305" w:type="dxa"/>
            <w:gridSpan w:val="3"/>
            <w:tcBorders>
              <w:top w:val="nil"/>
              <w:left w:val="nil"/>
              <w:bottom w:val="single" w:color="auto" w:sz="8" w:space="0"/>
              <w:right w:val="single" w:color="000000" w:sz="8" w:space="0"/>
            </w:tcBorders>
            <w:tcMar>
              <w:left w:w="57" w:type="dxa"/>
              <w:right w:w="57" w:type="dxa"/>
            </w:tcMar>
            <w:vAlign w:val="center"/>
          </w:tcPr>
          <w:p>
            <w:pPr>
              <w:widowControl/>
              <w:jc w:val="center"/>
              <w:rPr>
                <w:b/>
              </w:rPr>
            </w:pPr>
            <w:r>
              <w:rPr>
                <w:rFonts w:hint="eastAsia" w:ascii="宋体" w:hAnsi="宋体" w:cs="宋体"/>
                <w:b/>
                <w:kern w:val="0"/>
                <w:sz w:val="20"/>
                <w:szCs w:val="20"/>
                <w:lang w:bidi="ar"/>
              </w:rPr>
              <w:t>本年收费金额（单位：万元）</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tcMar>
              <w:left w:w="57" w:type="dxa"/>
              <w:right w:w="57" w:type="dxa"/>
            </w:tcMar>
            <w:vAlign w:val="center"/>
          </w:tcPr>
          <w:p>
            <w:pPr>
              <w:widowControl/>
              <w:jc w:val="left"/>
              <w:rPr>
                <w:b/>
              </w:rPr>
            </w:pPr>
            <w:r>
              <w:rPr>
                <w:rFonts w:hint="eastAsia" w:ascii="宋体" w:hAnsi="宋体" w:cs="宋体"/>
                <w:b/>
                <w:kern w:val="0"/>
                <w:sz w:val="20"/>
                <w:szCs w:val="20"/>
                <w:lang w:bidi="ar"/>
              </w:rPr>
              <w:t>行政事业性收费</w:t>
            </w:r>
          </w:p>
        </w:tc>
        <w:tc>
          <w:tcPr>
            <w:tcW w:w="7305" w:type="dxa"/>
            <w:gridSpan w:val="3"/>
            <w:tcBorders>
              <w:top w:val="nil"/>
              <w:left w:val="nil"/>
              <w:bottom w:val="single" w:color="auto" w:sz="8" w:space="0"/>
              <w:right w:val="single" w:color="000000" w:sz="8" w:space="0"/>
            </w:tcBorders>
            <w:tcMar>
              <w:left w:w="57" w:type="dxa"/>
              <w:right w:w="57" w:type="dxa"/>
            </w:tcMar>
            <w:vAlign w:val="center"/>
          </w:tcPr>
          <w:p>
            <w:pPr>
              <w:rPr>
                <w:rFonts w:ascii="宋体"/>
                <w:b/>
                <w:sz w:val="24"/>
              </w:rPr>
            </w:pPr>
            <w:r>
              <w:rPr>
                <w:rFonts w:hint="eastAsia" w:ascii="宋体"/>
                <w:b/>
                <w:sz w:val="24"/>
              </w:rPr>
              <w:t>0</w:t>
            </w:r>
          </w:p>
        </w:tc>
      </w:tr>
    </w:tbl>
    <w:p>
      <w:pPr>
        <w:pStyle w:val="4"/>
        <w:widowControl/>
        <w:shd w:val="clear" w:color="auto" w:fill="FFFFFF"/>
        <w:spacing w:before="0" w:beforeAutospacing="0" w:after="0" w:afterAutospacing="0"/>
        <w:jc w:val="both"/>
        <w:rPr>
          <w:rFonts w:ascii="黑体" w:hAnsi="黑体" w:eastAsia="黑体" w:cs="黑体"/>
          <w:b/>
          <w:sz w:val="32"/>
          <w:szCs w:val="32"/>
          <w:shd w:val="clear" w:color="auto" w:fill="FFFFFF"/>
        </w:rPr>
      </w:pPr>
    </w:p>
    <w:p>
      <w:pPr>
        <w:pStyle w:val="4"/>
        <w:widowControl/>
        <w:shd w:val="clear" w:color="auto" w:fill="FFFFFF"/>
        <w:spacing w:before="0" w:beforeAutospacing="0" w:after="0" w:afterAutospacing="0"/>
        <w:jc w:val="both"/>
        <w:rPr>
          <w:rFonts w:ascii="黑体" w:hAnsi="黑体" w:eastAsia="黑体" w:cs="黑体"/>
          <w:b/>
          <w:sz w:val="32"/>
          <w:szCs w:val="32"/>
        </w:rPr>
      </w:pPr>
      <w:r>
        <w:rPr>
          <w:rFonts w:hint="eastAsia" w:ascii="黑体" w:hAnsi="黑体" w:eastAsia="黑体" w:cs="黑体"/>
          <w:b/>
          <w:sz w:val="32"/>
          <w:szCs w:val="32"/>
          <w:shd w:val="clear" w:color="auto" w:fill="FFFFFF"/>
        </w:rPr>
        <w:t>三、收到和处理政府信息公开申请情况</w:t>
      </w:r>
    </w:p>
    <w:tbl>
      <w:tblPr>
        <w:tblStyle w:val="5"/>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767"/>
        <w:gridCol w:w="943"/>
        <w:gridCol w:w="3218"/>
        <w:gridCol w:w="688"/>
        <w:gridCol w:w="688"/>
        <w:gridCol w:w="688"/>
        <w:gridCol w:w="688"/>
        <w:gridCol w:w="688"/>
        <w:gridCol w:w="688"/>
        <w:gridCol w:w="692"/>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28" w:type="dxa"/>
            <w:gridSpan w:val="3"/>
            <w:vMerge w:val="restart"/>
            <w:tcBorders>
              <w:top w:val="single" w:color="auto" w:sz="8" w:space="0"/>
              <w:left w:val="single" w:color="auto" w:sz="8" w:space="0"/>
              <w:bottom w:val="outset" w:color="auto" w:sz="8" w:space="0"/>
              <w:right w:val="single" w:color="auto" w:sz="8" w:space="0"/>
            </w:tcBorders>
            <w:tcMar>
              <w:left w:w="108" w:type="dxa"/>
              <w:right w:w="108" w:type="dxa"/>
            </w:tcMar>
            <w:vAlign w:val="center"/>
          </w:tcPr>
          <w:p>
            <w:pPr>
              <w:widowControl/>
              <w:jc w:val="left"/>
              <w:rPr>
                <w:b/>
              </w:rPr>
            </w:pPr>
            <w:r>
              <w:rPr>
                <w:rFonts w:ascii="楷体" w:hAnsi="楷体" w:eastAsia="楷体" w:cs="楷体"/>
                <w:b/>
                <w:kern w:val="0"/>
                <w:sz w:val="20"/>
                <w:szCs w:val="20"/>
                <w:lang w:bidi="ar"/>
              </w:rPr>
              <w:t>（本列数据的勾稽关系为：第一项加第二项之和，等于第三项加第四项之和）</w:t>
            </w:r>
          </w:p>
        </w:tc>
        <w:tc>
          <w:tcPr>
            <w:tcW w:w="4820" w:type="dxa"/>
            <w:gridSpan w:val="7"/>
            <w:tcBorders>
              <w:top w:val="single" w:color="auto" w:sz="8" w:space="0"/>
              <w:left w:val="nil"/>
              <w:bottom w:val="single" w:color="auto" w:sz="8" w:space="0"/>
              <w:right w:val="single" w:color="auto" w:sz="8" w:space="0"/>
            </w:tcBorders>
            <w:tcMar>
              <w:left w:w="57" w:type="dxa"/>
              <w:right w:w="57" w:type="dxa"/>
            </w:tcMar>
            <w:vAlign w:val="center"/>
          </w:tcPr>
          <w:p>
            <w:pPr>
              <w:widowControl/>
              <w:jc w:val="center"/>
              <w:rPr>
                <w:b/>
              </w:rPr>
            </w:pPr>
            <w:r>
              <w:rPr>
                <w:rFonts w:hint="eastAsia" w:ascii="宋体" w:hAnsi="宋体" w:cs="宋体"/>
                <w:b/>
                <w:kern w:val="0"/>
                <w:sz w:val="20"/>
                <w:szCs w:val="20"/>
                <w:lang w:bidi="ar"/>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28" w:type="dxa"/>
            <w:gridSpan w:val="3"/>
            <w:vMerge w:val="continue"/>
            <w:tcBorders>
              <w:top w:val="single" w:color="auto" w:sz="8" w:space="0"/>
              <w:left w:val="single" w:color="auto" w:sz="8" w:space="0"/>
              <w:bottom w:val="outset" w:color="auto" w:sz="8" w:space="0"/>
              <w:right w:val="single" w:color="auto" w:sz="8" w:space="0"/>
            </w:tcBorders>
            <w:tcMar>
              <w:left w:w="108" w:type="dxa"/>
              <w:right w:w="108" w:type="dxa"/>
            </w:tcMar>
            <w:vAlign w:val="center"/>
          </w:tcPr>
          <w:p>
            <w:pPr>
              <w:rPr>
                <w:rFonts w:ascii="宋体"/>
                <w:b/>
                <w:sz w:val="24"/>
              </w:rPr>
            </w:pPr>
          </w:p>
        </w:tc>
        <w:tc>
          <w:tcPr>
            <w:tcW w:w="688" w:type="dxa"/>
            <w:vMerge w:val="restart"/>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ascii="宋体" w:hAnsi="宋体" w:cs="宋体"/>
                <w:b/>
                <w:kern w:val="0"/>
                <w:sz w:val="20"/>
                <w:szCs w:val="20"/>
                <w:lang w:bidi="ar"/>
              </w:rPr>
              <w:t>自然人</w:t>
            </w:r>
          </w:p>
        </w:tc>
        <w:tc>
          <w:tcPr>
            <w:tcW w:w="3440" w:type="dxa"/>
            <w:gridSpan w:val="5"/>
            <w:tcBorders>
              <w:top w:val="single" w:color="auto" w:sz="8" w:space="0"/>
              <w:left w:val="nil"/>
              <w:bottom w:val="single" w:color="auto" w:sz="8" w:space="0"/>
              <w:right w:val="single" w:color="auto" w:sz="8" w:space="0"/>
            </w:tcBorders>
            <w:tcMar>
              <w:left w:w="57" w:type="dxa"/>
              <w:right w:w="57" w:type="dxa"/>
            </w:tcMar>
            <w:vAlign w:val="center"/>
          </w:tcPr>
          <w:p>
            <w:pPr>
              <w:widowControl/>
              <w:jc w:val="center"/>
              <w:rPr>
                <w:b/>
              </w:rPr>
            </w:pPr>
            <w:r>
              <w:rPr>
                <w:rFonts w:hint="eastAsia" w:ascii="宋体" w:hAnsi="宋体" w:cs="宋体"/>
                <w:b/>
                <w:kern w:val="0"/>
                <w:sz w:val="20"/>
                <w:szCs w:val="20"/>
                <w:lang w:bidi="ar"/>
              </w:rPr>
              <w:t>法人或其他组织</w:t>
            </w:r>
          </w:p>
        </w:tc>
        <w:tc>
          <w:tcPr>
            <w:tcW w:w="692" w:type="dxa"/>
            <w:vMerge w:val="restart"/>
            <w:tcBorders>
              <w:top w:val="single" w:color="auto" w:sz="8" w:space="0"/>
              <w:left w:val="nil"/>
              <w:bottom w:val="outset" w:color="auto" w:sz="8" w:space="0"/>
              <w:right w:val="single" w:color="auto" w:sz="8" w:space="0"/>
            </w:tcBorders>
            <w:tcMar>
              <w:left w:w="57" w:type="dxa"/>
              <w:right w:w="57" w:type="dxa"/>
            </w:tcMar>
            <w:vAlign w:val="center"/>
          </w:tcPr>
          <w:p>
            <w:pPr>
              <w:widowControl/>
              <w:jc w:val="center"/>
              <w:rPr>
                <w:b/>
              </w:rPr>
            </w:pPr>
            <w:r>
              <w:rPr>
                <w:rFonts w:hint="eastAsia" w:ascii="宋体" w:hAnsi="宋体" w:cs="宋体"/>
                <w:b/>
                <w:kern w:val="0"/>
                <w:sz w:val="20"/>
                <w:szCs w:val="20"/>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28" w:type="dxa"/>
            <w:gridSpan w:val="3"/>
            <w:vMerge w:val="continue"/>
            <w:tcBorders>
              <w:top w:val="single" w:color="auto" w:sz="8" w:space="0"/>
              <w:left w:val="single" w:color="auto" w:sz="8" w:space="0"/>
              <w:bottom w:val="outset" w:color="auto" w:sz="8" w:space="0"/>
              <w:right w:val="single" w:color="auto" w:sz="8" w:space="0"/>
            </w:tcBorders>
            <w:tcMar>
              <w:left w:w="108" w:type="dxa"/>
              <w:right w:w="108" w:type="dxa"/>
            </w:tcMar>
            <w:vAlign w:val="center"/>
          </w:tcPr>
          <w:p>
            <w:pPr>
              <w:rPr>
                <w:rFonts w:ascii="宋体"/>
                <w:b/>
                <w:sz w:val="24"/>
              </w:rPr>
            </w:pPr>
          </w:p>
        </w:tc>
        <w:tc>
          <w:tcPr>
            <w:tcW w:w="688" w:type="dxa"/>
            <w:vMerge w:val="continue"/>
            <w:tcBorders>
              <w:top w:val="nil"/>
              <w:left w:val="nil"/>
              <w:bottom w:val="single" w:color="auto" w:sz="8" w:space="0"/>
              <w:right w:val="single" w:color="auto" w:sz="8" w:space="0"/>
            </w:tcBorders>
            <w:tcMar>
              <w:left w:w="57" w:type="dxa"/>
              <w:right w:w="57" w:type="dxa"/>
            </w:tcMar>
            <w:vAlign w:val="center"/>
          </w:tcPr>
          <w:p>
            <w:pPr>
              <w:rPr>
                <w:rFonts w:ascii="宋体"/>
                <w:b/>
                <w:sz w:val="24"/>
              </w:rPr>
            </w:pP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ascii="宋体" w:hAnsi="宋体" w:cs="宋体"/>
                <w:b/>
                <w:kern w:val="0"/>
                <w:sz w:val="20"/>
                <w:szCs w:val="20"/>
                <w:lang w:bidi="ar"/>
              </w:rPr>
              <w:t>商业</w:t>
            </w:r>
          </w:p>
          <w:p>
            <w:pPr>
              <w:widowControl/>
              <w:jc w:val="center"/>
              <w:rPr>
                <w:b/>
              </w:rPr>
            </w:pPr>
            <w:r>
              <w:rPr>
                <w:rFonts w:hint="eastAsia" w:ascii="宋体" w:hAnsi="宋体" w:cs="宋体"/>
                <w:b/>
                <w:kern w:val="0"/>
                <w:sz w:val="20"/>
                <w:szCs w:val="20"/>
                <w:lang w:bidi="ar"/>
              </w:rPr>
              <w:t>企业</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ascii="宋体" w:hAnsi="宋体" w:cs="宋体"/>
                <w:b/>
                <w:kern w:val="0"/>
                <w:sz w:val="20"/>
                <w:szCs w:val="20"/>
                <w:lang w:bidi="ar"/>
              </w:rPr>
              <w:t>科研</w:t>
            </w:r>
          </w:p>
          <w:p>
            <w:pPr>
              <w:widowControl/>
              <w:jc w:val="center"/>
              <w:rPr>
                <w:b/>
              </w:rPr>
            </w:pPr>
            <w:r>
              <w:rPr>
                <w:rFonts w:hint="eastAsia" w:ascii="宋体" w:hAnsi="宋体" w:cs="宋体"/>
                <w:b/>
                <w:kern w:val="0"/>
                <w:sz w:val="20"/>
                <w:szCs w:val="20"/>
                <w:lang w:bidi="ar"/>
              </w:rPr>
              <w:t>机构</w:t>
            </w:r>
          </w:p>
        </w:tc>
        <w:tc>
          <w:tcPr>
            <w:tcW w:w="688" w:type="dxa"/>
            <w:tcBorders>
              <w:top w:val="single" w:color="auto" w:sz="8" w:space="0"/>
              <w:left w:val="nil"/>
              <w:bottom w:val="single" w:color="auto" w:sz="8" w:space="0"/>
              <w:right w:val="single" w:color="auto" w:sz="8" w:space="0"/>
            </w:tcBorders>
            <w:tcMar>
              <w:left w:w="57" w:type="dxa"/>
              <w:right w:w="57" w:type="dxa"/>
            </w:tcMar>
            <w:vAlign w:val="center"/>
          </w:tcPr>
          <w:p>
            <w:pPr>
              <w:widowControl/>
              <w:jc w:val="center"/>
              <w:rPr>
                <w:b/>
              </w:rPr>
            </w:pPr>
            <w:r>
              <w:rPr>
                <w:rFonts w:hint="eastAsia" w:ascii="宋体" w:hAnsi="宋体" w:cs="宋体"/>
                <w:b/>
                <w:kern w:val="0"/>
                <w:sz w:val="20"/>
                <w:szCs w:val="20"/>
                <w:lang w:bidi="ar"/>
              </w:rPr>
              <w:t>社会公益组织</w:t>
            </w:r>
          </w:p>
        </w:tc>
        <w:tc>
          <w:tcPr>
            <w:tcW w:w="688" w:type="dxa"/>
            <w:tcBorders>
              <w:top w:val="single" w:color="auto" w:sz="8" w:space="0"/>
              <w:left w:val="nil"/>
              <w:bottom w:val="single" w:color="auto" w:sz="8" w:space="0"/>
              <w:right w:val="single" w:color="auto" w:sz="8" w:space="0"/>
            </w:tcBorders>
            <w:tcMar>
              <w:left w:w="57" w:type="dxa"/>
              <w:right w:w="57" w:type="dxa"/>
            </w:tcMar>
            <w:vAlign w:val="center"/>
          </w:tcPr>
          <w:p>
            <w:pPr>
              <w:widowControl/>
              <w:jc w:val="center"/>
              <w:rPr>
                <w:b/>
              </w:rPr>
            </w:pPr>
            <w:r>
              <w:rPr>
                <w:rFonts w:hint="eastAsia" w:ascii="宋体" w:hAnsi="宋体" w:cs="宋体"/>
                <w:b/>
                <w:kern w:val="0"/>
                <w:sz w:val="20"/>
                <w:szCs w:val="20"/>
                <w:lang w:bidi="ar"/>
              </w:rPr>
              <w:t>法律服务机构</w:t>
            </w:r>
          </w:p>
        </w:tc>
        <w:tc>
          <w:tcPr>
            <w:tcW w:w="688" w:type="dxa"/>
            <w:tcBorders>
              <w:top w:val="single" w:color="auto" w:sz="8" w:space="0"/>
              <w:left w:val="nil"/>
              <w:bottom w:val="single" w:color="auto" w:sz="8" w:space="0"/>
              <w:right w:val="single" w:color="auto" w:sz="8" w:space="0"/>
            </w:tcBorders>
            <w:tcMar>
              <w:left w:w="57" w:type="dxa"/>
              <w:right w:w="57" w:type="dxa"/>
            </w:tcMar>
            <w:vAlign w:val="center"/>
          </w:tcPr>
          <w:p>
            <w:pPr>
              <w:widowControl/>
              <w:jc w:val="center"/>
              <w:rPr>
                <w:b/>
              </w:rPr>
            </w:pPr>
            <w:r>
              <w:rPr>
                <w:rFonts w:hint="eastAsia" w:ascii="宋体" w:hAnsi="宋体" w:cs="宋体"/>
                <w:b/>
                <w:kern w:val="0"/>
                <w:sz w:val="20"/>
                <w:szCs w:val="20"/>
                <w:lang w:bidi="ar"/>
              </w:rPr>
              <w:t>其他</w:t>
            </w:r>
          </w:p>
        </w:tc>
        <w:tc>
          <w:tcPr>
            <w:tcW w:w="692" w:type="dxa"/>
            <w:vMerge w:val="continue"/>
            <w:tcBorders>
              <w:top w:val="single" w:color="auto" w:sz="8" w:space="0"/>
              <w:left w:val="nil"/>
              <w:bottom w:val="outset" w:color="auto" w:sz="8" w:space="0"/>
              <w:right w:val="single" w:color="auto" w:sz="8" w:space="0"/>
            </w:tcBorders>
            <w:tcMar>
              <w:left w:w="57" w:type="dxa"/>
              <w:right w:w="57" w:type="dxa"/>
            </w:tcMar>
            <w:vAlign w:val="center"/>
          </w:tcPr>
          <w:p>
            <w:pPr>
              <w:rPr>
                <w:rFonts w:ascii="宋体"/>
                <w:b/>
                <w:sz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27" w:hRule="atLeast"/>
          <w:jc w:val="center"/>
        </w:trPr>
        <w:tc>
          <w:tcPr>
            <w:tcW w:w="4928" w:type="dxa"/>
            <w:gridSpan w:val="3"/>
            <w:tcBorders>
              <w:top w:val="nil"/>
              <w:left w:val="single" w:color="auto" w:sz="8" w:space="0"/>
              <w:bottom w:val="single" w:color="auto" w:sz="8" w:space="0"/>
              <w:right w:val="single" w:color="auto" w:sz="8" w:space="0"/>
            </w:tcBorders>
            <w:tcMar>
              <w:left w:w="57" w:type="dxa"/>
              <w:right w:w="57" w:type="dxa"/>
            </w:tcMar>
            <w:vAlign w:val="center"/>
          </w:tcPr>
          <w:p>
            <w:pPr>
              <w:widowControl/>
              <w:jc w:val="left"/>
              <w:rPr>
                <w:b/>
              </w:rPr>
            </w:pPr>
            <w:r>
              <w:rPr>
                <w:rFonts w:hint="eastAsia" w:ascii="宋体" w:hAnsi="宋体" w:cs="宋体"/>
                <w:b/>
                <w:kern w:val="0"/>
                <w:sz w:val="20"/>
                <w:szCs w:val="20"/>
                <w:lang w:bidi="ar"/>
              </w:rPr>
              <w:t>一、本年新收政府信息公开申请数量</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58</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6</w:t>
            </w:r>
            <w:r>
              <w:rPr>
                <w:rFonts w:cs="Calibri"/>
                <w:b/>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r>
              <w:rPr>
                <w:rFonts w:cs="Calibri"/>
                <w:b/>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r>
              <w:rPr>
                <w:rFonts w:cs="Calibri"/>
                <w:b/>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r>
              <w:rPr>
                <w:rFonts w:cs="Calibri"/>
                <w:b/>
                <w:kern w:val="0"/>
                <w:sz w:val="20"/>
                <w:szCs w:val="20"/>
                <w:lang w:bidi="ar"/>
              </w:rPr>
              <w:t> </w:t>
            </w:r>
          </w:p>
        </w:tc>
        <w:tc>
          <w:tcPr>
            <w:tcW w:w="692" w:type="dxa"/>
            <w:tcBorders>
              <w:top w:val="nil"/>
              <w:left w:val="nil"/>
              <w:bottom w:val="single" w:color="auto" w:sz="8" w:space="0"/>
              <w:right w:val="single" w:color="auto" w:sz="8" w:space="0"/>
            </w:tcBorders>
            <w:tcMar>
              <w:left w:w="57" w:type="dxa"/>
              <w:right w:w="57" w:type="dxa"/>
            </w:tcMar>
          </w:tcPr>
          <w:p>
            <w:pPr>
              <w:widowControl/>
              <w:jc w:val="center"/>
              <w:rPr>
                <w:b/>
              </w:rPr>
            </w:pPr>
            <w:r>
              <w:rPr>
                <w:rFonts w:hint="eastAsia" w:cs="Calibri"/>
                <w:b/>
                <w:kern w:val="0"/>
                <w:sz w:val="20"/>
                <w:szCs w:val="20"/>
                <w:lang w:bidi="ar"/>
              </w:rPr>
              <w:t>64</w:t>
            </w:r>
            <w:r>
              <w:rPr>
                <w:rFonts w:cs="Calibri"/>
                <w:b/>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28" w:type="dxa"/>
            <w:gridSpan w:val="3"/>
            <w:tcBorders>
              <w:top w:val="nil"/>
              <w:left w:val="single" w:color="auto" w:sz="8" w:space="0"/>
              <w:bottom w:val="single" w:color="auto" w:sz="8" w:space="0"/>
              <w:right w:val="single" w:color="auto" w:sz="8" w:space="0"/>
            </w:tcBorders>
            <w:tcMar>
              <w:left w:w="57" w:type="dxa"/>
              <w:right w:w="57" w:type="dxa"/>
            </w:tcMar>
            <w:vAlign w:val="center"/>
          </w:tcPr>
          <w:p>
            <w:pPr>
              <w:widowControl/>
              <w:jc w:val="left"/>
              <w:rPr>
                <w:b/>
              </w:rPr>
            </w:pPr>
            <w:r>
              <w:rPr>
                <w:rFonts w:hint="eastAsia" w:ascii="宋体" w:hAnsi="宋体" w:cs="宋体"/>
                <w:b/>
                <w:kern w:val="0"/>
                <w:sz w:val="20"/>
                <w:szCs w:val="20"/>
                <w:lang w:bidi="ar"/>
              </w:rPr>
              <w:t>二、上年结转政府信息公开申请数量</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cs="Calibri"/>
                <w:b/>
                <w:kern w:val="0"/>
                <w:sz w:val="20"/>
                <w:szCs w:val="20"/>
                <w:lang w:bidi="ar"/>
              </w:rPr>
              <w:t> </w:t>
            </w:r>
            <w:r>
              <w:rPr>
                <w:rFonts w:hint="eastAsia" w:cs="Calibri"/>
                <w:b/>
                <w:kern w:val="0"/>
                <w:sz w:val="20"/>
                <w:szCs w:val="20"/>
                <w:lang w:bidi="ar"/>
              </w:rPr>
              <w:t>3</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r>
              <w:rPr>
                <w:rFonts w:cs="Calibri"/>
                <w:b/>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r>
              <w:rPr>
                <w:rFonts w:cs="Calibri"/>
                <w:b/>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r>
              <w:rPr>
                <w:rFonts w:cs="Calibri"/>
                <w:b/>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r>
              <w:rPr>
                <w:rFonts w:cs="Calibri"/>
                <w:b/>
                <w:kern w:val="0"/>
                <w:sz w:val="20"/>
                <w:szCs w:val="20"/>
                <w:lang w:bidi="ar"/>
              </w:rPr>
              <w:t> </w:t>
            </w:r>
          </w:p>
        </w:tc>
        <w:tc>
          <w:tcPr>
            <w:tcW w:w="692" w:type="dxa"/>
            <w:tcBorders>
              <w:top w:val="nil"/>
              <w:left w:val="nil"/>
              <w:bottom w:val="single" w:color="auto" w:sz="8" w:space="0"/>
              <w:right w:val="single" w:color="auto" w:sz="8" w:space="0"/>
            </w:tcBorders>
            <w:tcMar>
              <w:left w:w="57" w:type="dxa"/>
              <w:right w:w="57" w:type="dxa"/>
            </w:tcMar>
          </w:tcPr>
          <w:p>
            <w:pPr>
              <w:widowControl/>
              <w:jc w:val="center"/>
              <w:rPr>
                <w:b/>
              </w:rPr>
            </w:pPr>
            <w:r>
              <w:rPr>
                <w:rFonts w:hint="eastAsia" w:cs="Calibri"/>
                <w:b/>
                <w:kern w:val="0"/>
                <w:sz w:val="20"/>
                <w:szCs w:val="20"/>
                <w:lang w:bidi="ar"/>
              </w:rPr>
              <w:t>3</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restart"/>
            <w:tcBorders>
              <w:top w:val="nil"/>
              <w:left w:val="single" w:color="auto" w:sz="8" w:space="0"/>
              <w:bottom w:val="outset" w:color="auto" w:sz="8" w:space="0"/>
              <w:right w:val="single" w:color="auto" w:sz="8" w:space="0"/>
            </w:tcBorders>
            <w:tcMar>
              <w:left w:w="57" w:type="dxa"/>
              <w:right w:w="57" w:type="dxa"/>
            </w:tcMar>
            <w:vAlign w:val="center"/>
          </w:tcPr>
          <w:p>
            <w:pPr>
              <w:widowControl/>
              <w:jc w:val="left"/>
              <w:rPr>
                <w:b/>
              </w:rPr>
            </w:pPr>
            <w:r>
              <w:rPr>
                <w:rFonts w:hint="eastAsia" w:ascii="宋体" w:hAnsi="宋体" w:cs="宋体"/>
                <w:b/>
                <w:kern w:val="0"/>
                <w:sz w:val="20"/>
                <w:szCs w:val="20"/>
                <w:lang w:bidi="ar"/>
              </w:rPr>
              <w:t>三、本年度办理结果</w:t>
            </w:r>
          </w:p>
        </w:tc>
        <w:tc>
          <w:tcPr>
            <w:tcW w:w="4161" w:type="dxa"/>
            <w:gridSpan w:val="2"/>
            <w:tcBorders>
              <w:top w:val="nil"/>
              <w:left w:val="nil"/>
              <w:bottom w:val="single" w:color="auto" w:sz="8" w:space="0"/>
              <w:right w:val="single" w:color="auto" w:sz="8" w:space="0"/>
            </w:tcBorders>
            <w:tcMar>
              <w:left w:w="57" w:type="dxa"/>
              <w:right w:w="57" w:type="dxa"/>
            </w:tcMar>
            <w:vAlign w:val="center"/>
          </w:tcPr>
          <w:p>
            <w:pPr>
              <w:widowControl/>
              <w:jc w:val="left"/>
              <w:rPr>
                <w:b/>
              </w:rPr>
            </w:pPr>
            <w:r>
              <w:rPr>
                <w:rFonts w:hint="eastAsia" w:ascii="宋体" w:hAnsi="宋体" w:cs="宋体"/>
                <w:b/>
                <w:kern w:val="0"/>
                <w:sz w:val="20"/>
                <w:szCs w:val="20"/>
                <w:lang w:bidi="ar"/>
              </w:rPr>
              <w:t>（一）予以公开</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10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r>
              <w:rPr>
                <w:rFonts w:cs="Calibri"/>
                <w:b/>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r>
              <w:rPr>
                <w:rFonts w:cs="Calibri"/>
                <w:b/>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r>
              <w:rPr>
                <w:rFonts w:cs="Calibri"/>
                <w:b/>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r>
              <w:rPr>
                <w:rFonts w:cs="Calibri"/>
                <w:b/>
                <w:kern w:val="0"/>
                <w:sz w:val="20"/>
                <w:szCs w:val="20"/>
                <w:lang w:bidi="ar"/>
              </w:rPr>
              <w:t> </w:t>
            </w:r>
          </w:p>
        </w:tc>
        <w:tc>
          <w:tcPr>
            <w:tcW w:w="692" w:type="dxa"/>
            <w:tcBorders>
              <w:top w:val="single" w:color="auto" w:sz="8" w:space="0"/>
              <w:left w:val="nil"/>
              <w:bottom w:val="single" w:color="auto" w:sz="8" w:space="0"/>
              <w:right w:val="single" w:color="auto" w:sz="8" w:space="0"/>
            </w:tcBorders>
            <w:tcMar>
              <w:left w:w="57" w:type="dxa"/>
              <w:right w:w="57" w:type="dxa"/>
            </w:tcMar>
          </w:tcPr>
          <w:p>
            <w:pPr>
              <w:widowControl/>
              <w:jc w:val="center"/>
              <w:rPr>
                <w:b/>
              </w:rPr>
            </w:pPr>
            <w:r>
              <w:rPr>
                <w:rFonts w:cs="Calibri"/>
                <w:b/>
                <w:kern w:val="0"/>
                <w:sz w:val="20"/>
                <w:szCs w:val="20"/>
                <w:lang w:bidi="ar"/>
              </w:rPr>
              <w:t> </w:t>
            </w:r>
            <w:r>
              <w:rPr>
                <w:rFonts w:hint="eastAsia" w:cs="Calibri"/>
                <w:b/>
                <w:kern w:val="0"/>
                <w:sz w:val="20"/>
                <w:szCs w:val="20"/>
                <w:lang w:bidi="ar"/>
              </w:rPr>
              <w:t>10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tcMar>
              <w:left w:w="57" w:type="dxa"/>
              <w:right w:w="57" w:type="dxa"/>
            </w:tcMar>
            <w:vAlign w:val="center"/>
          </w:tcPr>
          <w:p>
            <w:pPr>
              <w:rPr>
                <w:rFonts w:ascii="宋体"/>
                <w:b/>
                <w:sz w:val="24"/>
              </w:rPr>
            </w:pPr>
          </w:p>
        </w:tc>
        <w:tc>
          <w:tcPr>
            <w:tcW w:w="4161" w:type="dxa"/>
            <w:gridSpan w:val="2"/>
            <w:tcBorders>
              <w:top w:val="nil"/>
              <w:left w:val="nil"/>
              <w:bottom w:val="single" w:color="auto" w:sz="8" w:space="0"/>
              <w:right w:val="single" w:color="auto" w:sz="8" w:space="0"/>
            </w:tcBorders>
            <w:tcMar>
              <w:left w:w="57" w:type="dxa"/>
              <w:right w:w="57" w:type="dxa"/>
            </w:tcMar>
            <w:vAlign w:val="center"/>
          </w:tcPr>
          <w:p>
            <w:pPr>
              <w:widowControl/>
              <w:jc w:val="left"/>
              <w:rPr>
                <w:b/>
              </w:rPr>
            </w:pPr>
            <w:r>
              <w:rPr>
                <w:rFonts w:hint="eastAsia" w:ascii="宋体" w:hAnsi="宋体" w:cs="宋体"/>
                <w:b/>
                <w:kern w:val="0"/>
                <w:sz w:val="20"/>
                <w:szCs w:val="20"/>
                <w:lang w:bidi="ar"/>
              </w:rPr>
              <w:t>（二）部分公开</w:t>
            </w:r>
            <w:r>
              <w:rPr>
                <w:rFonts w:hint="eastAsia" w:ascii="楷体" w:hAnsi="楷体" w:eastAsia="楷体" w:cs="楷体"/>
                <w:b/>
                <w:kern w:val="0"/>
                <w:sz w:val="20"/>
                <w:szCs w:val="20"/>
                <w:lang w:bidi="ar"/>
              </w:rPr>
              <w:t>（区分处理的，只计这一情形，不计其他情形）</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cs="Calibri"/>
                <w:b/>
                <w:kern w:val="0"/>
                <w:sz w:val="20"/>
                <w:szCs w:val="20"/>
                <w:lang w:bidi="ar"/>
              </w:rPr>
              <w:t> </w:t>
            </w:r>
            <w:r>
              <w:rPr>
                <w:rFonts w:hint="eastAsia" w:cs="Calibri"/>
                <w:b/>
                <w:kern w:val="0"/>
                <w:sz w:val="20"/>
                <w:szCs w:val="20"/>
                <w:lang w:bidi="ar"/>
              </w:rPr>
              <w:t>7</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cs="Calibri"/>
                <w:b/>
                <w:kern w:val="0"/>
                <w:sz w:val="20"/>
                <w:szCs w:val="20"/>
                <w:lang w:bidi="ar"/>
              </w:rPr>
              <w:t> </w:t>
            </w:r>
            <w:r>
              <w:rPr>
                <w:rFonts w:hint="eastAsia" w:cs="Calibri"/>
                <w:b/>
                <w:kern w:val="0"/>
                <w:sz w:val="20"/>
                <w:szCs w:val="20"/>
                <w:lang w:bidi="ar"/>
              </w:rPr>
              <w:t>1</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r>
              <w:rPr>
                <w:rFonts w:cs="Calibri"/>
                <w:b/>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r>
              <w:rPr>
                <w:rFonts w:cs="Calibri"/>
                <w:b/>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rFonts w:cs="Calibri"/>
                <w:b/>
                <w:kern w:val="0"/>
                <w:sz w:val="20"/>
                <w:szCs w:val="20"/>
                <w:lang w:bidi="ar"/>
              </w:rPr>
            </w:pPr>
            <w:r>
              <w:rPr>
                <w:rFonts w:hint="eastAsia" w:cs="Calibri"/>
                <w:b/>
                <w:kern w:val="0"/>
                <w:sz w:val="20"/>
                <w:szCs w:val="20"/>
                <w:lang w:bidi="ar"/>
              </w:rPr>
              <w:t>0</w:t>
            </w:r>
            <w:r>
              <w:rPr>
                <w:rFonts w:cs="Calibri"/>
                <w:b/>
                <w:kern w:val="0"/>
                <w:sz w:val="20"/>
                <w:szCs w:val="20"/>
                <w:lang w:bidi="ar"/>
              </w:rPr>
              <w:t> </w:t>
            </w:r>
          </w:p>
        </w:tc>
        <w:tc>
          <w:tcPr>
            <w:tcW w:w="692" w:type="dxa"/>
            <w:tcBorders>
              <w:top w:val="nil"/>
              <w:left w:val="nil"/>
              <w:bottom w:val="single" w:color="auto" w:sz="8" w:space="0"/>
              <w:right w:val="single" w:color="auto" w:sz="8" w:space="0"/>
            </w:tcBorders>
            <w:tcMar>
              <w:left w:w="57" w:type="dxa"/>
              <w:right w:w="57" w:type="dxa"/>
            </w:tcMar>
            <w:vAlign w:val="center"/>
          </w:tcPr>
          <w:p>
            <w:pPr>
              <w:widowControl/>
              <w:jc w:val="center"/>
              <w:rPr>
                <w:rFonts w:cs="Calibri"/>
                <w:b/>
                <w:kern w:val="0"/>
                <w:sz w:val="20"/>
                <w:szCs w:val="20"/>
                <w:lang w:bidi="ar"/>
              </w:rPr>
            </w:pPr>
            <w:r>
              <w:rPr>
                <w:rFonts w:hint="eastAsia" w:cs="Calibri"/>
                <w:b/>
                <w:kern w:val="0"/>
                <w:sz w:val="20"/>
                <w:szCs w:val="20"/>
                <w:lang w:bidi="ar"/>
              </w:rPr>
              <w:t>8</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tcMar>
              <w:left w:w="57" w:type="dxa"/>
              <w:right w:w="57" w:type="dxa"/>
            </w:tcMar>
            <w:vAlign w:val="center"/>
          </w:tcPr>
          <w:p>
            <w:pPr>
              <w:rPr>
                <w:rFonts w:ascii="宋体"/>
                <w:b/>
                <w:sz w:val="24"/>
              </w:rPr>
            </w:pPr>
          </w:p>
        </w:tc>
        <w:tc>
          <w:tcPr>
            <w:tcW w:w="943" w:type="dxa"/>
            <w:vMerge w:val="restart"/>
            <w:tcBorders>
              <w:top w:val="nil"/>
              <w:left w:val="nil"/>
              <w:bottom w:val="outset" w:color="auto" w:sz="8" w:space="0"/>
              <w:right w:val="single" w:color="auto" w:sz="8" w:space="0"/>
            </w:tcBorders>
            <w:tcMar>
              <w:left w:w="57" w:type="dxa"/>
              <w:right w:w="57" w:type="dxa"/>
            </w:tcMar>
            <w:vAlign w:val="center"/>
          </w:tcPr>
          <w:p>
            <w:pPr>
              <w:widowControl/>
              <w:jc w:val="left"/>
              <w:rPr>
                <w:b/>
              </w:rPr>
            </w:pPr>
            <w:r>
              <w:rPr>
                <w:rFonts w:hint="eastAsia" w:ascii="宋体" w:hAnsi="宋体" w:cs="宋体"/>
                <w:b/>
                <w:kern w:val="0"/>
                <w:sz w:val="20"/>
                <w:szCs w:val="20"/>
                <w:lang w:bidi="ar"/>
              </w:rPr>
              <w:t>（三）不予公开</w:t>
            </w:r>
          </w:p>
        </w:tc>
        <w:tc>
          <w:tcPr>
            <w:tcW w:w="3218" w:type="dxa"/>
            <w:tcBorders>
              <w:top w:val="nil"/>
              <w:left w:val="nil"/>
              <w:bottom w:val="single" w:color="auto" w:sz="8" w:space="0"/>
              <w:right w:val="single" w:color="auto" w:sz="8" w:space="0"/>
            </w:tcBorders>
            <w:tcMar>
              <w:left w:w="57" w:type="dxa"/>
              <w:right w:w="57" w:type="dxa"/>
            </w:tcMar>
          </w:tcPr>
          <w:p>
            <w:pPr>
              <w:widowControl/>
              <w:jc w:val="left"/>
              <w:rPr>
                <w:b/>
              </w:rPr>
            </w:pPr>
            <w:r>
              <w:rPr>
                <w:rFonts w:hint="eastAsia" w:ascii="宋体" w:hAnsi="宋体" w:cs="宋体"/>
                <w:b/>
                <w:kern w:val="0"/>
                <w:sz w:val="20"/>
                <w:szCs w:val="20"/>
                <w:lang w:bidi="ar"/>
              </w:rPr>
              <w:t>1.属于国家秘密</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r>
              <w:rPr>
                <w:rFonts w:cs="Calibri"/>
                <w:b/>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r>
              <w:rPr>
                <w:rFonts w:cs="Calibri"/>
                <w:b/>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r>
              <w:rPr>
                <w:rFonts w:cs="Calibri"/>
                <w:b/>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r>
              <w:rPr>
                <w:rFonts w:cs="Calibri"/>
                <w:b/>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rFonts w:cs="Calibri"/>
                <w:b/>
                <w:kern w:val="0"/>
                <w:sz w:val="20"/>
                <w:szCs w:val="20"/>
                <w:lang w:bidi="ar"/>
              </w:rPr>
            </w:pPr>
            <w:r>
              <w:rPr>
                <w:rFonts w:hint="eastAsia" w:cs="Calibri"/>
                <w:b/>
                <w:kern w:val="0"/>
                <w:sz w:val="20"/>
                <w:szCs w:val="20"/>
                <w:lang w:bidi="ar"/>
              </w:rPr>
              <w:t>0</w:t>
            </w:r>
            <w:r>
              <w:rPr>
                <w:rFonts w:cs="Calibri"/>
                <w:b/>
                <w:kern w:val="0"/>
                <w:sz w:val="20"/>
                <w:szCs w:val="20"/>
                <w:lang w:bidi="ar"/>
              </w:rPr>
              <w:t> </w:t>
            </w:r>
          </w:p>
        </w:tc>
        <w:tc>
          <w:tcPr>
            <w:tcW w:w="692" w:type="dxa"/>
            <w:tcBorders>
              <w:top w:val="single" w:color="auto" w:sz="8" w:space="0"/>
              <w:left w:val="nil"/>
              <w:bottom w:val="single" w:color="auto" w:sz="8" w:space="0"/>
              <w:right w:val="single" w:color="auto" w:sz="8" w:space="0"/>
            </w:tcBorders>
            <w:tcMar>
              <w:left w:w="57" w:type="dxa"/>
              <w:right w:w="57" w:type="dxa"/>
            </w:tcMar>
            <w:vAlign w:val="center"/>
          </w:tcPr>
          <w:p>
            <w:pPr>
              <w:widowControl/>
              <w:jc w:val="center"/>
              <w:rPr>
                <w:rFonts w:cs="Calibri"/>
                <w:b/>
                <w:kern w:val="0"/>
                <w:sz w:val="20"/>
                <w:szCs w:val="20"/>
                <w:lang w:bidi="ar"/>
              </w:rPr>
            </w:pPr>
            <w:r>
              <w:rPr>
                <w:rFonts w:hint="eastAsia" w:cs="Calibri"/>
                <w:b/>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tcMar>
              <w:left w:w="57" w:type="dxa"/>
              <w:right w:w="57" w:type="dxa"/>
            </w:tcMar>
            <w:vAlign w:val="center"/>
          </w:tcPr>
          <w:p>
            <w:pPr>
              <w:rPr>
                <w:rFonts w:ascii="宋体"/>
                <w:b/>
                <w:sz w:val="24"/>
              </w:rPr>
            </w:pPr>
          </w:p>
        </w:tc>
        <w:tc>
          <w:tcPr>
            <w:tcW w:w="943" w:type="dxa"/>
            <w:vMerge w:val="continue"/>
            <w:tcBorders>
              <w:top w:val="nil"/>
              <w:left w:val="nil"/>
              <w:bottom w:val="outset" w:color="auto" w:sz="8" w:space="0"/>
              <w:right w:val="single" w:color="auto" w:sz="8" w:space="0"/>
            </w:tcBorders>
            <w:tcMar>
              <w:left w:w="57" w:type="dxa"/>
              <w:right w:w="57" w:type="dxa"/>
            </w:tcMar>
            <w:vAlign w:val="center"/>
          </w:tcPr>
          <w:p>
            <w:pPr>
              <w:rPr>
                <w:rFonts w:ascii="宋体"/>
                <w:b/>
                <w:sz w:val="24"/>
              </w:rPr>
            </w:pPr>
          </w:p>
        </w:tc>
        <w:tc>
          <w:tcPr>
            <w:tcW w:w="3218" w:type="dxa"/>
            <w:tcBorders>
              <w:top w:val="nil"/>
              <w:left w:val="nil"/>
              <w:bottom w:val="single" w:color="auto" w:sz="8" w:space="0"/>
              <w:right w:val="single" w:color="auto" w:sz="8" w:space="0"/>
            </w:tcBorders>
            <w:tcMar>
              <w:left w:w="57" w:type="dxa"/>
              <w:right w:w="57" w:type="dxa"/>
            </w:tcMar>
          </w:tcPr>
          <w:p>
            <w:pPr>
              <w:widowControl/>
              <w:jc w:val="left"/>
              <w:rPr>
                <w:b/>
              </w:rPr>
            </w:pPr>
            <w:r>
              <w:rPr>
                <w:rFonts w:hint="eastAsia" w:ascii="宋体" w:hAnsi="宋体" w:cs="宋体"/>
                <w:b/>
                <w:kern w:val="0"/>
                <w:sz w:val="20"/>
                <w:szCs w:val="20"/>
                <w:lang w:bidi="ar"/>
              </w:rPr>
              <w:t>2.其他法律行政法规禁止公开</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r>
              <w:rPr>
                <w:rFonts w:cs="Calibri"/>
                <w:b/>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r>
              <w:rPr>
                <w:rFonts w:cs="Calibri"/>
                <w:b/>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r>
              <w:rPr>
                <w:rFonts w:cs="Calibri"/>
                <w:b/>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r>
              <w:rPr>
                <w:rFonts w:cs="Calibri"/>
                <w:b/>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rFonts w:cs="Calibri"/>
                <w:b/>
                <w:kern w:val="0"/>
                <w:sz w:val="20"/>
                <w:szCs w:val="20"/>
                <w:lang w:bidi="ar"/>
              </w:rPr>
            </w:pPr>
            <w:r>
              <w:rPr>
                <w:rFonts w:hint="eastAsia" w:cs="Calibri"/>
                <w:b/>
                <w:kern w:val="0"/>
                <w:sz w:val="20"/>
                <w:szCs w:val="20"/>
                <w:lang w:bidi="ar"/>
              </w:rPr>
              <w:t>0</w:t>
            </w:r>
            <w:r>
              <w:rPr>
                <w:rFonts w:cs="Calibri"/>
                <w:b/>
                <w:kern w:val="0"/>
                <w:sz w:val="20"/>
                <w:szCs w:val="20"/>
                <w:lang w:bidi="ar"/>
              </w:rPr>
              <w:t> </w:t>
            </w:r>
          </w:p>
        </w:tc>
        <w:tc>
          <w:tcPr>
            <w:tcW w:w="692" w:type="dxa"/>
            <w:tcBorders>
              <w:top w:val="nil"/>
              <w:left w:val="nil"/>
              <w:bottom w:val="single" w:color="auto" w:sz="8" w:space="0"/>
              <w:right w:val="single" w:color="auto" w:sz="8" w:space="0"/>
            </w:tcBorders>
            <w:tcMar>
              <w:left w:w="57" w:type="dxa"/>
              <w:right w:w="57" w:type="dxa"/>
            </w:tcMar>
            <w:vAlign w:val="center"/>
          </w:tcPr>
          <w:p>
            <w:pPr>
              <w:widowControl/>
              <w:jc w:val="center"/>
              <w:rPr>
                <w:rFonts w:cs="Calibri"/>
                <w:b/>
                <w:kern w:val="0"/>
                <w:sz w:val="20"/>
                <w:szCs w:val="20"/>
                <w:lang w:bidi="ar"/>
              </w:rPr>
            </w:pPr>
            <w:r>
              <w:rPr>
                <w:rFonts w:hint="eastAsia" w:cs="Calibri"/>
                <w:b/>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255" w:hRule="atLeast"/>
          <w:jc w:val="center"/>
        </w:trPr>
        <w:tc>
          <w:tcPr>
            <w:tcW w:w="767" w:type="dxa"/>
            <w:vMerge w:val="continue"/>
            <w:tcBorders>
              <w:top w:val="nil"/>
              <w:left w:val="single" w:color="auto" w:sz="8" w:space="0"/>
              <w:bottom w:val="outset" w:color="auto" w:sz="8" w:space="0"/>
              <w:right w:val="single" w:color="auto" w:sz="8" w:space="0"/>
            </w:tcBorders>
            <w:tcMar>
              <w:left w:w="57" w:type="dxa"/>
              <w:right w:w="57" w:type="dxa"/>
            </w:tcMar>
            <w:vAlign w:val="center"/>
          </w:tcPr>
          <w:p>
            <w:pPr>
              <w:rPr>
                <w:rFonts w:ascii="宋体"/>
                <w:b/>
                <w:sz w:val="24"/>
              </w:rPr>
            </w:pPr>
          </w:p>
        </w:tc>
        <w:tc>
          <w:tcPr>
            <w:tcW w:w="943" w:type="dxa"/>
            <w:vMerge w:val="continue"/>
            <w:tcBorders>
              <w:top w:val="nil"/>
              <w:left w:val="nil"/>
              <w:bottom w:val="outset" w:color="auto" w:sz="8" w:space="0"/>
              <w:right w:val="single" w:color="auto" w:sz="8" w:space="0"/>
            </w:tcBorders>
            <w:tcMar>
              <w:left w:w="57" w:type="dxa"/>
              <w:right w:w="57" w:type="dxa"/>
            </w:tcMar>
            <w:vAlign w:val="center"/>
          </w:tcPr>
          <w:p>
            <w:pPr>
              <w:rPr>
                <w:rFonts w:ascii="宋体"/>
                <w:b/>
                <w:sz w:val="24"/>
              </w:rPr>
            </w:pPr>
          </w:p>
        </w:tc>
        <w:tc>
          <w:tcPr>
            <w:tcW w:w="3218" w:type="dxa"/>
            <w:tcBorders>
              <w:top w:val="nil"/>
              <w:left w:val="nil"/>
              <w:bottom w:val="single" w:color="auto" w:sz="8" w:space="0"/>
              <w:right w:val="single" w:color="auto" w:sz="8" w:space="0"/>
            </w:tcBorders>
            <w:tcMar>
              <w:left w:w="57" w:type="dxa"/>
              <w:right w:w="57" w:type="dxa"/>
            </w:tcMar>
          </w:tcPr>
          <w:p>
            <w:pPr>
              <w:widowControl/>
              <w:jc w:val="left"/>
              <w:rPr>
                <w:b/>
              </w:rPr>
            </w:pPr>
            <w:r>
              <w:rPr>
                <w:rFonts w:hint="eastAsia" w:ascii="宋体" w:hAnsi="宋体" w:cs="宋体"/>
                <w:b/>
                <w:kern w:val="0"/>
                <w:sz w:val="20"/>
                <w:szCs w:val="20"/>
                <w:lang w:bidi="ar"/>
              </w:rPr>
              <w:t>3.危及“三安全一稳定”</w:t>
            </w:r>
          </w:p>
        </w:tc>
        <w:tc>
          <w:tcPr>
            <w:tcW w:w="688" w:type="dxa"/>
            <w:tcBorders>
              <w:top w:val="nil"/>
              <w:left w:val="nil"/>
              <w:bottom w:val="single" w:color="auto" w:sz="8" w:space="0"/>
              <w:right w:val="single" w:color="auto" w:sz="8" w:space="0"/>
            </w:tcBorders>
            <w:tcMar>
              <w:left w:w="57" w:type="dxa"/>
              <w:right w:w="57" w:type="dxa"/>
            </w:tcMar>
          </w:tcPr>
          <w:p>
            <w:pPr>
              <w:widowControl/>
              <w:jc w:val="center"/>
              <w:rPr>
                <w:b/>
              </w:rPr>
            </w:pPr>
            <w:r>
              <w:rPr>
                <w:rFonts w:cs="Calibri"/>
                <w:b/>
                <w:kern w:val="0"/>
                <w:sz w:val="20"/>
                <w:szCs w:val="20"/>
                <w:lang w:bidi="ar"/>
              </w:rPr>
              <w:t> </w:t>
            </w:r>
            <w:r>
              <w:rPr>
                <w:rFonts w:hint="eastAsia" w:cs="Calibri"/>
                <w:b/>
                <w:kern w:val="0"/>
                <w:sz w:val="20"/>
                <w:szCs w:val="20"/>
                <w:lang w:bidi="ar"/>
              </w:rPr>
              <w:t>1</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r>
              <w:rPr>
                <w:rFonts w:cs="Calibri"/>
                <w:b/>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r>
              <w:rPr>
                <w:rFonts w:cs="Calibri"/>
                <w:b/>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r>
              <w:rPr>
                <w:rFonts w:cs="Calibri"/>
                <w:b/>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rFonts w:cs="Calibri"/>
                <w:b/>
                <w:kern w:val="0"/>
                <w:sz w:val="20"/>
                <w:szCs w:val="20"/>
                <w:lang w:bidi="ar"/>
              </w:rPr>
            </w:pPr>
            <w:r>
              <w:rPr>
                <w:rFonts w:hint="eastAsia" w:cs="Calibri"/>
                <w:b/>
                <w:kern w:val="0"/>
                <w:sz w:val="20"/>
                <w:szCs w:val="20"/>
                <w:lang w:bidi="ar"/>
              </w:rPr>
              <w:t>0</w:t>
            </w:r>
            <w:r>
              <w:rPr>
                <w:rFonts w:cs="Calibri"/>
                <w:b/>
                <w:kern w:val="0"/>
                <w:sz w:val="20"/>
                <w:szCs w:val="20"/>
                <w:lang w:bidi="ar"/>
              </w:rPr>
              <w:t> </w:t>
            </w:r>
          </w:p>
        </w:tc>
        <w:tc>
          <w:tcPr>
            <w:tcW w:w="692" w:type="dxa"/>
            <w:tcBorders>
              <w:top w:val="nil"/>
              <w:left w:val="nil"/>
              <w:bottom w:val="single" w:color="auto" w:sz="8" w:space="0"/>
              <w:right w:val="single" w:color="auto" w:sz="8" w:space="0"/>
            </w:tcBorders>
            <w:tcMar>
              <w:left w:w="57" w:type="dxa"/>
              <w:right w:w="57" w:type="dxa"/>
            </w:tcMar>
          </w:tcPr>
          <w:p>
            <w:pPr>
              <w:widowControl/>
              <w:jc w:val="center"/>
              <w:rPr>
                <w:rFonts w:cs="Calibri"/>
                <w:b/>
                <w:kern w:val="0"/>
                <w:sz w:val="20"/>
                <w:szCs w:val="20"/>
                <w:lang w:bidi="ar"/>
              </w:rPr>
            </w:pPr>
            <w:r>
              <w:rPr>
                <w:rFonts w:cs="Calibri"/>
                <w:b/>
                <w:kern w:val="0"/>
                <w:sz w:val="20"/>
                <w:szCs w:val="20"/>
                <w:lang w:bidi="ar"/>
              </w:rPr>
              <w:t> </w:t>
            </w:r>
            <w:r>
              <w:rPr>
                <w:rFonts w:hint="eastAsia" w:cs="Calibri"/>
                <w:b/>
                <w:kern w:val="0"/>
                <w:sz w:val="20"/>
                <w:szCs w:val="20"/>
                <w:lang w:bidi="ar"/>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tcMar>
              <w:left w:w="57" w:type="dxa"/>
              <w:right w:w="57" w:type="dxa"/>
            </w:tcMar>
            <w:vAlign w:val="center"/>
          </w:tcPr>
          <w:p>
            <w:pPr>
              <w:rPr>
                <w:rFonts w:ascii="宋体"/>
                <w:b/>
                <w:sz w:val="24"/>
              </w:rPr>
            </w:pPr>
          </w:p>
        </w:tc>
        <w:tc>
          <w:tcPr>
            <w:tcW w:w="943" w:type="dxa"/>
            <w:vMerge w:val="continue"/>
            <w:tcBorders>
              <w:top w:val="nil"/>
              <w:left w:val="nil"/>
              <w:bottom w:val="outset" w:color="auto" w:sz="8" w:space="0"/>
              <w:right w:val="single" w:color="auto" w:sz="8" w:space="0"/>
            </w:tcBorders>
            <w:tcMar>
              <w:left w:w="57" w:type="dxa"/>
              <w:right w:w="57" w:type="dxa"/>
            </w:tcMar>
            <w:vAlign w:val="center"/>
          </w:tcPr>
          <w:p>
            <w:pPr>
              <w:rPr>
                <w:rFonts w:ascii="宋体"/>
                <w:b/>
                <w:sz w:val="24"/>
              </w:rPr>
            </w:pPr>
          </w:p>
        </w:tc>
        <w:tc>
          <w:tcPr>
            <w:tcW w:w="3218" w:type="dxa"/>
            <w:tcBorders>
              <w:top w:val="nil"/>
              <w:left w:val="nil"/>
              <w:bottom w:val="single" w:color="auto" w:sz="8" w:space="0"/>
              <w:right w:val="single" w:color="auto" w:sz="8" w:space="0"/>
            </w:tcBorders>
            <w:tcMar>
              <w:left w:w="57" w:type="dxa"/>
              <w:right w:w="57" w:type="dxa"/>
            </w:tcMar>
          </w:tcPr>
          <w:p>
            <w:pPr>
              <w:widowControl/>
              <w:jc w:val="left"/>
              <w:rPr>
                <w:b/>
              </w:rPr>
            </w:pPr>
            <w:r>
              <w:rPr>
                <w:rFonts w:hint="eastAsia" w:ascii="宋体" w:hAnsi="宋体" w:cs="宋体"/>
                <w:b/>
                <w:kern w:val="0"/>
                <w:sz w:val="20"/>
                <w:szCs w:val="20"/>
                <w:lang w:bidi="ar"/>
              </w:rPr>
              <w:t>4.保护第三方合法权益</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r>
              <w:rPr>
                <w:rFonts w:cs="Calibri"/>
                <w:b/>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r>
              <w:rPr>
                <w:rFonts w:cs="Calibri"/>
                <w:b/>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r>
              <w:rPr>
                <w:rFonts w:cs="Calibri"/>
                <w:b/>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r>
              <w:rPr>
                <w:rFonts w:cs="Calibri"/>
                <w:b/>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rFonts w:cs="Calibri"/>
                <w:b/>
                <w:kern w:val="0"/>
                <w:sz w:val="20"/>
                <w:szCs w:val="20"/>
                <w:lang w:bidi="ar"/>
              </w:rPr>
            </w:pPr>
            <w:r>
              <w:rPr>
                <w:rFonts w:hint="eastAsia" w:cs="Calibri"/>
                <w:b/>
                <w:kern w:val="0"/>
                <w:sz w:val="20"/>
                <w:szCs w:val="20"/>
                <w:lang w:bidi="ar"/>
              </w:rPr>
              <w:t>0</w:t>
            </w:r>
            <w:r>
              <w:rPr>
                <w:rFonts w:cs="Calibri"/>
                <w:b/>
                <w:kern w:val="0"/>
                <w:sz w:val="20"/>
                <w:szCs w:val="20"/>
                <w:lang w:bidi="ar"/>
              </w:rPr>
              <w:t> </w:t>
            </w:r>
          </w:p>
        </w:tc>
        <w:tc>
          <w:tcPr>
            <w:tcW w:w="692" w:type="dxa"/>
            <w:tcBorders>
              <w:top w:val="nil"/>
              <w:left w:val="nil"/>
              <w:bottom w:val="single" w:color="auto" w:sz="8" w:space="0"/>
              <w:right w:val="single" w:color="auto" w:sz="8" w:space="0"/>
            </w:tcBorders>
            <w:tcMar>
              <w:left w:w="57" w:type="dxa"/>
              <w:right w:w="57" w:type="dxa"/>
            </w:tcMar>
            <w:vAlign w:val="center"/>
          </w:tcPr>
          <w:p>
            <w:pPr>
              <w:widowControl/>
              <w:jc w:val="center"/>
              <w:rPr>
                <w:rFonts w:cs="Calibri"/>
                <w:b/>
                <w:kern w:val="0"/>
                <w:sz w:val="20"/>
                <w:szCs w:val="20"/>
                <w:lang w:bidi="ar"/>
              </w:rPr>
            </w:pPr>
            <w:r>
              <w:rPr>
                <w:rFonts w:hint="eastAsia" w:cs="Calibri"/>
                <w:b/>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tcMar>
              <w:left w:w="57" w:type="dxa"/>
              <w:right w:w="57" w:type="dxa"/>
            </w:tcMar>
            <w:vAlign w:val="center"/>
          </w:tcPr>
          <w:p>
            <w:pPr>
              <w:rPr>
                <w:rFonts w:ascii="宋体"/>
                <w:b/>
                <w:sz w:val="24"/>
              </w:rPr>
            </w:pPr>
          </w:p>
        </w:tc>
        <w:tc>
          <w:tcPr>
            <w:tcW w:w="943" w:type="dxa"/>
            <w:vMerge w:val="continue"/>
            <w:tcBorders>
              <w:top w:val="nil"/>
              <w:left w:val="nil"/>
              <w:bottom w:val="outset" w:color="auto" w:sz="8" w:space="0"/>
              <w:right w:val="single" w:color="auto" w:sz="8" w:space="0"/>
            </w:tcBorders>
            <w:tcMar>
              <w:left w:w="57" w:type="dxa"/>
              <w:right w:w="57" w:type="dxa"/>
            </w:tcMar>
            <w:vAlign w:val="center"/>
          </w:tcPr>
          <w:p>
            <w:pPr>
              <w:rPr>
                <w:rFonts w:ascii="宋体"/>
                <w:b/>
                <w:sz w:val="24"/>
              </w:rPr>
            </w:pPr>
          </w:p>
        </w:tc>
        <w:tc>
          <w:tcPr>
            <w:tcW w:w="3218" w:type="dxa"/>
            <w:tcBorders>
              <w:top w:val="nil"/>
              <w:left w:val="nil"/>
              <w:bottom w:val="single" w:color="auto" w:sz="8" w:space="0"/>
              <w:right w:val="single" w:color="auto" w:sz="8" w:space="0"/>
            </w:tcBorders>
            <w:tcMar>
              <w:left w:w="57" w:type="dxa"/>
              <w:right w:w="57" w:type="dxa"/>
            </w:tcMar>
          </w:tcPr>
          <w:p>
            <w:pPr>
              <w:widowControl/>
              <w:jc w:val="left"/>
              <w:rPr>
                <w:b/>
              </w:rPr>
            </w:pPr>
            <w:r>
              <w:rPr>
                <w:rFonts w:hint="eastAsia" w:ascii="宋体" w:hAnsi="宋体" w:cs="宋体"/>
                <w:b/>
                <w:kern w:val="0"/>
                <w:sz w:val="20"/>
                <w:szCs w:val="20"/>
                <w:lang w:bidi="ar"/>
              </w:rPr>
              <w:t>5.属于三类内部事务信息</w:t>
            </w:r>
          </w:p>
        </w:tc>
        <w:tc>
          <w:tcPr>
            <w:tcW w:w="688" w:type="dxa"/>
            <w:tcBorders>
              <w:top w:val="nil"/>
              <w:left w:val="nil"/>
              <w:bottom w:val="single" w:color="auto" w:sz="8" w:space="0"/>
              <w:right w:val="single" w:color="auto" w:sz="8" w:space="0"/>
            </w:tcBorders>
            <w:tcMar>
              <w:left w:w="57" w:type="dxa"/>
              <w:right w:w="57" w:type="dxa"/>
            </w:tcMar>
          </w:tcPr>
          <w:p>
            <w:pPr>
              <w:widowControl/>
              <w:jc w:val="center"/>
              <w:rPr>
                <w:b/>
              </w:rPr>
            </w:pPr>
            <w:r>
              <w:rPr>
                <w:rFonts w:hint="eastAsia" w:cs="Calibri"/>
                <w:b/>
                <w:kern w:val="0"/>
                <w:sz w:val="20"/>
                <w:szCs w:val="20"/>
                <w:lang w:bidi="ar"/>
              </w:rPr>
              <w:t>1</w:t>
            </w:r>
            <w:r>
              <w:rPr>
                <w:rFonts w:cs="Calibri"/>
                <w:b/>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r>
              <w:rPr>
                <w:rFonts w:cs="Calibri"/>
                <w:b/>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r>
              <w:rPr>
                <w:rFonts w:cs="Calibri"/>
                <w:b/>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r>
              <w:rPr>
                <w:rFonts w:cs="Calibri"/>
                <w:b/>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rFonts w:cs="Calibri"/>
                <w:b/>
                <w:kern w:val="0"/>
                <w:sz w:val="20"/>
                <w:szCs w:val="20"/>
                <w:lang w:bidi="ar"/>
              </w:rPr>
            </w:pPr>
            <w:r>
              <w:rPr>
                <w:rFonts w:hint="eastAsia" w:cs="Calibri"/>
                <w:b/>
                <w:kern w:val="0"/>
                <w:sz w:val="20"/>
                <w:szCs w:val="20"/>
                <w:lang w:bidi="ar"/>
              </w:rPr>
              <w:t>0</w:t>
            </w:r>
            <w:r>
              <w:rPr>
                <w:rFonts w:cs="Calibri"/>
                <w:b/>
                <w:kern w:val="0"/>
                <w:sz w:val="20"/>
                <w:szCs w:val="20"/>
                <w:lang w:bidi="ar"/>
              </w:rPr>
              <w:t> </w:t>
            </w:r>
          </w:p>
        </w:tc>
        <w:tc>
          <w:tcPr>
            <w:tcW w:w="692" w:type="dxa"/>
            <w:tcBorders>
              <w:top w:val="nil"/>
              <w:left w:val="nil"/>
              <w:bottom w:val="single" w:color="auto" w:sz="8" w:space="0"/>
              <w:right w:val="single" w:color="auto" w:sz="8" w:space="0"/>
            </w:tcBorders>
            <w:tcMar>
              <w:left w:w="57" w:type="dxa"/>
              <w:right w:w="57" w:type="dxa"/>
            </w:tcMar>
          </w:tcPr>
          <w:p>
            <w:pPr>
              <w:widowControl/>
              <w:jc w:val="center"/>
              <w:rPr>
                <w:rFonts w:cs="Calibri"/>
                <w:b/>
                <w:kern w:val="0"/>
                <w:sz w:val="20"/>
                <w:szCs w:val="20"/>
                <w:lang w:bidi="ar"/>
              </w:rPr>
            </w:pPr>
            <w:r>
              <w:rPr>
                <w:rFonts w:cs="Calibri"/>
                <w:b/>
                <w:kern w:val="0"/>
                <w:sz w:val="20"/>
                <w:szCs w:val="20"/>
                <w:lang w:bidi="ar"/>
              </w:rPr>
              <w:t> </w:t>
            </w:r>
            <w:r>
              <w:rPr>
                <w:rFonts w:hint="eastAsia" w:cs="Calibri"/>
                <w:b/>
                <w:kern w:val="0"/>
                <w:sz w:val="20"/>
                <w:szCs w:val="20"/>
                <w:lang w:bidi="ar"/>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tcMar>
              <w:left w:w="57" w:type="dxa"/>
              <w:right w:w="57" w:type="dxa"/>
            </w:tcMar>
            <w:vAlign w:val="center"/>
          </w:tcPr>
          <w:p>
            <w:pPr>
              <w:rPr>
                <w:rFonts w:ascii="宋体"/>
                <w:b/>
                <w:sz w:val="24"/>
              </w:rPr>
            </w:pPr>
          </w:p>
        </w:tc>
        <w:tc>
          <w:tcPr>
            <w:tcW w:w="943" w:type="dxa"/>
            <w:vMerge w:val="continue"/>
            <w:tcBorders>
              <w:top w:val="nil"/>
              <w:left w:val="nil"/>
              <w:bottom w:val="outset" w:color="auto" w:sz="8" w:space="0"/>
              <w:right w:val="single" w:color="auto" w:sz="8" w:space="0"/>
            </w:tcBorders>
            <w:tcMar>
              <w:left w:w="57" w:type="dxa"/>
              <w:right w:w="57" w:type="dxa"/>
            </w:tcMar>
            <w:vAlign w:val="center"/>
          </w:tcPr>
          <w:p>
            <w:pPr>
              <w:rPr>
                <w:rFonts w:ascii="宋体"/>
                <w:b/>
                <w:sz w:val="24"/>
              </w:rPr>
            </w:pPr>
          </w:p>
        </w:tc>
        <w:tc>
          <w:tcPr>
            <w:tcW w:w="3218" w:type="dxa"/>
            <w:tcBorders>
              <w:top w:val="nil"/>
              <w:left w:val="nil"/>
              <w:bottom w:val="single" w:color="auto" w:sz="8" w:space="0"/>
              <w:right w:val="single" w:color="auto" w:sz="8" w:space="0"/>
            </w:tcBorders>
            <w:tcMar>
              <w:left w:w="57" w:type="dxa"/>
              <w:right w:w="57" w:type="dxa"/>
            </w:tcMar>
          </w:tcPr>
          <w:p>
            <w:pPr>
              <w:widowControl/>
              <w:jc w:val="left"/>
              <w:rPr>
                <w:b/>
              </w:rPr>
            </w:pPr>
            <w:r>
              <w:rPr>
                <w:rFonts w:hint="eastAsia" w:ascii="宋体" w:hAnsi="宋体" w:cs="宋体"/>
                <w:b/>
                <w:kern w:val="0"/>
                <w:sz w:val="20"/>
                <w:szCs w:val="20"/>
                <w:lang w:bidi="ar"/>
              </w:rPr>
              <w:t>6.属于四类过程性信息</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r>
              <w:rPr>
                <w:rFonts w:cs="Calibri"/>
                <w:b/>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r>
              <w:rPr>
                <w:rFonts w:cs="Calibri"/>
                <w:b/>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r>
              <w:rPr>
                <w:rFonts w:cs="Calibri"/>
                <w:b/>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r>
              <w:rPr>
                <w:rFonts w:cs="Calibri"/>
                <w:b/>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rFonts w:cs="Calibri"/>
                <w:b/>
                <w:kern w:val="0"/>
                <w:sz w:val="20"/>
                <w:szCs w:val="20"/>
                <w:lang w:bidi="ar"/>
              </w:rPr>
            </w:pPr>
            <w:r>
              <w:rPr>
                <w:rFonts w:hint="eastAsia" w:cs="Calibri"/>
                <w:b/>
                <w:kern w:val="0"/>
                <w:sz w:val="20"/>
                <w:szCs w:val="20"/>
                <w:lang w:bidi="ar"/>
              </w:rPr>
              <w:t>0</w:t>
            </w:r>
            <w:r>
              <w:rPr>
                <w:rFonts w:cs="Calibri"/>
                <w:b/>
                <w:kern w:val="0"/>
                <w:sz w:val="20"/>
                <w:szCs w:val="20"/>
                <w:lang w:bidi="ar"/>
              </w:rPr>
              <w:t> </w:t>
            </w:r>
          </w:p>
        </w:tc>
        <w:tc>
          <w:tcPr>
            <w:tcW w:w="692" w:type="dxa"/>
            <w:tcBorders>
              <w:top w:val="nil"/>
              <w:left w:val="nil"/>
              <w:bottom w:val="single" w:color="auto" w:sz="8" w:space="0"/>
              <w:right w:val="single" w:color="auto" w:sz="8" w:space="0"/>
            </w:tcBorders>
            <w:tcMar>
              <w:left w:w="57" w:type="dxa"/>
              <w:right w:w="57" w:type="dxa"/>
            </w:tcMar>
            <w:vAlign w:val="center"/>
          </w:tcPr>
          <w:p>
            <w:pPr>
              <w:widowControl/>
              <w:jc w:val="center"/>
              <w:rPr>
                <w:rFonts w:cs="Calibri"/>
                <w:b/>
                <w:kern w:val="0"/>
                <w:sz w:val="20"/>
                <w:szCs w:val="20"/>
                <w:lang w:bidi="ar"/>
              </w:rPr>
            </w:pPr>
            <w:r>
              <w:rPr>
                <w:rFonts w:hint="eastAsia" w:cs="Calibri"/>
                <w:b/>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284" w:hRule="atLeast"/>
          <w:jc w:val="center"/>
        </w:trPr>
        <w:tc>
          <w:tcPr>
            <w:tcW w:w="767" w:type="dxa"/>
            <w:vMerge w:val="continue"/>
            <w:tcBorders>
              <w:top w:val="nil"/>
              <w:left w:val="single" w:color="auto" w:sz="8" w:space="0"/>
              <w:bottom w:val="outset" w:color="auto" w:sz="8" w:space="0"/>
              <w:right w:val="single" w:color="auto" w:sz="8" w:space="0"/>
            </w:tcBorders>
            <w:tcMar>
              <w:left w:w="57" w:type="dxa"/>
              <w:right w:w="57" w:type="dxa"/>
            </w:tcMar>
            <w:vAlign w:val="center"/>
          </w:tcPr>
          <w:p>
            <w:pPr>
              <w:rPr>
                <w:rFonts w:ascii="宋体"/>
                <w:b/>
                <w:sz w:val="24"/>
              </w:rPr>
            </w:pPr>
          </w:p>
        </w:tc>
        <w:tc>
          <w:tcPr>
            <w:tcW w:w="943" w:type="dxa"/>
            <w:vMerge w:val="continue"/>
            <w:tcBorders>
              <w:top w:val="nil"/>
              <w:left w:val="nil"/>
              <w:bottom w:val="outset" w:color="auto" w:sz="8" w:space="0"/>
              <w:right w:val="single" w:color="auto" w:sz="8" w:space="0"/>
            </w:tcBorders>
            <w:tcMar>
              <w:left w:w="57" w:type="dxa"/>
              <w:right w:w="57" w:type="dxa"/>
            </w:tcMar>
            <w:vAlign w:val="center"/>
          </w:tcPr>
          <w:p>
            <w:pPr>
              <w:rPr>
                <w:rFonts w:ascii="宋体"/>
                <w:b/>
                <w:sz w:val="24"/>
              </w:rPr>
            </w:pPr>
          </w:p>
        </w:tc>
        <w:tc>
          <w:tcPr>
            <w:tcW w:w="3218" w:type="dxa"/>
            <w:tcBorders>
              <w:top w:val="nil"/>
              <w:left w:val="nil"/>
              <w:bottom w:val="single" w:color="auto" w:sz="8" w:space="0"/>
              <w:right w:val="single" w:color="auto" w:sz="8" w:space="0"/>
            </w:tcBorders>
            <w:tcMar>
              <w:left w:w="57" w:type="dxa"/>
              <w:right w:w="57" w:type="dxa"/>
            </w:tcMar>
          </w:tcPr>
          <w:p>
            <w:pPr>
              <w:widowControl/>
              <w:jc w:val="left"/>
              <w:rPr>
                <w:b/>
              </w:rPr>
            </w:pPr>
            <w:r>
              <w:rPr>
                <w:rFonts w:hint="eastAsia" w:ascii="宋体" w:hAnsi="宋体" w:cs="宋体"/>
                <w:b/>
                <w:kern w:val="0"/>
                <w:sz w:val="20"/>
                <w:szCs w:val="20"/>
                <w:lang w:bidi="ar"/>
              </w:rPr>
              <w:t>7.属于行政执法案卷</w:t>
            </w:r>
          </w:p>
        </w:tc>
        <w:tc>
          <w:tcPr>
            <w:tcW w:w="688" w:type="dxa"/>
            <w:tcBorders>
              <w:top w:val="nil"/>
              <w:left w:val="nil"/>
              <w:bottom w:val="single" w:color="auto" w:sz="8" w:space="0"/>
              <w:right w:val="single" w:color="auto" w:sz="8" w:space="0"/>
            </w:tcBorders>
            <w:tcMar>
              <w:left w:w="57" w:type="dxa"/>
              <w:right w:w="57" w:type="dxa"/>
            </w:tcMar>
          </w:tcPr>
          <w:p>
            <w:pPr>
              <w:widowControl/>
              <w:jc w:val="center"/>
              <w:rPr>
                <w:b/>
              </w:rPr>
            </w:pPr>
            <w:r>
              <w:rPr>
                <w:rFonts w:cs="Calibri"/>
                <w:b/>
                <w:kern w:val="0"/>
                <w:sz w:val="20"/>
                <w:szCs w:val="20"/>
                <w:lang w:bidi="ar"/>
              </w:rPr>
              <w:t> </w:t>
            </w:r>
            <w:r>
              <w:rPr>
                <w:rFonts w:hint="eastAsia" w:cs="Calibri"/>
                <w:b/>
                <w:kern w:val="0"/>
                <w:sz w:val="20"/>
                <w:szCs w:val="20"/>
                <w:lang w:bidi="ar"/>
              </w:rPr>
              <w:t>2</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r>
              <w:rPr>
                <w:rFonts w:cs="Calibri"/>
                <w:b/>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r>
              <w:rPr>
                <w:rFonts w:cs="Calibri"/>
                <w:b/>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r>
              <w:rPr>
                <w:rFonts w:cs="Calibri"/>
                <w:b/>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rFonts w:cs="Calibri"/>
                <w:b/>
                <w:kern w:val="0"/>
                <w:sz w:val="20"/>
                <w:szCs w:val="20"/>
                <w:lang w:bidi="ar"/>
              </w:rPr>
            </w:pPr>
            <w:r>
              <w:rPr>
                <w:rFonts w:hint="eastAsia" w:cs="Calibri"/>
                <w:b/>
                <w:kern w:val="0"/>
                <w:sz w:val="20"/>
                <w:szCs w:val="20"/>
                <w:lang w:bidi="ar"/>
              </w:rPr>
              <w:t>0</w:t>
            </w:r>
            <w:r>
              <w:rPr>
                <w:rFonts w:cs="Calibri"/>
                <w:b/>
                <w:kern w:val="0"/>
                <w:sz w:val="20"/>
                <w:szCs w:val="20"/>
                <w:lang w:bidi="ar"/>
              </w:rPr>
              <w:t> </w:t>
            </w:r>
          </w:p>
        </w:tc>
        <w:tc>
          <w:tcPr>
            <w:tcW w:w="692" w:type="dxa"/>
            <w:tcBorders>
              <w:top w:val="nil"/>
              <w:left w:val="nil"/>
              <w:bottom w:val="single" w:color="auto" w:sz="8" w:space="0"/>
              <w:right w:val="single" w:color="auto" w:sz="8" w:space="0"/>
            </w:tcBorders>
            <w:tcMar>
              <w:left w:w="57" w:type="dxa"/>
              <w:right w:w="57" w:type="dxa"/>
            </w:tcMar>
          </w:tcPr>
          <w:p>
            <w:pPr>
              <w:widowControl/>
              <w:jc w:val="center"/>
              <w:rPr>
                <w:rFonts w:cs="Calibri"/>
                <w:b/>
                <w:kern w:val="0"/>
                <w:sz w:val="20"/>
                <w:szCs w:val="20"/>
                <w:lang w:bidi="ar"/>
              </w:rPr>
            </w:pPr>
            <w:r>
              <w:rPr>
                <w:rFonts w:hint="eastAsia" w:cs="Calibri"/>
                <w:b/>
                <w:kern w:val="0"/>
                <w:sz w:val="20"/>
                <w:szCs w:val="20"/>
                <w:lang w:bidi="ar"/>
              </w:rPr>
              <w:t>2</w:t>
            </w:r>
            <w:r>
              <w:rPr>
                <w:rFonts w:cs="Calibri"/>
                <w:b/>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tcMar>
              <w:left w:w="57" w:type="dxa"/>
              <w:right w:w="57" w:type="dxa"/>
            </w:tcMar>
            <w:vAlign w:val="center"/>
          </w:tcPr>
          <w:p>
            <w:pPr>
              <w:rPr>
                <w:rFonts w:ascii="宋体"/>
                <w:b/>
                <w:sz w:val="24"/>
              </w:rPr>
            </w:pPr>
          </w:p>
        </w:tc>
        <w:tc>
          <w:tcPr>
            <w:tcW w:w="943" w:type="dxa"/>
            <w:vMerge w:val="continue"/>
            <w:tcBorders>
              <w:top w:val="nil"/>
              <w:left w:val="nil"/>
              <w:bottom w:val="outset" w:color="auto" w:sz="8" w:space="0"/>
              <w:right w:val="single" w:color="auto" w:sz="8" w:space="0"/>
            </w:tcBorders>
            <w:tcMar>
              <w:left w:w="57" w:type="dxa"/>
              <w:right w:w="57" w:type="dxa"/>
            </w:tcMar>
            <w:vAlign w:val="center"/>
          </w:tcPr>
          <w:p>
            <w:pPr>
              <w:rPr>
                <w:rFonts w:ascii="宋体"/>
                <w:b/>
                <w:sz w:val="24"/>
              </w:rPr>
            </w:pPr>
          </w:p>
        </w:tc>
        <w:tc>
          <w:tcPr>
            <w:tcW w:w="3218" w:type="dxa"/>
            <w:tcBorders>
              <w:top w:val="nil"/>
              <w:left w:val="nil"/>
              <w:bottom w:val="single" w:color="auto" w:sz="8" w:space="0"/>
              <w:right w:val="single" w:color="auto" w:sz="8" w:space="0"/>
            </w:tcBorders>
            <w:tcMar>
              <w:left w:w="57" w:type="dxa"/>
              <w:right w:w="57" w:type="dxa"/>
            </w:tcMar>
          </w:tcPr>
          <w:p>
            <w:pPr>
              <w:widowControl/>
              <w:jc w:val="left"/>
              <w:rPr>
                <w:b/>
              </w:rPr>
            </w:pPr>
            <w:r>
              <w:rPr>
                <w:rFonts w:hint="eastAsia" w:ascii="宋体" w:hAnsi="宋体" w:cs="宋体"/>
                <w:b/>
                <w:kern w:val="0"/>
                <w:sz w:val="20"/>
                <w:szCs w:val="20"/>
                <w:lang w:bidi="ar"/>
              </w:rPr>
              <w:t>8.属于行政查询事项</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r>
              <w:rPr>
                <w:rFonts w:cs="Calibri"/>
                <w:b/>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r>
              <w:rPr>
                <w:rFonts w:cs="Calibri"/>
                <w:b/>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r>
              <w:rPr>
                <w:rFonts w:cs="Calibri"/>
                <w:b/>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r>
              <w:rPr>
                <w:rFonts w:cs="Calibri"/>
                <w:b/>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rFonts w:cs="Calibri"/>
                <w:b/>
                <w:kern w:val="0"/>
                <w:sz w:val="20"/>
                <w:szCs w:val="20"/>
                <w:lang w:bidi="ar"/>
              </w:rPr>
            </w:pPr>
            <w:r>
              <w:rPr>
                <w:rFonts w:hint="eastAsia" w:cs="Calibri"/>
                <w:b/>
                <w:kern w:val="0"/>
                <w:sz w:val="20"/>
                <w:szCs w:val="20"/>
                <w:lang w:bidi="ar"/>
              </w:rPr>
              <w:t>0</w:t>
            </w:r>
            <w:r>
              <w:rPr>
                <w:rFonts w:cs="Calibri"/>
                <w:b/>
                <w:kern w:val="0"/>
                <w:sz w:val="20"/>
                <w:szCs w:val="20"/>
                <w:lang w:bidi="ar"/>
              </w:rPr>
              <w:t> </w:t>
            </w:r>
          </w:p>
        </w:tc>
        <w:tc>
          <w:tcPr>
            <w:tcW w:w="692" w:type="dxa"/>
            <w:tcBorders>
              <w:top w:val="nil"/>
              <w:left w:val="nil"/>
              <w:bottom w:val="single" w:color="auto" w:sz="8" w:space="0"/>
              <w:right w:val="single" w:color="auto" w:sz="8" w:space="0"/>
            </w:tcBorders>
            <w:tcMar>
              <w:left w:w="57" w:type="dxa"/>
              <w:right w:w="57" w:type="dxa"/>
            </w:tcMar>
            <w:vAlign w:val="center"/>
          </w:tcPr>
          <w:p>
            <w:pPr>
              <w:widowControl/>
              <w:jc w:val="center"/>
              <w:rPr>
                <w:rFonts w:cs="Calibri"/>
                <w:b/>
                <w:kern w:val="0"/>
                <w:sz w:val="20"/>
                <w:szCs w:val="20"/>
                <w:lang w:bidi="ar"/>
              </w:rPr>
            </w:pPr>
            <w:r>
              <w:rPr>
                <w:rFonts w:hint="eastAsia" w:cs="Calibri"/>
                <w:b/>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98" w:hRule="atLeast"/>
          <w:jc w:val="center"/>
        </w:trPr>
        <w:tc>
          <w:tcPr>
            <w:tcW w:w="767" w:type="dxa"/>
            <w:vMerge w:val="continue"/>
            <w:tcBorders>
              <w:top w:val="nil"/>
              <w:left w:val="single" w:color="auto" w:sz="8" w:space="0"/>
              <w:bottom w:val="outset" w:color="auto" w:sz="8" w:space="0"/>
              <w:right w:val="single" w:color="auto" w:sz="8" w:space="0"/>
            </w:tcBorders>
            <w:tcMar>
              <w:left w:w="57" w:type="dxa"/>
              <w:right w:w="57" w:type="dxa"/>
            </w:tcMar>
            <w:vAlign w:val="center"/>
          </w:tcPr>
          <w:p>
            <w:pPr>
              <w:rPr>
                <w:rFonts w:ascii="宋体"/>
                <w:b/>
                <w:sz w:val="24"/>
              </w:rPr>
            </w:pPr>
          </w:p>
        </w:tc>
        <w:tc>
          <w:tcPr>
            <w:tcW w:w="943" w:type="dxa"/>
            <w:vMerge w:val="restart"/>
            <w:tcBorders>
              <w:top w:val="nil"/>
              <w:left w:val="nil"/>
              <w:bottom w:val="outset" w:color="auto" w:sz="8" w:space="0"/>
              <w:right w:val="single" w:color="auto" w:sz="8" w:space="0"/>
            </w:tcBorders>
            <w:tcMar>
              <w:left w:w="57" w:type="dxa"/>
              <w:right w:w="57" w:type="dxa"/>
            </w:tcMar>
            <w:vAlign w:val="center"/>
          </w:tcPr>
          <w:p>
            <w:pPr>
              <w:widowControl/>
              <w:jc w:val="left"/>
              <w:rPr>
                <w:b/>
              </w:rPr>
            </w:pPr>
            <w:r>
              <w:rPr>
                <w:rFonts w:hint="eastAsia" w:ascii="宋体" w:hAnsi="宋体" w:cs="宋体"/>
                <w:b/>
                <w:kern w:val="0"/>
                <w:sz w:val="20"/>
                <w:szCs w:val="20"/>
                <w:lang w:bidi="ar"/>
              </w:rPr>
              <w:t>（四）无法提供</w:t>
            </w:r>
          </w:p>
        </w:tc>
        <w:tc>
          <w:tcPr>
            <w:tcW w:w="3218" w:type="dxa"/>
            <w:tcBorders>
              <w:top w:val="nil"/>
              <w:left w:val="nil"/>
              <w:bottom w:val="single" w:color="auto" w:sz="8" w:space="0"/>
              <w:right w:val="single" w:color="auto" w:sz="8" w:space="0"/>
            </w:tcBorders>
            <w:tcMar>
              <w:left w:w="57" w:type="dxa"/>
              <w:right w:w="57" w:type="dxa"/>
            </w:tcMar>
          </w:tcPr>
          <w:p>
            <w:pPr>
              <w:widowControl/>
              <w:jc w:val="left"/>
              <w:rPr>
                <w:b/>
              </w:rPr>
            </w:pPr>
            <w:r>
              <w:rPr>
                <w:rFonts w:hint="eastAsia" w:ascii="宋体" w:hAnsi="宋体" w:cs="宋体"/>
                <w:b/>
                <w:kern w:val="0"/>
                <w:sz w:val="20"/>
                <w:szCs w:val="20"/>
                <w:lang w:bidi="ar"/>
              </w:rPr>
              <w:t>1.本机关不掌握相关政府信息</w:t>
            </w:r>
          </w:p>
        </w:tc>
        <w:tc>
          <w:tcPr>
            <w:tcW w:w="688" w:type="dxa"/>
            <w:tcBorders>
              <w:top w:val="nil"/>
              <w:left w:val="nil"/>
              <w:bottom w:val="single" w:color="auto" w:sz="8" w:space="0"/>
              <w:right w:val="single" w:color="auto" w:sz="8" w:space="0"/>
            </w:tcBorders>
            <w:tcMar>
              <w:left w:w="57" w:type="dxa"/>
              <w:right w:w="57" w:type="dxa"/>
            </w:tcMar>
          </w:tcPr>
          <w:p>
            <w:pPr>
              <w:widowControl/>
              <w:jc w:val="center"/>
              <w:rPr>
                <w:b/>
              </w:rPr>
            </w:pPr>
            <w:r>
              <w:rPr>
                <w:rFonts w:hint="eastAsia" w:cs="Calibri"/>
                <w:b/>
                <w:kern w:val="0"/>
                <w:sz w:val="20"/>
                <w:szCs w:val="20"/>
                <w:lang w:bidi="ar"/>
              </w:rPr>
              <w:t>39</w:t>
            </w:r>
          </w:p>
        </w:tc>
        <w:tc>
          <w:tcPr>
            <w:tcW w:w="688" w:type="dxa"/>
            <w:tcBorders>
              <w:top w:val="nil"/>
              <w:left w:val="nil"/>
              <w:bottom w:val="single" w:color="auto" w:sz="8" w:space="0"/>
              <w:right w:val="single" w:color="auto" w:sz="8" w:space="0"/>
            </w:tcBorders>
            <w:tcMar>
              <w:left w:w="57" w:type="dxa"/>
              <w:right w:w="57" w:type="dxa"/>
            </w:tcMar>
          </w:tcPr>
          <w:p>
            <w:pPr>
              <w:widowControl/>
              <w:jc w:val="center"/>
              <w:rPr>
                <w:b/>
              </w:rPr>
            </w:pPr>
            <w:r>
              <w:rPr>
                <w:rFonts w:hint="eastAsia" w:cs="Calibri"/>
                <w:b/>
                <w:kern w:val="0"/>
                <w:sz w:val="20"/>
                <w:szCs w:val="20"/>
                <w:lang w:bidi="ar"/>
              </w:rPr>
              <w:t>5</w:t>
            </w:r>
            <w:r>
              <w:rPr>
                <w:rFonts w:cs="Calibri"/>
                <w:b/>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r>
              <w:rPr>
                <w:rFonts w:cs="Calibri"/>
                <w:b/>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r>
              <w:rPr>
                <w:rFonts w:cs="Calibri"/>
                <w:b/>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rFonts w:cs="Calibri"/>
                <w:b/>
                <w:kern w:val="0"/>
                <w:sz w:val="20"/>
                <w:szCs w:val="20"/>
                <w:lang w:bidi="ar"/>
              </w:rPr>
            </w:pPr>
            <w:r>
              <w:rPr>
                <w:rFonts w:hint="eastAsia" w:cs="Calibri"/>
                <w:b/>
                <w:kern w:val="0"/>
                <w:sz w:val="20"/>
                <w:szCs w:val="20"/>
                <w:lang w:bidi="ar"/>
              </w:rPr>
              <w:t>0</w:t>
            </w:r>
            <w:r>
              <w:rPr>
                <w:rFonts w:cs="Calibri"/>
                <w:b/>
                <w:kern w:val="0"/>
                <w:sz w:val="20"/>
                <w:szCs w:val="20"/>
                <w:lang w:bidi="ar"/>
              </w:rPr>
              <w:t> </w:t>
            </w:r>
          </w:p>
        </w:tc>
        <w:tc>
          <w:tcPr>
            <w:tcW w:w="692" w:type="dxa"/>
            <w:tcBorders>
              <w:top w:val="nil"/>
              <w:left w:val="nil"/>
              <w:bottom w:val="single" w:color="auto" w:sz="8" w:space="0"/>
              <w:right w:val="single" w:color="auto" w:sz="8" w:space="0"/>
            </w:tcBorders>
            <w:tcMar>
              <w:left w:w="57" w:type="dxa"/>
              <w:right w:w="57" w:type="dxa"/>
            </w:tcMar>
          </w:tcPr>
          <w:p>
            <w:pPr>
              <w:widowControl/>
              <w:jc w:val="center"/>
              <w:rPr>
                <w:rFonts w:cs="Calibri"/>
                <w:b/>
                <w:kern w:val="0"/>
                <w:sz w:val="20"/>
                <w:szCs w:val="20"/>
                <w:lang w:bidi="ar"/>
              </w:rPr>
            </w:pPr>
            <w:r>
              <w:rPr>
                <w:rFonts w:cs="Calibri"/>
                <w:b/>
                <w:kern w:val="0"/>
                <w:sz w:val="20"/>
                <w:szCs w:val="20"/>
                <w:lang w:bidi="ar"/>
              </w:rPr>
              <w:t> </w:t>
            </w:r>
            <w:r>
              <w:rPr>
                <w:rFonts w:hint="eastAsia" w:cs="Calibri"/>
                <w:b/>
                <w:kern w:val="0"/>
                <w:sz w:val="20"/>
                <w:szCs w:val="20"/>
                <w:lang w:bidi="ar"/>
              </w:rPr>
              <w:t>44</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tcMar>
              <w:left w:w="57" w:type="dxa"/>
              <w:right w:w="57" w:type="dxa"/>
            </w:tcMar>
            <w:vAlign w:val="center"/>
          </w:tcPr>
          <w:p>
            <w:pPr>
              <w:rPr>
                <w:rFonts w:ascii="宋体"/>
                <w:b/>
                <w:sz w:val="24"/>
              </w:rPr>
            </w:pPr>
          </w:p>
        </w:tc>
        <w:tc>
          <w:tcPr>
            <w:tcW w:w="943" w:type="dxa"/>
            <w:vMerge w:val="continue"/>
            <w:tcBorders>
              <w:top w:val="nil"/>
              <w:left w:val="nil"/>
              <w:bottom w:val="outset" w:color="auto" w:sz="8" w:space="0"/>
              <w:right w:val="single" w:color="auto" w:sz="8" w:space="0"/>
            </w:tcBorders>
            <w:tcMar>
              <w:left w:w="57" w:type="dxa"/>
              <w:right w:w="57" w:type="dxa"/>
            </w:tcMar>
            <w:vAlign w:val="center"/>
          </w:tcPr>
          <w:p>
            <w:pPr>
              <w:rPr>
                <w:rFonts w:ascii="宋体"/>
                <w:b/>
                <w:sz w:val="24"/>
              </w:rPr>
            </w:pPr>
          </w:p>
        </w:tc>
        <w:tc>
          <w:tcPr>
            <w:tcW w:w="3218" w:type="dxa"/>
            <w:tcBorders>
              <w:top w:val="nil"/>
              <w:left w:val="nil"/>
              <w:bottom w:val="single" w:color="auto" w:sz="8" w:space="0"/>
              <w:right w:val="single" w:color="auto" w:sz="8" w:space="0"/>
            </w:tcBorders>
            <w:tcMar>
              <w:left w:w="57" w:type="dxa"/>
              <w:right w:w="57" w:type="dxa"/>
            </w:tcMar>
          </w:tcPr>
          <w:p>
            <w:pPr>
              <w:widowControl/>
              <w:jc w:val="left"/>
              <w:rPr>
                <w:b/>
              </w:rPr>
            </w:pPr>
            <w:r>
              <w:rPr>
                <w:rFonts w:hint="eastAsia" w:ascii="宋体" w:hAnsi="宋体" w:cs="宋体"/>
                <w:b/>
                <w:kern w:val="0"/>
                <w:sz w:val="20"/>
                <w:szCs w:val="20"/>
                <w:lang w:bidi="ar"/>
              </w:rPr>
              <w:t>2.没有现成信息需要另行制作</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r>
              <w:rPr>
                <w:rFonts w:cs="Calibri"/>
                <w:b/>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r>
              <w:rPr>
                <w:rFonts w:cs="Calibri"/>
                <w:b/>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r>
              <w:rPr>
                <w:rFonts w:cs="Calibri"/>
                <w:b/>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r>
              <w:rPr>
                <w:rFonts w:cs="Calibri"/>
                <w:b/>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rFonts w:cs="Calibri"/>
                <w:b/>
                <w:kern w:val="0"/>
                <w:sz w:val="20"/>
                <w:szCs w:val="20"/>
                <w:lang w:bidi="ar"/>
              </w:rPr>
            </w:pPr>
            <w:r>
              <w:rPr>
                <w:rFonts w:hint="eastAsia" w:cs="Calibri"/>
                <w:b/>
                <w:kern w:val="0"/>
                <w:sz w:val="20"/>
                <w:szCs w:val="20"/>
                <w:lang w:bidi="ar"/>
              </w:rPr>
              <w:t>0</w:t>
            </w:r>
            <w:r>
              <w:rPr>
                <w:rFonts w:cs="Calibri"/>
                <w:b/>
                <w:kern w:val="0"/>
                <w:sz w:val="20"/>
                <w:szCs w:val="20"/>
                <w:lang w:bidi="ar"/>
              </w:rPr>
              <w:t> </w:t>
            </w:r>
          </w:p>
        </w:tc>
        <w:tc>
          <w:tcPr>
            <w:tcW w:w="692" w:type="dxa"/>
            <w:tcBorders>
              <w:top w:val="nil"/>
              <w:left w:val="nil"/>
              <w:bottom w:val="single" w:color="auto" w:sz="8" w:space="0"/>
              <w:right w:val="single" w:color="auto" w:sz="8" w:space="0"/>
            </w:tcBorders>
            <w:tcMar>
              <w:left w:w="57" w:type="dxa"/>
              <w:right w:w="57" w:type="dxa"/>
            </w:tcMar>
            <w:vAlign w:val="center"/>
          </w:tcPr>
          <w:p>
            <w:pPr>
              <w:widowControl/>
              <w:jc w:val="center"/>
              <w:rPr>
                <w:rFonts w:cs="Calibri"/>
                <w:b/>
                <w:kern w:val="0"/>
                <w:sz w:val="20"/>
                <w:szCs w:val="20"/>
                <w:lang w:bidi="ar"/>
              </w:rPr>
            </w:pPr>
            <w:r>
              <w:rPr>
                <w:rFonts w:hint="eastAsia" w:cs="Calibri"/>
                <w:b/>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tcMar>
              <w:left w:w="57" w:type="dxa"/>
              <w:right w:w="57" w:type="dxa"/>
            </w:tcMar>
            <w:vAlign w:val="center"/>
          </w:tcPr>
          <w:p>
            <w:pPr>
              <w:rPr>
                <w:rFonts w:ascii="宋体"/>
                <w:b/>
                <w:sz w:val="24"/>
              </w:rPr>
            </w:pPr>
          </w:p>
        </w:tc>
        <w:tc>
          <w:tcPr>
            <w:tcW w:w="943" w:type="dxa"/>
            <w:vMerge w:val="continue"/>
            <w:tcBorders>
              <w:top w:val="nil"/>
              <w:left w:val="nil"/>
              <w:bottom w:val="outset" w:color="auto" w:sz="8" w:space="0"/>
              <w:right w:val="single" w:color="auto" w:sz="8" w:space="0"/>
            </w:tcBorders>
            <w:tcMar>
              <w:left w:w="57" w:type="dxa"/>
              <w:right w:w="57" w:type="dxa"/>
            </w:tcMar>
            <w:vAlign w:val="center"/>
          </w:tcPr>
          <w:p>
            <w:pPr>
              <w:rPr>
                <w:rFonts w:ascii="宋体"/>
                <w:b/>
                <w:sz w:val="24"/>
              </w:rPr>
            </w:pPr>
          </w:p>
        </w:tc>
        <w:tc>
          <w:tcPr>
            <w:tcW w:w="3218" w:type="dxa"/>
            <w:tcBorders>
              <w:top w:val="nil"/>
              <w:left w:val="nil"/>
              <w:bottom w:val="single" w:color="auto" w:sz="8" w:space="0"/>
              <w:right w:val="single" w:color="auto" w:sz="8" w:space="0"/>
            </w:tcBorders>
            <w:tcMar>
              <w:left w:w="57" w:type="dxa"/>
              <w:right w:w="57" w:type="dxa"/>
            </w:tcMar>
          </w:tcPr>
          <w:p>
            <w:pPr>
              <w:widowControl/>
              <w:jc w:val="left"/>
              <w:rPr>
                <w:b/>
              </w:rPr>
            </w:pPr>
            <w:r>
              <w:rPr>
                <w:rFonts w:hint="eastAsia" w:ascii="宋体" w:hAnsi="宋体" w:cs="宋体"/>
                <w:b/>
                <w:kern w:val="0"/>
                <w:sz w:val="20"/>
                <w:szCs w:val="20"/>
                <w:lang w:bidi="ar"/>
              </w:rPr>
              <w:t>3.补正后申请内容仍不明确</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r>
              <w:rPr>
                <w:rFonts w:cs="Calibri"/>
                <w:b/>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r>
              <w:rPr>
                <w:rFonts w:cs="Calibri"/>
                <w:b/>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r>
              <w:rPr>
                <w:rFonts w:cs="Calibri"/>
                <w:b/>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r>
              <w:rPr>
                <w:rFonts w:cs="Calibri"/>
                <w:b/>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rFonts w:cs="Calibri"/>
                <w:b/>
                <w:kern w:val="0"/>
                <w:sz w:val="20"/>
                <w:szCs w:val="20"/>
                <w:lang w:bidi="ar"/>
              </w:rPr>
            </w:pPr>
            <w:r>
              <w:rPr>
                <w:rFonts w:hint="eastAsia" w:cs="Calibri"/>
                <w:b/>
                <w:kern w:val="0"/>
                <w:sz w:val="20"/>
                <w:szCs w:val="20"/>
                <w:lang w:bidi="ar"/>
              </w:rPr>
              <w:t>0</w:t>
            </w:r>
            <w:r>
              <w:rPr>
                <w:rFonts w:cs="Calibri"/>
                <w:b/>
                <w:kern w:val="0"/>
                <w:sz w:val="20"/>
                <w:szCs w:val="20"/>
                <w:lang w:bidi="ar"/>
              </w:rPr>
              <w:t> </w:t>
            </w:r>
          </w:p>
        </w:tc>
        <w:tc>
          <w:tcPr>
            <w:tcW w:w="692" w:type="dxa"/>
            <w:tcBorders>
              <w:top w:val="nil"/>
              <w:left w:val="nil"/>
              <w:bottom w:val="single" w:color="auto" w:sz="8" w:space="0"/>
              <w:right w:val="single" w:color="auto" w:sz="8" w:space="0"/>
            </w:tcBorders>
            <w:tcMar>
              <w:left w:w="57" w:type="dxa"/>
              <w:right w:w="57" w:type="dxa"/>
            </w:tcMar>
            <w:vAlign w:val="center"/>
          </w:tcPr>
          <w:p>
            <w:pPr>
              <w:widowControl/>
              <w:jc w:val="center"/>
              <w:rPr>
                <w:rFonts w:cs="Calibri"/>
                <w:b/>
                <w:kern w:val="0"/>
                <w:sz w:val="20"/>
                <w:szCs w:val="20"/>
                <w:lang w:bidi="ar"/>
              </w:rPr>
            </w:pPr>
            <w:r>
              <w:rPr>
                <w:rFonts w:hint="eastAsia" w:cs="Calibri"/>
                <w:b/>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tcMar>
              <w:left w:w="57" w:type="dxa"/>
              <w:right w:w="57" w:type="dxa"/>
            </w:tcMar>
            <w:vAlign w:val="center"/>
          </w:tcPr>
          <w:p>
            <w:pPr>
              <w:rPr>
                <w:rFonts w:ascii="宋体"/>
                <w:b/>
                <w:sz w:val="24"/>
              </w:rPr>
            </w:pPr>
          </w:p>
        </w:tc>
        <w:tc>
          <w:tcPr>
            <w:tcW w:w="943" w:type="dxa"/>
            <w:vMerge w:val="restart"/>
            <w:tcBorders>
              <w:top w:val="nil"/>
              <w:left w:val="nil"/>
              <w:bottom w:val="outset" w:color="auto" w:sz="8" w:space="0"/>
              <w:right w:val="single" w:color="auto" w:sz="8" w:space="0"/>
            </w:tcBorders>
            <w:tcMar>
              <w:left w:w="57" w:type="dxa"/>
              <w:right w:w="57" w:type="dxa"/>
            </w:tcMar>
            <w:vAlign w:val="center"/>
          </w:tcPr>
          <w:p>
            <w:pPr>
              <w:widowControl/>
              <w:jc w:val="left"/>
              <w:rPr>
                <w:b/>
              </w:rPr>
            </w:pPr>
            <w:r>
              <w:rPr>
                <w:rFonts w:hint="eastAsia" w:ascii="宋体" w:hAnsi="宋体" w:cs="宋体"/>
                <w:b/>
                <w:kern w:val="0"/>
                <w:sz w:val="20"/>
                <w:szCs w:val="20"/>
                <w:lang w:bidi="ar"/>
              </w:rPr>
              <w:t>（五）不予处理</w:t>
            </w:r>
          </w:p>
        </w:tc>
        <w:tc>
          <w:tcPr>
            <w:tcW w:w="3218" w:type="dxa"/>
            <w:tcBorders>
              <w:top w:val="nil"/>
              <w:left w:val="nil"/>
              <w:bottom w:val="single" w:color="auto" w:sz="8" w:space="0"/>
              <w:right w:val="single" w:color="auto" w:sz="8" w:space="0"/>
            </w:tcBorders>
            <w:tcMar>
              <w:left w:w="57" w:type="dxa"/>
              <w:right w:w="57" w:type="dxa"/>
            </w:tcMar>
          </w:tcPr>
          <w:p>
            <w:pPr>
              <w:widowControl/>
              <w:jc w:val="left"/>
              <w:rPr>
                <w:b/>
              </w:rPr>
            </w:pPr>
            <w:r>
              <w:rPr>
                <w:rFonts w:hint="eastAsia" w:ascii="宋体" w:hAnsi="宋体" w:cs="宋体"/>
                <w:b/>
                <w:kern w:val="0"/>
                <w:sz w:val="20"/>
                <w:szCs w:val="20"/>
                <w:lang w:bidi="ar"/>
              </w:rPr>
              <w:t>1.信访举报投诉类申请</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r>
              <w:rPr>
                <w:rFonts w:cs="Calibri"/>
                <w:b/>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r>
              <w:rPr>
                <w:rFonts w:cs="Calibri"/>
                <w:b/>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r>
              <w:rPr>
                <w:rFonts w:cs="Calibri"/>
                <w:b/>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r>
              <w:rPr>
                <w:rFonts w:cs="Calibri"/>
                <w:b/>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rFonts w:cs="Calibri"/>
                <w:b/>
                <w:kern w:val="0"/>
                <w:sz w:val="20"/>
                <w:szCs w:val="20"/>
                <w:lang w:bidi="ar"/>
              </w:rPr>
            </w:pPr>
            <w:r>
              <w:rPr>
                <w:rFonts w:hint="eastAsia" w:cs="Calibri"/>
                <w:b/>
                <w:kern w:val="0"/>
                <w:sz w:val="20"/>
                <w:szCs w:val="20"/>
                <w:lang w:bidi="ar"/>
              </w:rPr>
              <w:t>0</w:t>
            </w:r>
            <w:r>
              <w:rPr>
                <w:rFonts w:cs="Calibri"/>
                <w:b/>
                <w:kern w:val="0"/>
                <w:sz w:val="20"/>
                <w:szCs w:val="20"/>
                <w:lang w:bidi="ar"/>
              </w:rPr>
              <w:t> </w:t>
            </w:r>
          </w:p>
        </w:tc>
        <w:tc>
          <w:tcPr>
            <w:tcW w:w="692" w:type="dxa"/>
            <w:tcBorders>
              <w:top w:val="nil"/>
              <w:left w:val="nil"/>
              <w:bottom w:val="single" w:color="auto" w:sz="8" w:space="0"/>
              <w:right w:val="single" w:color="auto" w:sz="8" w:space="0"/>
            </w:tcBorders>
            <w:tcMar>
              <w:left w:w="57" w:type="dxa"/>
              <w:right w:w="57" w:type="dxa"/>
            </w:tcMar>
            <w:vAlign w:val="center"/>
          </w:tcPr>
          <w:p>
            <w:pPr>
              <w:widowControl/>
              <w:jc w:val="center"/>
              <w:rPr>
                <w:rFonts w:cs="Calibri"/>
                <w:b/>
                <w:kern w:val="0"/>
                <w:sz w:val="20"/>
                <w:szCs w:val="20"/>
                <w:lang w:bidi="ar"/>
              </w:rPr>
            </w:pPr>
            <w:r>
              <w:rPr>
                <w:rFonts w:hint="eastAsia" w:cs="Calibri"/>
                <w:b/>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tcMar>
              <w:left w:w="57" w:type="dxa"/>
              <w:right w:w="57" w:type="dxa"/>
            </w:tcMar>
            <w:vAlign w:val="center"/>
          </w:tcPr>
          <w:p>
            <w:pPr>
              <w:rPr>
                <w:rFonts w:ascii="宋体"/>
                <w:b/>
                <w:sz w:val="24"/>
              </w:rPr>
            </w:pPr>
          </w:p>
        </w:tc>
        <w:tc>
          <w:tcPr>
            <w:tcW w:w="943" w:type="dxa"/>
            <w:vMerge w:val="continue"/>
            <w:tcBorders>
              <w:top w:val="nil"/>
              <w:left w:val="nil"/>
              <w:bottom w:val="outset" w:color="auto" w:sz="8" w:space="0"/>
              <w:right w:val="single" w:color="auto" w:sz="8" w:space="0"/>
            </w:tcBorders>
            <w:tcMar>
              <w:left w:w="57" w:type="dxa"/>
              <w:right w:w="57" w:type="dxa"/>
            </w:tcMar>
            <w:vAlign w:val="center"/>
          </w:tcPr>
          <w:p>
            <w:pPr>
              <w:rPr>
                <w:rFonts w:ascii="宋体"/>
                <w:b/>
                <w:sz w:val="24"/>
              </w:rPr>
            </w:pPr>
          </w:p>
        </w:tc>
        <w:tc>
          <w:tcPr>
            <w:tcW w:w="3218" w:type="dxa"/>
            <w:tcBorders>
              <w:top w:val="nil"/>
              <w:left w:val="nil"/>
              <w:bottom w:val="single" w:color="auto" w:sz="8" w:space="0"/>
              <w:right w:val="single" w:color="auto" w:sz="8" w:space="0"/>
            </w:tcBorders>
            <w:tcMar>
              <w:left w:w="57" w:type="dxa"/>
              <w:right w:w="57" w:type="dxa"/>
            </w:tcMar>
          </w:tcPr>
          <w:p>
            <w:pPr>
              <w:widowControl/>
              <w:jc w:val="left"/>
              <w:rPr>
                <w:b/>
              </w:rPr>
            </w:pPr>
            <w:r>
              <w:rPr>
                <w:rFonts w:hint="eastAsia" w:ascii="宋体" w:hAnsi="宋体" w:cs="宋体"/>
                <w:b/>
                <w:kern w:val="0"/>
                <w:sz w:val="20"/>
                <w:szCs w:val="20"/>
                <w:lang w:bidi="ar"/>
              </w:rPr>
              <w:t>2.重复申请</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r>
              <w:rPr>
                <w:rFonts w:cs="Calibri"/>
                <w:b/>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r>
              <w:rPr>
                <w:rFonts w:cs="Calibri"/>
                <w:b/>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r>
              <w:rPr>
                <w:rFonts w:cs="Calibri"/>
                <w:b/>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r>
              <w:rPr>
                <w:rFonts w:cs="Calibri"/>
                <w:b/>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rFonts w:cs="Calibri"/>
                <w:b/>
                <w:kern w:val="0"/>
                <w:sz w:val="20"/>
                <w:szCs w:val="20"/>
                <w:lang w:bidi="ar"/>
              </w:rPr>
            </w:pPr>
            <w:r>
              <w:rPr>
                <w:rFonts w:hint="eastAsia" w:cs="Calibri"/>
                <w:b/>
                <w:kern w:val="0"/>
                <w:sz w:val="20"/>
                <w:szCs w:val="20"/>
                <w:lang w:bidi="ar"/>
              </w:rPr>
              <w:t>0</w:t>
            </w:r>
            <w:r>
              <w:rPr>
                <w:rFonts w:cs="Calibri"/>
                <w:b/>
                <w:kern w:val="0"/>
                <w:sz w:val="20"/>
                <w:szCs w:val="20"/>
                <w:lang w:bidi="ar"/>
              </w:rPr>
              <w:t> </w:t>
            </w:r>
          </w:p>
        </w:tc>
        <w:tc>
          <w:tcPr>
            <w:tcW w:w="692" w:type="dxa"/>
            <w:tcBorders>
              <w:top w:val="nil"/>
              <w:left w:val="nil"/>
              <w:bottom w:val="single" w:color="auto" w:sz="8" w:space="0"/>
              <w:right w:val="single" w:color="auto" w:sz="8" w:space="0"/>
            </w:tcBorders>
            <w:tcMar>
              <w:left w:w="57" w:type="dxa"/>
              <w:right w:w="57" w:type="dxa"/>
            </w:tcMar>
            <w:vAlign w:val="center"/>
          </w:tcPr>
          <w:p>
            <w:pPr>
              <w:widowControl/>
              <w:jc w:val="center"/>
              <w:rPr>
                <w:rFonts w:cs="Calibri"/>
                <w:b/>
                <w:kern w:val="0"/>
                <w:sz w:val="20"/>
                <w:szCs w:val="20"/>
                <w:lang w:bidi="ar"/>
              </w:rPr>
            </w:pPr>
            <w:r>
              <w:rPr>
                <w:rFonts w:hint="eastAsia" w:cs="Calibri"/>
                <w:b/>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tcMar>
              <w:left w:w="57" w:type="dxa"/>
              <w:right w:w="57" w:type="dxa"/>
            </w:tcMar>
            <w:vAlign w:val="center"/>
          </w:tcPr>
          <w:p>
            <w:pPr>
              <w:rPr>
                <w:rFonts w:ascii="宋体"/>
                <w:b/>
                <w:sz w:val="24"/>
              </w:rPr>
            </w:pPr>
          </w:p>
        </w:tc>
        <w:tc>
          <w:tcPr>
            <w:tcW w:w="943" w:type="dxa"/>
            <w:vMerge w:val="continue"/>
            <w:tcBorders>
              <w:top w:val="nil"/>
              <w:left w:val="nil"/>
              <w:bottom w:val="outset" w:color="auto" w:sz="8" w:space="0"/>
              <w:right w:val="single" w:color="auto" w:sz="8" w:space="0"/>
            </w:tcBorders>
            <w:tcMar>
              <w:left w:w="57" w:type="dxa"/>
              <w:right w:w="57" w:type="dxa"/>
            </w:tcMar>
            <w:vAlign w:val="center"/>
          </w:tcPr>
          <w:p>
            <w:pPr>
              <w:rPr>
                <w:rFonts w:ascii="宋体"/>
                <w:b/>
                <w:sz w:val="24"/>
              </w:rPr>
            </w:pPr>
          </w:p>
        </w:tc>
        <w:tc>
          <w:tcPr>
            <w:tcW w:w="3218" w:type="dxa"/>
            <w:tcBorders>
              <w:top w:val="nil"/>
              <w:left w:val="nil"/>
              <w:bottom w:val="single" w:color="auto" w:sz="8" w:space="0"/>
              <w:right w:val="single" w:color="auto" w:sz="8" w:space="0"/>
            </w:tcBorders>
            <w:tcMar>
              <w:left w:w="57" w:type="dxa"/>
              <w:right w:w="57" w:type="dxa"/>
            </w:tcMar>
          </w:tcPr>
          <w:p>
            <w:pPr>
              <w:widowControl/>
              <w:jc w:val="left"/>
              <w:rPr>
                <w:b/>
              </w:rPr>
            </w:pPr>
            <w:r>
              <w:rPr>
                <w:rFonts w:hint="eastAsia" w:ascii="宋体" w:hAnsi="宋体" w:cs="宋体"/>
                <w:b/>
                <w:kern w:val="0"/>
                <w:sz w:val="20"/>
                <w:szCs w:val="20"/>
                <w:lang w:bidi="ar"/>
              </w:rPr>
              <w:t>3.要求提供公开出版物</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r>
              <w:rPr>
                <w:rFonts w:cs="Calibri"/>
                <w:b/>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r>
              <w:rPr>
                <w:rFonts w:cs="Calibri"/>
                <w:b/>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r>
              <w:rPr>
                <w:rFonts w:cs="Calibri"/>
                <w:b/>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r>
              <w:rPr>
                <w:rFonts w:cs="Calibri"/>
                <w:b/>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rFonts w:cs="Calibri"/>
                <w:b/>
                <w:kern w:val="0"/>
                <w:sz w:val="20"/>
                <w:szCs w:val="20"/>
                <w:lang w:bidi="ar"/>
              </w:rPr>
            </w:pPr>
            <w:r>
              <w:rPr>
                <w:rFonts w:hint="eastAsia" w:cs="Calibri"/>
                <w:b/>
                <w:kern w:val="0"/>
                <w:sz w:val="20"/>
                <w:szCs w:val="20"/>
                <w:lang w:bidi="ar"/>
              </w:rPr>
              <w:t>0</w:t>
            </w:r>
            <w:r>
              <w:rPr>
                <w:rFonts w:cs="Calibri"/>
                <w:b/>
                <w:kern w:val="0"/>
                <w:sz w:val="20"/>
                <w:szCs w:val="20"/>
                <w:lang w:bidi="ar"/>
              </w:rPr>
              <w:t> </w:t>
            </w:r>
          </w:p>
        </w:tc>
        <w:tc>
          <w:tcPr>
            <w:tcW w:w="692" w:type="dxa"/>
            <w:tcBorders>
              <w:top w:val="nil"/>
              <w:left w:val="nil"/>
              <w:bottom w:val="single" w:color="auto" w:sz="8" w:space="0"/>
              <w:right w:val="single" w:color="auto" w:sz="8" w:space="0"/>
            </w:tcBorders>
            <w:tcMar>
              <w:left w:w="57" w:type="dxa"/>
              <w:right w:w="57" w:type="dxa"/>
            </w:tcMar>
            <w:vAlign w:val="center"/>
          </w:tcPr>
          <w:p>
            <w:pPr>
              <w:widowControl/>
              <w:jc w:val="center"/>
              <w:rPr>
                <w:rFonts w:cs="Calibri"/>
                <w:b/>
                <w:kern w:val="0"/>
                <w:sz w:val="20"/>
                <w:szCs w:val="20"/>
                <w:lang w:bidi="ar"/>
              </w:rPr>
            </w:pPr>
            <w:r>
              <w:rPr>
                <w:rFonts w:hint="eastAsia" w:cs="Calibri"/>
                <w:b/>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tcMar>
              <w:left w:w="57" w:type="dxa"/>
              <w:right w:w="57" w:type="dxa"/>
            </w:tcMar>
            <w:vAlign w:val="center"/>
          </w:tcPr>
          <w:p>
            <w:pPr>
              <w:rPr>
                <w:rFonts w:ascii="宋体"/>
                <w:b/>
                <w:sz w:val="24"/>
              </w:rPr>
            </w:pPr>
          </w:p>
        </w:tc>
        <w:tc>
          <w:tcPr>
            <w:tcW w:w="943" w:type="dxa"/>
            <w:vMerge w:val="continue"/>
            <w:tcBorders>
              <w:top w:val="nil"/>
              <w:left w:val="nil"/>
              <w:bottom w:val="outset" w:color="auto" w:sz="8" w:space="0"/>
              <w:right w:val="single" w:color="auto" w:sz="8" w:space="0"/>
            </w:tcBorders>
            <w:tcMar>
              <w:left w:w="57" w:type="dxa"/>
              <w:right w:w="57" w:type="dxa"/>
            </w:tcMar>
            <w:vAlign w:val="center"/>
          </w:tcPr>
          <w:p>
            <w:pPr>
              <w:rPr>
                <w:rFonts w:ascii="宋体"/>
                <w:b/>
                <w:sz w:val="24"/>
              </w:rPr>
            </w:pPr>
          </w:p>
        </w:tc>
        <w:tc>
          <w:tcPr>
            <w:tcW w:w="3218" w:type="dxa"/>
            <w:tcBorders>
              <w:top w:val="nil"/>
              <w:left w:val="nil"/>
              <w:bottom w:val="single" w:color="auto" w:sz="8" w:space="0"/>
              <w:right w:val="single" w:color="auto" w:sz="8" w:space="0"/>
            </w:tcBorders>
            <w:tcMar>
              <w:left w:w="57" w:type="dxa"/>
              <w:right w:w="57" w:type="dxa"/>
            </w:tcMar>
          </w:tcPr>
          <w:p>
            <w:pPr>
              <w:widowControl/>
              <w:jc w:val="left"/>
              <w:rPr>
                <w:b/>
              </w:rPr>
            </w:pPr>
            <w:r>
              <w:rPr>
                <w:rFonts w:hint="eastAsia" w:ascii="宋体" w:hAnsi="宋体" w:cs="宋体"/>
                <w:b/>
                <w:kern w:val="0"/>
                <w:sz w:val="20"/>
                <w:szCs w:val="20"/>
                <w:lang w:bidi="ar"/>
              </w:rPr>
              <w:t>4.无正当理由大量反复申请</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r>
              <w:rPr>
                <w:rFonts w:cs="Calibri"/>
                <w:b/>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r>
              <w:rPr>
                <w:rFonts w:cs="Calibri"/>
                <w:b/>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r>
              <w:rPr>
                <w:rFonts w:cs="Calibri"/>
                <w:b/>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r>
              <w:rPr>
                <w:rFonts w:cs="Calibri"/>
                <w:b/>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rFonts w:cs="Calibri"/>
                <w:b/>
                <w:kern w:val="0"/>
                <w:sz w:val="20"/>
                <w:szCs w:val="20"/>
                <w:lang w:bidi="ar"/>
              </w:rPr>
            </w:pPr>
            <w:r>
              <w:rPr>
                <w:rFonts w:hint="eastAsia" w:cs="Calibri"/>
                <w:b/>
                <w:kern w:val="0"/>
                <w:sz w:val="20"/>
                <w:szCs w:val="20"/>
                <w:lang w:bidi="ar"/>
              </w:rPr>
              <w:t>0</w:t>
            </w:r>
            <w:r>
              <w:rPr>
                <w:rFonts w:cs="Calibri"/>
                <w:b/>
                <w:kern w:val="0"/>
                <w:sz w:val="20"/>
                <w:szCs w:val="20"/>
                <w:lang w:bidi="ar"/>
              </w:rPr>
              <w:t> </w:t>
            </w:r>
          </w:p>
        </w:tc>
        <w:tc>
          <w:tcPr>
            <w:tcW w:w="692" w:type="dxa"/>
            <w:tcBorders>
              <w:top w:val="nil"/>
              <w:left w:val="nil"/>
              <w:bottom w:val="single" w:color="auto" w:sz="8" w:space="0"/>
              <w:right w:val="single" w:color="auto" w:sz="8" w:space="0"/>
            </w:tcBorders>
            <w:tcMar>
              <w:left w:w="57" w:type="dxa"/>
              <w:right w:w="57" w:type="dxa"/>
            </w:tcMar>
            <w:vAlign w:val="center"/>
          </w:tcPr>
          <w:p>
            <w:pPr>
              <w:widowControl/>
              <w:jc w:val="center"/>
              <w:rPr>
                <w:rFonts w:cs="Calibri"/>
                <w:b/>
                <w:kern w:val="0"/>
                <w:sz w:val="20"/>
                <w:szCs w:val="20"/>
                <w:lang w:bidi="ar"/>
              </w:rPr>
            </w:pPr>
            <w:r>
              <w:rPr>
                <w:rFonts w:hint="eastAsia" w:cs="Calibri"/>
                <w:b/>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79" w:hRule="atLeast"/>
          <w:jc w:val="center"/>
        </w:trPr>
        <w:tc>
          <w:tcPr>
            <w:tcW w:w="767" w:type="dxa"/>
            <w:vMerge w:val="continue"/>
            <w:tcBorders>
              <w:top w:val="nil"/>
              <w:left w:val="single" w:color="auto" w:sz="8" w:space="0"/>
              <w:bottom w:val="outset" w:color="auto" w:sz="8" w:space="0"/>
              <w:right w:val="single" w:color="auto" w:sz="8" w:space="0"/>
            </w:tcBorders>
            <w:tcMar>
              <w:left w:w="57" w:type="dxa"/>
              <w:right w:w="57" w:type="dxa"/>
            </w:tcMar>
            <w:vAlign w:val="center"/>
          </w:tcPr>
          <w:p>
            <w:pPr>
              <w:rPr>
                <w:rFonts w:ascii="宋体"/>
                <w:b/>
                <w:sz w:val="24"/>
              </w:rPr>
            </w:pPr>
          </w:p>
        </w:tc>
        <w:tc>
          <w:tcPr>
            <w:tcW w:w="943" w:type="dxa"/>
            <w:vMerge w:val="continue"/>
            <w:tcBorders>
              <w:top w:val="nil"/>
              <w:left w:val="nil"/>
              <w:bottom w:val="outset" w:color="auto" w:sz="8" w:space="0"/>
              <w:right w:val="single" w:color="auto" w:sz="8" w:space="0"/>
            </w:tcBorders>
            <w:tcMar>
              <w:left w:w="57" w:type="dxa"/>
              <w:right w:w="57" w:type="dxa"/>
            </w:tcMar>
            <w:vAlign w:val="center"/>
          </w:tcPr>
          <w:p>
            <w:pPr>
              <w:rPr>
                <w:rFonts w:ascii="宋体"/>
                <w:b/>
                <w:sz w:val="24"/>
              </w:rPr>
            </w:pPr>
          </w:p>
        </w:tc>
        <w:tc>
          <w:tcPr>
            <w:tcW w:w="3218" w:type="dxa"/>
            <w:tcBorders>
              <w:top w:val="nil"/>
              <w:left w:val="nil"/>
              <w:bottom w:val="outset" w:color="auto" w:sz="8" w:space="0"/>
              <w:right w:val="single" w:color="auto" w:sz="8" w:space="0"/>
            </w:tcBorders>
            <w:tcMar>
              <w:left w:w="57" w:type="dxa"/>
              <w:right w:w="57" w:type="dxa"/>
            </w:tcMar>
            <w:vAlign w:val="center"/>
          </w:tcPr>
          <w:p>
            <w:pPr>
              <w:widowControl/>
              <w:rPr>
                <w:b/>
              </w:rPr>
            </w:pPr>
            <w:r>
              <w:rPr>
                <w:rFonts w:hint="eastAsia" w:ascii="宋体" w:hAnsi="宋体" w:cs="宋体"/>
                <w:b/>
                <w:kern w:val="0"/>
                <w:sz w:val="20"/>
                <w:szCs w:val="20"/>
                <w:lang w:bidi="ar"/>
              </w:rPr>
              <w:t>5.要求行政机关确认或重新出具已获取信息</w:t>
            </w:r>
          </w:p>
        </w:tc>
        <w:tc>
          <w:tcPr>
            <w:tcW w:w="688" w:type="dxa"/>
            <w:tcBorders>
              <w:top w:val="nil"/>
              <w:left w:val="nil"/>
              <w:bottom w:val="outset"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r>
              <w:rPr>
                <w:rFonts w:cs="Calibri"/>
                <w:b/>
                <w:kern w:val="0"/>
                <w:sz w:val="20"/>
                <w:szCs w:val="20"/>
                <w:lang w:bidi="ar"/>
              </w:rPr>
              <w:t> </w:t>
            </w:r>
          </w:p>
        </w:tc>
        <w:tc>
          <w:tcPr>
            <w:tcW w:w="688" w:type="dxa"/>
            <w:tcBorders>
              <w:top w:val="nil"/>
              <w:left w:val="nil"/>
              <w:bottom w:val="outset"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r>
              <w:rPr>
                <w:rFonts w:cs="Calibri"/>
                <w:b/>
                <w:kern w:val="0"/>
                <w:sz w:val="20"/>
                <w:szCs w:val="20"/>
                <w:lang w:bidi="ar"/>
              </w:rPr>
              <w:t> </w:t>
            </w:r>
          </w:p>
        </w:tc>
        <w:tc>
          <w:tcPr>
            <w:tcW w:w="688" w:type="dxa"/>
            <w:tcBorders>
              <w:top w:val="nil"/>
              <w:left w:val="nil"/>
              <w:bottom w:val="outset"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p>
        </w:tc>
        <w:tc>
          <w:tcPr>
            <w:tcW w:w="688" w:type="dxa"/>
            <w:tcBorders>
              <w:top w:val="nil"/>
              <w:left w:val="nil"/>
              <w:bottom w:val="outset"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r>
              <w:rPr>
                <w:rFonts w:cs="Calibri"/>
                <w:b/>
                <w:kern w:val="0"/>
                <w:sz w:val="20"/>
                <w:szCs w:val="20"/>
                <w:lang w:bidi="ar"/>
              </w:rPr>
              <w:t> </w:t>
            </w:r>
          </w:p>
        </w:tc>
        <w:tc>
          <w:tcPr>
            <w:tcW w:w="688" w:type="dxa"/>
            <w:tcBorders>
              <w:top w:val="nil"/>
              <w:left w:val="nil"/>
              <w:bottom w:val="outset"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r>
              <w:rPr>
                <w:rFonts w:cs="Calibri"/>
                <w:b/>
                <w:kern w:val="0"/>
                <w:sz w:val="20"/>
                <w:szCs w:val="20"/>
                <w:lang w:bidi="ar"/>
              </w:rPr>
              <w:t> </w:t>
            </w:r>
          </w:p>
        </w:tc>
        <w:tc>
          <w:tcPr>
            <w:tcW w:w="688" w:type="dxa"/>
            <w:tcBorders>
              <w:top w:val="nil"/>
              <w:left w:val="nil"/>
              <w:bottom w:val="outset" w:color="auto" w:sz="8" w:space="0"/>
              <w:right w:val="single" w:color="auto" w:sz="8" w:space="0"/>
            </w:tcBorders>
            <w:tcMar>
              <w:left w:w="57" w:type="dxa"/>
              <w:right w:w="57" w:type="dxa"/>
            </w:tcMar>
            <w:vAlign w:val="center"/>
          </w:tcPr>
          <w:p>
            <w:pPr>
              <w:widowControl/>
              <w:jc w:val="center"/>
              <w:rPr>
                <w:rFonts w:cs="Calibri"/>
                <w:b/>
                <w:kern w:val="0"/>
                <w:sz w:val="20"/>
                <w:szCs w:val="20"/>
                <w:lang w:bidi="ar"/>
              </w:rPr>
            </w:pPr>
            <w:r>
              <w:rPr>
                <w:rFonts w:hint="eastAsia" w:cs="Calibri"/>
                <w:b/>
                <w:kern w:val="0"/>
                <w:sz w:val="20"/>
                <w:szCs w:val="20"/>
                <w:lang w:bidi="ar"/>
              </w:rPr>
              <w:t>0</w:t>
            </w:r>
            <w:r>
              <w:rPr>
                <w:rFonts w:cs="Calibri"/>
                <w:b/>
                <w:kern w:val="0"/>
                <w:sz w:val="20"/>
                <w:szCs w:val="20"/>
                <w:lang w:bidi="ar"/>
              </w:rPr>
              <w:t> </w:t>
            </w:r>
          </w:p>
        </w:tc>
        <w:tc>
          <w:tcPr>
            <w:tcW w:w="692" w:type="dxa"/>
            <w:tcBorders>
              <w:top w:val="nil"/>
              <w:left w:val="nil"/>
              <w:bottom w:val="outset" w:color="auto" w:sz="8" w:space="0"/>
              <w:right w:val="single" w:color="auto" w:sz="8" w:space="0"/>
            </w:tcBorders>
            <w:tcMar>
              <w:left w:w="57" w:type="dxa"/>
              <w:right w:w="57" w:type="dxa"/>
            </w:tcMar>
            <w:vAlign w:val="center"/>
          </w:tcPr>
          <w:p>
            <w:pPr>
              <w:widowControl/>
              <w:jc w:val="center"/>
              <w:rPr>
                <w:rFonts w:cs="Calibri"/>
                <w:b/>
                <w:kern w:val="0"/>
                <w:sz w:val="20"/>
                <w:szCs w:val="20"/>
                <w:lang w:bidi="ar"/>
              </w:rPr>
            </w:pPr>
            <w:r>
              <w:rPr>
                <w:rFonts w:hint="eastAsia" w:cs="Calibri"/>
                <w:b/>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tcMar>
              <w:left w:w="57" w:type="dxa"/>
              <w:right w:w="57" w:type="dxa"/>
            </w:tcMar>
            <w:vAlign w:val="center"/>
          </w:tcPr>
          <w:p>
            <w:pPr>
              <w:rPr>
                <w:rFonts w:ascii="宋体"/>
                <w:b/>
                <w:sz w:val="24"/>
              </w:rPr>
            </w:pPr>
          </w:p>
        </w:tc>
        <w:tc>
          <w:tcPr>
            <w:tcW w:w="943" w:type="dxa"/>
            <w:vMerge w:val="restart"/>
            <w:tcBorders>
              <w:top w:val="outset" w:color="auto" w:sz="8" w:space="0"/>
              <w:left w:val="nil"/>
              <w:bottom w:val="outset" w:color="auto" w:sz="8" w:space="0"/>
              <w:right w:val="single" w:color="auto" w:sz="8" w:space="0"/>
            </w:tcBorders>
            <w:tcMar>
              <w:left w:w="57" w:type="dxa"/>
              <w:right w:w="57" w:type="dxa"/>
            </w:tcMar>
            <w:vAlign w:val="center"/>
          </w:tcPr>
          <w:p>
            <w:pPr>
              <w:widowControl/>
              <w:jc w:val="left"/>
              <w:rPr>
                <w:b/>
              </w:rPr>
            </w:pPr>
            <w:r>
              <w:rPr>
                <w:rFonts w:hint="eastAsia" w:ascii="宋体" w:hAnsi="宋体" w:cs="宋体"/>
                <w:b/>
                <w:kern w:val="0"/>
                <w:sz w:val="20"/>
                <w:szCs w:val="20"/>
                <w:lang w:bidi="ar"/>
              </w:rPr>
              <w:t>（六）其他处理</w:t>
            </w:r>
          </w:p>
        </w:tc>
        <w:tc>
          <w:tcPr>
            <w:tcW w:w="3218" w:type="dxa"/>
            <w:tcBorders>
              <w:top w:val="nil"/>
              <w:left w:val="nil"/>
              <w:bottom w:val="single" w:color="auto" w:sz="8" w:space="0"/>
              <w:right w:val="single" w:color="auto" w:sz="8" w:space="0"/>
            </w:tcBorders>
            <w:tcMar>
              <w:left w:w="57" w:type="dxa"/>
              <w:right w:w="57" w:type="dxa"/>
            </w:tcMar>
            <w:vAlign w:val="center"/>
          </w:tcPr>
          <w:p>
            <w:pPr>
              <w:widowControl/>
              <w:rPr>
                <w:b/>
              </w:rPr>
            </w:pPr>
            <w:r>
              <w:rPr>
                <w:rFonts w:hint="eastAsia" w:ascii="宋体" w:hAnsi="宋体" w:cs="宋体"/>
                <w:b/>
                <w:kern w:val="0"/>
                <w:sz w:val="20"/>
                <w:szCs w:val="20"/>
                <w:lang w:bidi="ar"/>
              </w:rPr>
              <w:t>1.申请人无正当理由逾期不补正、行政机关不再处理其政府信息公开申请</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1</w:t>
            </w:r>
            <w:r>
              <w:rPr>
                <w:rFonts w:cs="Calibri"/>
                <w:b/>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r>
              <w:rPr>
                <w:rFonts w:cs="Calibri"/>
                <w:b/>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r>
              <w:rPr>
                <w:rFonts w:cs="Calibri"/>
                <w:b/>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r>
              <w:rPr>
                <w:rFonts w:cs="Calibri"/>
                <w:b/>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rFonts w:cs="Calibri"/>
                <w:b/>
                <w:kern w:val="0"/>
                <w:sz w:val="20"/>
                <w:szCs w:val="20"/>
                <w:lang w:bidi="ar"/>
              </w:rPr>
            </w:pPr>
            <w:r>
              <w:rPr>
                <w:rFonts w:hint="eastAsia" w:cs="Calibri"/>
                <w:b/>
                <w:kern w:val="0"/>
                <w:sz w:val="20"/>
                <w:szCs w:val="20"/>
                <w:lang w:bidi="ar"/>
              </w:rPr>
              <w:t>0</w:t>
            </w:r>
            <w:r>
              <w:rPr>
                <w:rFonts w:cs="Calibri"/>
                <w:b/>
                <w:kern w:val="0"/>
                <w:sz w:val="20"/>
                <w:szCs w:val="20"/>
                <w:lang w:bidi="ar"/>
              </w:rPr>
              <w:t> </w:t>
            </w:r>
          </w:p>
        </w:tc>
        <w:tc>
          <w:tcPr>
            <w:tcW w:w="692" w:type="dxa"/>
            <w:tcBorders>
              <w:top w:val="nil"/>
              <w:left w:val="nil"/>
              <w:bottom w:val="single" w:color="auto" w:sz="8" w:space="0"/>
              <w:right w:val="single" w:color="auto" w:sz="8" w:space="0"/>
            </w:tcBorders>
            <w:tcMar>
              <w:left w:w="57" w:type="dxa"/>
              <w:right w:w="57" w:type="dxa"/>
            </w:tcMar>
          </w:tcPr>
          <w:p>
            <w:pPr>
              <w:widowControl/>
              <w:jc w:val="center"/>
              <w:rPr>
                <w:rFonts w:cs="Calibri"/>
                <w:b/>
                <w:kern w:val="0"/>
                <w:sz w:val="20"/>
                <w:szCs w:val="20"/>
                <w:lang w:bidi="ar"/>
              </w:rPr>
            </w:pPr>
            <w:r>
              <w:rPr>
                <w:rFonts w:hint="eastAsia" w:cs="Calibri"/>
                <w:b/>
                <w:kern w:val="0"/>
                <w:sz w:val="20"/>
                <w:szCs w:val="20"/>
                <w:lang w:bidi="ar"/>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tcMar>
              <w:left w:w="57" w:type="dxa"/>
              <w:right w:w="57" w:type="dxa"/>
            </w:tcMar>
            <w:vAlign w:val="center"/>
          </w:tcPr>
          <w:p>
            <w:pPr>
              <w:rPr>
                <w:rFonts w:ascii="宋体"/>
                <w:b/>
                <w:sz w:val="24"/>
              </w:rPr>
            </w:pPr>
          </w:p>
        </w:tc>
        <w:tc>
          <w:tcPr>
            <w:tcW w:w="943" w:type="dxa"/>
            <w:vMerge w:val="continue"/>
            <w:tcBorders>
              <w:top w:val="outset" w:color="auto" w:sz="8" w:space="0"/>
              <w:left w:val="nil"/>
              <w:bottom w:val="outset" w:color="auto" w:sz="8" w:space="0"/>
              <w:right w:val="single" w:color="auto" w:sz="8" w:space="0"/>
            </w:tcBorders>
            <w:tcMar>
              <w:left w:w="57" w:type="dxa"/>
              <w:right w:w="57" w:type="dxa"/>
            </w:tcMar>
            <w:vAlign w:val="center"/>
          </w:tcPr>
          <w:p>
            <w:pPr>
              <w:rPr>
                <w:rFonts w:ascii="宋体"/>
                <w:b/>
                <w:sz w:val="24"/>
              </w:rPr>
            </w:pPr>
          </w:p>
        </w:tc>
        <w:tc>
          <w:tcPr>
            <w:tcW w:w="3218" w:type="dxa"/>
            <w:tcBorders>
              <w:top w:val="nil"/>
              <w:left w:val="nil"/>
              <w:bottom w:val="single" w:color="auto" w:sz="8" w:space="0"/>
              <w:right w:val="single" w:color="auto" w:sz="8" w:space="0"/>
            </w:tcBorders>
            <w:tcMar>
              <w:left w:w="57" w:type="dxa"/>
              <w:right w:w="57" w:type="dxa"/>
            </w:tcMar>
            <w:vAlign w:val="center"/>
          </w:tcPr>
          <w:p>
            <w:pPr>
              <w:widowControl/>
              <w:rPr>
                <w:b/>
              </w:rPr>
            </w:pPr>
            <w:r>
              <w:rPr>
                <w:rFonts w:hint="eastAsia" w:ascii="宋体" w:hAnsi="宋体" w:cs="宋体"/>
                <w:b/>
                <w:kern w:val="0"/>
                <w:sz w:val="20"/>
                <w:szCs w:val="20"/>
                <w:lang w:bidi="ar"/>
              </w:rPr>
              <w:t>2.申请人逾期未按收费通知要求缴纳费用、行政机关不再处理其政府信息公开申请</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r>
              <w:rPr>
                <w:rFonts w:cs="Calibri"/>
                <w:b/>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r>
              <w:rPr>
                <w:rFonts w:cs="Calibri"/>
                <w:b/>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r>
              <w:rPr>
                <w:rFonts w:cs="Calibri"/>
                <w:b/>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r>
              <w:rPr>
                <w:rFonts w:cs="Calibri"/>
                <w:b/>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rFonts w:cs="Calibri"/>
                <w:b/>
                <w:kern w:val="0"/>
                <w:sz w:val="20"/>
                <w:szCs w:val="20"/>
                <w:lang w:bidi="ar"/>
              </w:rPr>
            </w:pPr>
            <w:r>
              <w:rPr>
                <w:rFonts w:hint="eastAsia" w:cs="Calibri"/>
                <w:b/>
                <w:kern w:val="0"/>
                <w:sz w:val="20"/>
                <w:szCs w:val="20"/>
                <w:lang w:bidi="ar"/>
              </w:rPr>
              <w:t>0</w:t>
            </w:r>
            <w:r>
              <w:rPr>
                <w:rFonts w:cs="Calibri"/>
                <w:b/>
                <w:kern w:val="0"/>
                <w:sz w:val="20"/>
                <w:szCs w:val="20"/>
                <w:lang w:bidi="ar"/>
              </w:rPr>
              <w:t> </w:t>
            </w:r>
          </w:p>
        </w:tc>
        <w:tc>
          <w:tcPr>
            <w:tcW w:w="692" w:type="dxa"/>
            <w:tcBorders>
              <w:top w:val="nil"/>
              <w:left w:val="nil"/>
              <w:bottom w:val="single" w:color="auto" w:sz="8" w:space="0"/>
              <w:right w:val="single" w:color="auto" w:sz="8" w:space="0"/>
            </w:tcBorders>
            <w:tcMar>
              <w:left w:w="57" w:type="dxa"/>
              <w:right w:w="57" w:type="dxa"/>
            </w:tcMar>
            <w:vAlign w:val="center"/>
          </w:tcPr>
          <w:p>
            <w:pPr>
              <w:widowControl/>
              <w:jc w:val="center"/>
              <w:rPr>
                <w:rFonts w:cs="Calibri"/>
                <w:b/>
                <w:kern w:val="0"/>
                <w:sz w:val="20"/>
                <w:szCs w:val="20"/>
                <w:lang w:bidi="ar"/>
              </w:rPr>
            </w:pPr>
            <w:r>
              <w:rPr>
                <w:rFonts w:hint="eastAsia" w:cs="Calibri"/>
                <w:b/>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tcMar>
              <w:left w:w="57" w:type="dxa"/>
              <w:right w:w="57" w:type="dxa"/>
            </w:tcMar>
            <w:vAlign w:val="center"/>
          </w:tcPr>
          <w:p>
            <w:pPr>
              <w:rPr>
                <w:rFonts w:ascii="宋体"/>
                <w:b/>
                <w:sz w:val="24"/>
              </w:rPr>
            </w:pPr>
          </w:p>
        </w:tc>
        <w:tc>
          <w:tcPr>
            <w:tcW w:w="943" w:type="dxa"/>
            <w:vMerge w:val="continue"/>
            <w:tcBorders>
              <w:top w:val="outset" w:color="auto" w:sz="8" w:space="0"/>
              <w:left w:val="nil"/>
              <w:bottom w:val="outset" w:color="auto" w:sz="8" w:space="0"/>
              <w:right w:val="single" w:color="auto" w:sz="8" w:space="0"/>
            </w:tcBorders>
            <w:tcMar>
              <w:left w:w="57" w:type="dxa"/>
              <w:right w:w="57" w:type="dxa"/>
            </w:tcMar>
            <w:vAlign w:val="center"/>
          </w:tcPr>
          <w:p>
            <w:pPr>
              <w:rPr>
                <w:rFonts w:ascii="宋体"/>
                <w:b/>
                <w:sz w:val="24"/>
              </w:rPr>
            </w:pPr>
          </w:p>
        </w:tc>
        <w:tc>
          <w:tcPr>
            <w:tcW w:w="3218" w:type="dxa"/>
            <w:tcBorders>
              <w:top w:val="nil"/>
              <w:left w:val="nil"/>
              <w:bottom w:val="single" w:color="auto" w:sz="8" w:space="0"/>
              <w:right w:val="single" w:color="auto" w:sz="8" w:space="0"/>
            </w:tcBorders>
            <w:tcMar>
              <w:left w:w="57" w:type="dxa"/>
              <w:right w:w="57" w:type="dxa"/>
            </w:tcMar>
            <w:vAlign w:val="center"/>
          </w:tcPr>
          <w:p>
            <w:pPr>
              <w:widowControl/>
              <w:jc w:val="left"/>
              <w:rPr>
                <w:b/>
              </w:rPr>
            </w:pPr>
            <w:r>
              <w:rPr>
                <w:rFonts w:hint="eastAsia" w:ascii="宋体" w:hAnsi="宋体" w:cs="宋体"/>
                <w:b/>
                <w:kern w:val="0"/>
                <w:sz w:val="20"/>
                <w:szCs w:val="20"/>
                <w:lang w:bidi="ar"/>
              </w:rPr>
              <w:t>3.其他</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r>
              <w:rPr>
                <w:rFonts w:cs="Calibri"/>
                <w:b/>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r>
              <w:rPr>
                <w:rFonts w:cs="Calibri"/>
                <w:b/>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r>
              <w:rPr>
                <w:rFonts w:cs="Calibri"/>
                <w:b/>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r>
              <w:rPr>
                <w:rFonts w:cs="Calibri"/>
                <w:b/>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rFonts w:cs="Calibri"/>
                <w:b/>
                <w:kern w:val="0"/>
                <w:sz w:val="20"/>
                <w:szCs w:val="20"/>
                <w:lang w:bidi="ar"/>
              </w:rPr>
            </w:pPr>
            <w:r>
              <w:rPr>
                <w:rFonts w:hint="eastAsia" w:cs="Calibri"/>
                <w:b/>
                <w:kern w:val="0"/>
                <w:sz w:val="20"/>
                <w:szCs w:val="20"/>
                <w:lang w:bidi="ar"/>
              </w:rPr>
              <w:t>0</w:t>
            </w:r>
            <w:r>
              <w:rPr>
                <w:rFonts w:cs="Calibri"/>
                <w:b/>
                <w:kern w:val="0"/>
                <w:sz w:val="20"/>
                <w:szCs w:val="20"/>
                <w:lang w:bidi="ar"/>
              </w:rPr>
              <w:t> </w:t>
            </w:r>
          </w:p>
        </w:tc>
        <w:tc>
          <w:tcPr>
            <w:tcW w:w="692" w:type="dxa"/>
            <w:tcBorders>
              <w:top w:val="nil"/>
              <w:left w:val="nil"/>
              <w:bottom w:val="single" w:color="auto" w:sz="8" w:space="0"/>
              <w:right w:val="single" w:color="auto" w:sz="8" w:space="0"/>
            </w:tcBorders>
            <w:tcMar>
              <w:left w:w="57" w:type="dxa"/>
              <w:right w:w="57" w:type="dxa"/>
            </w:tcMar>
            <w:vAlign w:val="center"/>
          </w:tcPr>
          <w:p>
            <w:pPr>
              <w:widowControl/>
              <w:jc w:val="center"/>
              <w:rPr>
                <w:rFonts w:cs="Calibri"/>
                <w:b/>
                <w:kern w:val="0"/>
                <w:sz w:val="20"/>
                <w:szCs w:val="20"/>
                <w:lang w:bidi="ar"/>
              </w:rPr>
            </w:pPr>
            <w:r>
              <w:rPr>
                <w:rFonts w:hint="eastAsia" w:cs="Calibri"/>
                <w:b/>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tcMar>
              <w:left w:w="57" w:type="dxa"/>
              <w:right w:w="57" w:type="dxa"/>
            </w:tcMar>
            <w:vAlign w:val="center"/>
          </w:tcPr>
          <w:p>
            <w:pPr>
              <w:rPr>
                <w:rFonts w:ascii="宋体"/>
                <w:b/>
                <w:sz w:val="24"/>
              </w:rPr>
            </w:pPr>
          </w:p>
        </w:tc>
        <w:tc>
          <w:tcPr>
            <w:tcW w:w="4161" w:type="dxa"/>
            <w:gridSpan w:val="2"/>
            <w:tcBorders>
              <w:top w:val="nil"/>
              <w:left w:val="nil"/>
              <w:bottom w:val="single" w:color="auto" w:sz="8" w:space="0"/>
              <w:right w:val="single" w:color="auto" w:sz="8" w:space="0"/>
            </w:tcBorders>
            <w:tcMar>
              <w:left w:w="57" w:type="dxa"/>
              <w:right w:w="57" w:type="dxa"/>
            </w:tcMar>
            <w:vAlign w:val="center"/>
          </w:tcPr>
          <w:p>
            <w:pPr>
              <w:widowControl/>
              <w:jc w:val="left"/>
              <w:rPr>
                <w:b/>
              </w:rPr>
            </w:pPr>
            <w:r>
              <w:rPr>
                <w:rFonts w:hint="eastAsia" w:ascii="宋体" w:hAnsi="宋体" w:cs="宋体"/>
                <w:b/>
                <w:kern w:val="0"/>
                <w:sz w:val="20"/>
                <w:szCs w:val="20"/>
                <w:lang w:bidi="ar"/>
              </w:rPr>
              <w:t>（七）总计</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cs="Calibri"/>
                <w:b/>
                <w:kern w:val="0"/>
                <w:sz w:val="20"/>
                <w:szCs w:val="20"/>
                <w:lang w:bidi="ar"/>
              </w:rPr>
              <w:t> </w:t>
            </w:r>
            <w:r>
              <w:rPr>
                <w:rFonts w:hint="eastAsia" w:cs="Calibri"/>
                <w:b/>
                <w:kern w:val="0"/>
                <w:sz w:val="20"/>
                <w:szCs w:val="20"/>
                <w:lang w:bidi="ar"/>
              </w:rPr>
              <w:t>61</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6</w:t>
            </w:r>
            <w:r>
              <w:rPr>
                <w:rFonts w:cs="Calibri"/>
                <w:b/>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r>
              <w:rPr>
                <w:rFonts w:cs="Calibri"/>
                <w:b/>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r>
              <w:rPr>
                <w:rFonts w:cs="Calibri"/>
                <w:b/>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rFonts w:cs="Calibri"/>
                <w:b/>
                <w:kern w:val="0"/>
                <w:sz w:val="20"/>
                <w:szCs w:val="20"/>
                <w:lang w:bidi="ar"/>
              </w:rPr>
            </w:pPr>
            <w:r>
              <w:rPr>
                <w:rFonts w:hint="eastAsia" w:cs="Calibri"/>
                <w:b/>
                <w:kern w:val="0"/>
                <w:sz w:val="20"/>
                <w:szCs w:val="20"/>
                <w:lang w:bidi="ar"/>
              </w:rPr>
              <w:t>0</w:t>
            </w:r>
            <w:r>
              <w:rPr>
                <w:rFonts w:cs="Calibri"/>
                <w:b/>
                <w:kern w:val="0"/>
                <w:sz w:val="20"/>
                <w:szCs w:val="20"/>
                <w:lang w:bidi="ar"/>
              </w:rPr>
              <w:t> </w:t>
            </w:r>
          </w:p>
        </w:tc>
        <w:tc>
          <w:tcPr>
            <w:tcW w:w="692" w:type="dxa"/>
            <w:tcBorders>
              <w:top w:val="nil"/>
              <w:left w:val="nil"/>
              <w:bottom w:val="single" w:color="auto" w:sz="8" w:space="0"/>
              <w:right w:val="single" w:color="auto" w:sz="8" w:space="0"/>
            </w:tcBorders>
            <w:tcMar>
              <w:left w:w="57" w:type="dxa"/>
              <w:right w:w="57" w:type="dxa"/>
            </w:tcMar>
          </w:tcPr>
          <w:p>
            <w:pPr>
              <w:widowControl/>
              <w:jc w:val="center"/>
              <w:rPr>
                <w:rFonts w:cs="Calibri"/>
                <w:b/>
                <w:kern w:val="0"/>
                <w:sz w:val="20"/>
                <w:szCs w:val="20"/>
                <w:lang w:bidi="ar"/>
              </w:rPr>
            </w:pPr>
            <w:r>
              <w:rPr>
                <w:rFonts w:cs="Calibri"/>
                <w:b/>
                <w:kern w:val="0"/>
                <w:sz w:val="20"/>
                <w:szCs w:val="20"/>
                <w:lang w:bidi="ar"/>
              </w:rPr>
              <w:t> </w:t>
            </w:r>
            <w:r>
              <w:rPr>
                <w:rFonts w:hint="eastAsia" w:cs="Calibri"/>
                <w:b/>
                <w:kern w:val="0"/>
                <w:sz w:val="20"/>
                <w:szCs w:val="20"/>
                <w:lang w:bidi="ar"/>
              </w:rPr>
              <w:t>67</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28" w:type="dxa"/>
            <w:gridSpan w:val="3"/>
            <w:tcBorders>
              <w:top w:val="nil"/>
              <w:left w:val="single" w:color="auto" w:sz="8" w:space="0"/>
              <w:bottom w:val="single" w:color="auto" w:sz="8" w:space="0"/>
              <w:right w:val="single" w:color="auto" w:sz="8" w:space="0"/>
            </w:tcBorders>
            <w:tcMar>
              <w:left w:w="57" w:type="dxa"/>
              <w:right w:w="57" w:type="dxa"/>
            </w:tcMar>
            <w:vAlign w:val="center"/>
          </w:tcPr>
          <w:p>
            <w:pPr>
              <w:widowControl/>
              <w:jc w:val="left"/>
              <w:rPr>
                <w:b/>
              </w:rPr>
            </w:pPr>
            <w:r>
              <w:rPr>
                <w:rFonts w:hint="eastAsia" w:ascii="宋体" w:hAnsi="宋体" w:cs="宋体"/>
                <w:b/>
                <w:kern w:val="0"/>
                <w:sz w:val="20"/>
                <w:szCs w:val="20"/>
                <w:lang w:bidi="ar"/>
              </w:rPr>
              <w:t>四、结转下年度继续办理</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cs="Calibri"/>
                <w:b/>
                <w:kern w:val="0"/>
                <w:sz w:val="20"/>
                <w:szCs w:val="20"/>
                <w:lang w:bidi="ar"/>
              </w:rPr>
              <w:t> </w:t>
            </w:r>
            <w:r>
              <w:rPr>
                <w:rFonts w:hint="eastAsia" w:cs="Calibri"/>
                <w:b/>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cs="Calibri"/>
                <w:b/>
                <w:kern w:val="0"/>
                <w:sz w:val="20"/>
                <w:szCs w:val="20"/>
                <w:lang w:bidi="ar"/>
              </w:rPr>
              <w:t> </w:t>
            </w:r>
            <w:r>
              <w:rPr>
                <w:rFonts w:hint="eastAsia" w:cs="Calibri"/>
                <w:b/>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cs="Calibri"/>
                <w:b/>
                <w:kern w:val="0"/>
                <w:sz w:val="20"/>
                <w:szCs w:val="20"/>
                <w:lang w:bidi="ar"/>
              </w:rPr>
              <w:t>0</w:t>
            </w:r>
            <w:r>
              <w:rPr>
                <w:rFonts w:cs="Calibri"/>
                <w:b/>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cs="Calibri"/>
                <w:b/>
                <w:kern w:val="0"/>
                <w:sz w:val="20"/>
                <w:szCs w:val="20"/>
                <w:lang w:bidi="ar"/>
              </w:rPr>
              <w:t> </w:t>
            </w:r>
            <w:r>
              <w:rPr>
                <w:rFonts w:hint="eastAsia" w:cs="Calibri"/>
                <w:b/>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cs="Calibri"/>
                <w:b/>
                <w:kern w:val="0"/>
                <w:sz w:val="20"/>
                <w:szCs w:val="20"/>
                <w:lang w:bidi="ar"/>
              </w:rPr>
              <w:t> </w:t>
            </w:r>
            <w:r>
              <w:rPr>
                <w:rFonts w:hint="eastAsia" w:cs="Calibri"/>
                <w:b/>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rFonts w:cs="Calibri"/>
                <w:b/>
                <w:kern w:val="0"/>
                <w:sz w:val="20"/>
                <w:szCs w:val="20"/>
                <w:lang w:bidi="ar"/>
              </w:rPr>
            </w:pPr>
            <w:r>
              <w:rPr>
                <w:rFonts w:cs="Calibri"/>
                <w:b/>
                <w:kern w:val="0"/>
                <w:sz w:val="20"/>
                <w:szCs w:val="20"/>
                <w:lang w:bidi="ar"/>
              </w:rPr>
              <w:t> </w:t>
            </w:r>
            <w:r>
              <w:rPr>
                <w:rFonts w:hint="eastAsia" w:cs="Calibri"/>
                <w:b/>
                <w:kern w:val="0"/>
                <w:sz w:val="20"/>
                <w:szCs w:val="20"/>
                <w:lang w:bidi="ar"/>
              </w:rPr>
              <w:t>0</w:t>
            </w:r>
          </w:p>
        </w:tc>
        <w:tc>
          <w:tcPr>
            <w:tcW w:w="692" w:type="dxa"/>
            <w:tcBorders>
              <w:top w:val="nil"/>
              <w:left w:val="nil"/>
              <w:bottom w:val="single" w:color="auto" w:sz="8" w:space="0"/>
              <w:right w:val="single" w:color="auto" w:sz="8" w:space="0"/>
            </w:tcBorders>
            <w:tcMar>
              <w:left w:w="57" w:type="dxa"/>
              <w:right w:w="57" w:type="dxa"/>
            </w:tcMar>
          </w:tcPr>
          <w:p>
            <w:pPr>
              <w:widowControl/>
              <w:jc w:val="center"/>
              <w:rPr>
                <w:rFonts w:cs="Calibri"/>
                <w:b/>
                <w:kern w:val="0"/>
                <w:sz w:val="20"/>
                <w:szCs w:val="20"/>
                <w:lang w:bidi="ar"/>
              </w:rPr>
            </w:pPr>
            <w:r>
              <w:rPr>
                <w:rFonts w:hint="eastAsia" w:cs="Calibri"/>
                <w:b/>
                <w:kern w:val="0"/>
                <w:sz w:val="20"/>
                <w:szCs w:val="20"/>
                <w:lang w:bidi="ar"/>
              </w:rPr>
              <w:t>0</w:t>
            </w:r>
          </w:p>
        </w:tc>
      </w:tr>
    </w:tbl>
    <w:p>
      <w:pPr>
        <w:pStyle w:val="4"/>
        <w:widowControl/>
        <w:shd w:val="clear" w:color="auto" w:fill="FFFFFF"/>
        <w:spacing w:before="0" w:beforeAutospacing="0" w:after="0" w:afterAutospacing="0"/>
        <w:ind w:firstLine="642" w:firstLineChars="200"/>
        <w:jc w:val="both"/>
        <w:rPr>
          <w:rFonts w:ascii="黑体" w:hAnsi="黑体" w:eastAsia="黑体" w:cs="黑体"/>
          <w:b/>
          <w:sz w:val="32"/>
          <w:szCs w:val="32"/>
          <w:shd w:val="clear" w:color="auto" w:fill="FFFFFF"/>
        </w:rPr>
      </w:pPr>
    </w:p>
    <w:p>
      <w:pPr>
        <w:pStyle w:val="4"/>
        <w:widowControl/>
        <w:shd w:val="clear" w:color="auto" w:fill="FFFFFF"/>
        <w:spacing w:before="0" w:beforeAutospacing="0" w:after="0" w:afterAutospacing="0"/>
        <w:ind w:firstLine="642" w:firstLineChars="200"/>
        <w:jc w:val="both"/>
        <w:rPr>
          <w:rFonts w:ascii="黑体" w:hAnsi="黑体" w:eastAsia="黑体" w:cs="黑体"/>
          <w:b/>
          <w:sz w:val="32"/>
          <w:szCs w:val="32"/>
        </w:rPr>
      </w:pPr>
      <w:r>
        <w:rPr>
          <w:rFonts w:hint="eastAsia" w:ascii="黑体" w:hAnsi="黑体" w:eastAsia="黑体" w:cs="黑体"/>
          <w:b/>
          <w:sz w:val="32"/>
          <w:szCs w:val="32"/>
          <w:shd w:val="clear" w:color="auto" w:fill="FFFFFF"/>
        </w:rPr>
        <w:t>四、政府信息公开行政复议、行政诉讼情况</w:t>
      </w:r>
    </w:p>
    <w:tbl>
      <w:tblPr>
        <w:tblStyle w:val="5"/>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650"/>
        <w:gridCol w:w="650"/>
        <w:gridCol w:w="650"/>
        <w:gridCol w:w="650"/>
        <w:gridCol w:w="650"/>
        <w:gridCol w:w="649"/>
        <w:gridCol w:w="649"/>
        <w:gridCol w:w="650"/>
        <w:gridCol w:w="650"/>
        <w:gridCol w:w="650"/>
        <w:gridCol w:w="650"/>
        <w:gridCol w:w="650"/>
        <w:gridCol w:w="650"/>
        <w:gridCol w:w="650"/>
        <w:gridCol w:w="65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250"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jc w:val="center"/>
              <w:rPr>
                <w:b/>
              </w:rPr>
            </w:pPr>
            <w:r>
              <w:rPr>
                <w:rFonts w:hint="eastAsia" w:ascii="宋体" w:hAnsi="宋体" w:cs="宋体"/>
                <w:b/>
                <w:kern w:val="0"/>
                <w:sz w:val="20"/>
                <w:szCs w:val="20"/>
                <w:lang w:bidi="ar"/>
              </w:rPr>
              <w:t>行政复议</w:t>
            </w:r>
          </w:p>
        </w:tc>
        <w:tc>
          <w:tcPr>
            <w:tcW w:w="6498" w:type="dxa"/>
            <w:gridSpan w:val="10"/>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jc w:val="center"/>
              <w:rPr>
                <w:b/>
              </w:rPr>
            </w:pPr>
            <w:r>
              <w:rPr>
                <w:rFonts w:hint="eastAsia" w:ascii="宋体" w:hAnsi="宋体" w:cs="宋体"/>
                <w:b/>
                <w:kern w:val="0"/>
                <w:sz w:val="20"/>
                <w:szCs w:val="20"/>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50"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jc w:val="center"/>
              <w:rPr>
                <w:b/>
              </w:rPr>
            </w:pPr>
            <w:r>
              <w:rPr>
                <w:rFonts w:hint="eastAsia" w:ascii="宋体" w:hAnsi="宋体" w:cs="宋体"/>
                <w:b/>
                <w:kern w:val="0"/>
                <w:sz w:val="20"/>
                <w:szCs w:val="20"/>
                <w:lang w:bidi="ar"/>
              </w:rPr>
              <w:t>结果维持</w:t>
            </w:r>
          </w:p>
        </w:tc>
        <w:tc>
          <w:tcPr>
            <w:tcW w:w="650"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jc w:val="center"/>
              <w:rPr>
                <w:b/>
              </w:rPr>
            </w:pPr>
            <w:r>
              <w:rPr>
                <w:rFonts w:hint="eastAsia" w:ascii="宋体" w:hAnsi="宋体" w:cs="宋体"/>
                <w:b/>
                <w:kern w:val="0"/>
                <w:sz w:val="20"/>
                <w:szCs w:val="20"/>
                <w:lang w:bidi="ar"/>
              </w:rPr>
              <w:t>结果</w:t>
            </w:r>
            <w:r>
              <w:rPr>
                <w:rFonts w:hint="eastAsia" w:ascii="宋体" w:hAnsi="宋体" w:cs="宋体"/>
                <w:b/>
                <w:kern w:val="0"/>
                <w:sz w:val="20"/>
                <w:szCs w:val="20"/>
                <w:lang w:bidi="ar"/>
              </w:rPr>
              <w:br w:type="textWrapping"/>
            </w:r>
            <w:r>
              <w:rPr>
                <w:rFonts w:hint="eastAsia" w:ascii="宋体" w:hAnsi="宋体" w:cs="宋体"/>
                <w:b/>
                <w:kern w:val="0"/>
                <w:sz w:val="20"/>
                <w:szCs w:val="20"/>
                <w:lang w:bidi="ar"/>
              </w:rPr>
              <w:t>纠正</w:t>
            </w:r>
          </w:p>
        </w:tc>
        <w:tc>
          <w:tcPr>
            <w:tcW w:w="650"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jc w:val="center"/>
              <w:rPr>
                <w:b/>
              </w:rPr>
            </w:pPr>
            <w:r>
              <w:rPr>
                <w:rFonts w:hint="eastAsia" w:ascii="宋体" w:hAnsi="宋体" w:cs="宋体"/>
                <w:b/>
                <w:kern w:val="0"/>
                <w:sz w:val="20"/>
                <w:szCs w:val="20"/>
                <w:lang w:bidi="ar"/>
              </w:rPr>
              <w:t>其他</w:t>
            </w:r>
            <w:r>
              <w:rPr>
                <w:rFonts w:hint="eastAsia" w:ascii="宋体" w:hAnsi="宋体" w:cs="宋体"/>
                <w:b/>
                <w:kern w:val="0"/>
                <w:sz w:val="20"/>
                <w:szCs w:val="20"/>
                <w:lang w:bidi="ar"/>
              </w:rPr>
              <w:br w:type="textWrapping"/>
            </w:r>
            <w:r>
              <w:rPr>
                <w:rFonts w:hint="eastAsia" w:ascii="宋体" w:hAnsi="宋体" w:cs="宋体"/>
                <w:b/>
                <w:kern w:val="0"/>
                <w:sz w:val="20"/>
                <w:szCs w:val="20"/>
                <w:lang w:bidi="ar"/>
              </w:rPr>
              <w:t>结果</w:t>
            </w:r>
          </w:p>
        </w:tc>
        <w:tc>
          <w:tcPr>
            <w:tcW w:w="650"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jc w:val="center"/>
              <w:rPr>
                <w:b/>
              </w:rPr>
            </w:pPr>
            <w:r>
              <w:rPr>
                <w:rFonts w:hint="eastAsia" w:ascii="宋体" w:hAnsi="宋体" w:cs="宋体"/>
                <w:b/>
                <w:kern w:val="0"/>
                <w:sz w:val="20"/>
                <w:szCs w:val="20"/>
                <w:lang w:bidi="ar"/>
              </w:rPr>
              <w:t>尚未</w:t>
            </w:r>
            <w:r>
              <w:rPr>
                <w:rFonts w:hint="eastAsia" w:ascii="宋体" w:hAnsi="宋体" w:cs="宋体"/>
                <w:b/>
                <w:kern w:val="0"/>
                <w:sz w:val="20"/>
                <w:szCs w:val="20"/>
                <w:lang w:bidi="ar"/>
              </w:rPr>
              <w:br w:type="textWrapping"/>
            </w:r>
            <w:r>
              <w:rPr>
                <w:rFonts w:hint="eastAsia" w:ascii="宋体" w:hAnsi="宋体" w:cs="宋体"/>
                <w:b/>
                <w:kern w:val="0"/>
                <w:sz w:val="20"/>
                <w:szCs w:val="20"/>
                <w:lang w:bidi="ar"/>
              </w:rPr>
              <w:t>审结</w:t>
            </w:r>
          </w:p>
        </w:tc>
        <w:tc>
          <w:tcPr>
            <w:tcW w:w="650"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jc w:val="center"/>
              <w:rPr>
                <w:b/>
              </w:rPr>
            </w:pPr>
            <w:r>
              <w:rPr>
                <w:rFonts w:hint="eastAsia" w:ascii="宋体" w:hAnsi="宋体" w:cs="宋体"/>
                <w:b/>
                <w:kern w:val="0"/>
                <w:sz w:val="20"/>
                <w:szCs w:val="20"/>
                <w:lang w:bidi="ar"/>
              </w:rPr>
              <w:t>总计</w:t>
            </w:r>
          </w:p>
        </w:tc>
        <w:tc>
          <w:tcPr>
            <w:tcW w:w="3248"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jc w:val="center"/>
              <w:rPr>
                <w:b/>
              </w:rPr>
            </w:pPr>
            <w:r>
              <w:rPr>
                <w:rFonts w:hint="eastAsia" w:ascii="宋体" w:hAnsi="宋体" w:cs="宋体"/>
                <w:b/>
                <w:kern w:val="0"/>
                <w:sz w:val="20"/>
                <w:szCs w:val="20"/>
                <w:lang w:bidi="ar"/>
              </w:rPr>
              <w:t>未经复议直接起诉</w:t>
            </w:r>
          </w:p>
        </w:tc>
        <w:tc>
          <w:tcPr>
            <w:tcW w:w="3250"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jc w:val="center"/>
              <w:rPr>
                <w:b/>
              </w:rPr>
            </w:pPr>
            <w:r>
              <w:rPr>
                <w:rFonts w:hint="eastAsia" w:ascii="宋体" w:hAnsi="宋体" w:cs="宋体"/>
                <w:b/>
                <w:kern w:val="0"/>
                <w:sz w:val="20"/>
                <w:szCs w:val="20"/>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50"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rPr>
                <w:rFonts w:ascii="宋体"/>
                <w:b/>
                <w:sz w:val="24"/>
              </w:rPr>
            </w:pPr>
          </w:p>
        </w:tc>
        <w:tc>
          <w:tcPr>
            <w:tcW w:w="650"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rPr>
                <w:rFonts w:ascii="宋体"/>
                <w:b/>
                <w:sz w:val="24"/>
              </w:rPr>
            </w:pPr>
          </w:p>
        </w:tc>
        <w:tc>
          <w:tcPr>
            <w:tcW w:w="650"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rPr>
                <w:rFonts w:ascii="宋体"/>
                <w:b/>
                <w:sz w:val="24"/>
              </w:rPr>
            </w:pPr>
          </w:p>
        </w:tc>
        <w:tc>
          <w:tcPr>
            <w:tcW w:w="650"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rPr>
                <w:rFonts w:ascii="宋体"/>
                <w:b/>
                <w:sz w:val="24"/>
              </w:rPr>
            </w:pPr>
          </w:p>
        </w:tc>
        <w:tc>
          <w:tcPr>
            <w:tcW w:w="650"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rPr>
                <w:rFonts w:ascii="宋体"/>
                <w:b/>
                <w:sz w:val="24"/>
              </w:rPr>
            </w:pP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jc w:val="center"/>
              <w:rPr>
                <w:b/>
              </w:rPr>
            </w:pPr>
            <w:r>
              <w:rPr>
                <w:rFonts w:hint="eastAsia" w:ascii="宋体" w:hAnsi="宋体" w:cs="宋体"/>
                <w:b/>
                <w:kern w:val="0"/>
                <w:sz w:val="20"/>
                <w:szCs w:val="20"/>
                <w:lang w:bidi="ar"/>
              </w:rPr>
              <w:t>结果</w:t>
            </w:r>
            <w:r>
              <w:rPr>
                <w:rFonts w:hint="eastAsia" w:ascii="宋体" w:hAnsi="宋体" w:cs="宋体"/>
                <w:b/>
                <w:kern w:val="0"/>
                <w:sz w:val="20"/>
                <w:szCs w:val="20"/>
                <w:lang w:bidi="ar"/>
              </w:rPr>
              <w:br w:type="textWrapping"/>
            </w:r>
            <w:r>
              <w:rPr>
                <w:rFonts w:hint="eastAsia" w:ascii="宋体" w:hAnsi="宋体" w:cs="宋体"/>
                <w:b/>
                <w:kern w:val="0"/>
                <w:sz w:val="20"/>
                <w:szCs w:val="20"/>
                <w:lang w:bidi="ar"/>
              </w:rPr>
              <w:t>维持</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jc w:val="center"/>
              <w:rPr>
                <w:b/>
              </w:rPr>
            </w:pPr>
            <w:r>
              <w:rPr>
                <w:rFonts w:hint="eastAsia" w:ascii="宋体" w:hAnsi="宋体" w:cs="宋体"/>
                <w:b/>
                <w:kern w:val="0"/>
                <w:sz w:val="20"/>
                <w:szCs w:val="20"/>
                <w:lang w:bidi="ar"/>
              </w:rPr>
              <w:t>结果</w:t>
            </w:r>
            <w:r>
              <w:rPr>
                <w:rFonts w:hint="eastAsia" w:ascii="宋体" w:hAnsi="宋体" w:cs="宋体"/>
                <w:b/>
                <w:kern w:val="0"/>
                <w:sz w:val="20"/>
                <w:szCs w:val="20"/>
                <w:lang w:bidi="ar"/>
              </w:rPr>
              <w:br w:type="textWrapping"/>
            </w:r>
            <w:r>
              <w:rPr>
                <w:rFonts w:hint="eastAsia" w:ascii="宋体" w:hAnsi="宋体" w:cs="宋体"/>
                <w:b/>
                <w:kern w:val="0"/>
                <w:sz w:val="20"/>
                <w:szCs w:val="20"/>
                <w:lang w:bidi="ar"/>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jc w:val="center"/>
              <w:rPr>
                <w:b/>
              </w:rPr>
            </w:pPr>
            <w:r>
              <w:rPr>
                <w:rFonts w:hint="eastAsia" w:ascii="宋体" w:hAnsi="宋体" w:cs="宋体"/>
                <w:b/>
                <w:kern w:val="0"/>
                <w:sz w:val="20"/>
                <w:szCs w:val="20"/>
                <w:lang w:bidi="ar"/>
              </w:rPr>
              <w:t>其他</w:t>
            </w:r>
            <w:r>
              <w:rPr>
                <w:rFonts w:hint="eastAsia" w:ascii="宋体" w:hAnsi="宋体" w:cs="宋体"/>
                <w:b/>
                <w:kern w:val="0"/>
                <w:sz w:val="20"/>
                <w:szCs w:val="20"/>
                <w:lang w:bidi="ar"/>
              </w:rPr>
              <w:br w:type="textWrapping"/>
            </w:r>
            <w:r>
              <w:rPr>
                <w:rFonts w:hint="eastAsia" w:ascii="宋体" w:hAnsi="宋体" w:cs="宋体"/>
                <w:b/>
                <w:kern w:val="0"/>
                <w:sz w:val="20"/>
                <w:szCs w:val="20"/>
                <w:lang w:bidi="ar"/>
              </w:rPr>
              <w:t>结果</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jc w:val="center"/>
              <w:rPr>
                <w:b/>
              </w:rPr>
            </w:pPr>
            <w:r>
              <w:rPr>
                <w:rFonts w:hint="eastAsia" w:ascii="宋体" w:hAnsi="宋体" w:cs="宋体"/>
                <w:b/>
                <w:kern w:val="0"/>
                <w:sz w:val="20"/>
                <w:szCs w:val="20"/>
                <w:lang w:bidi="ar"/>
              </w:rPr>
              <w:t>尚未</w:t>
            </w:r>
            <w:r>
              <w:rPr>
                <w:rFonts w:hint="eastAsia" w:ascii="宋体" w:hAnsi="宋体" w:cs="宋体"/>
                <w:b/>
                <w:kern w:val="0"/>
                <w:sz w:val="20"/>
                <w:szCs w:val="20"/>
                <w:lang w:bidi="ar"/>
              </w:rPr>
              <w:br w:type="textWrapping"/>
            </w:r>
            <w:r>
              <w:rPr>
                <w:rFonts w:hint="eastAsia" w:ascii="宋体" w:hAnsi="宋体" w:cs="宋体"/>
                <w:b/>
                <w:kern w:val="0"/>
                <w:sz w:val="20"/>
                <w:szCs w:val="20"/>
                <w:lang w:bidi="ar"/>
              </w:rPr>
              <w:t>审结</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jc w:val="center"/>
              <w:rPr>
                <w:b/>
              </w:rPr>
            </w:pPr>
            <w:r>
              <w:rPr>
                <w:rFonts w:hint="eastAsia" w:ascii="宋体" w:hAnsi="宋体" w:cs="宋体"/>
                <w:b/>
                <w:kern w:val="0"/>
                <w:sz w:val="20"/>
                <w:szCs w:val="20"/>
                <w:lang w:bidi="ar"/>
              </w:rPr>
              <w:t>总计</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jc w:val="center"/>
              <w:rPr>
                <w:b/>
              </w:rPr>
            </w:pPr>
            <w:r>
              <w:rPr>
                <w:rFonts w:hint="eastAsia" w:ascii="宋体" w:hAnsi="宋体" w:cs="宋体"/>
                <w:b/>
                <w:kern w:val="0"/>
                <w:sz w:val="20"/>
                <w:szCs w:val="20"/>
                <w:lang w:bidi="ar"/>
              </w:rPr>
              <w:t>结果</w:t>
            </w:r>
            <w:r>
              <w:rPr>
                <w:rFonts w:hint="eastAsia" w:ascii="宋体" w:hAnsi="宋体" w:cs="宋体"/>
                <w:b/>
                <w:kern w:val="0"/>
                <w:sz w:val="20"/>
                <w:szCs w:val="20"/>
                <w:lang w:bidi="ar"/>
              </w:rPr>
              <w:br w:type="textWrapping"/>
            </w:r>
            <w:r>
              <w:rPr>
                <w:rFonts w:hint="eastAsia" w:ascii="宋体" w:hAnsi="宋体" w:cs="宋体"/>
                <w:b/>
                <w:kern w:val="0"/>
                <w:sz w:val="20"/>
                <w:szCs w:val="20"/>
                <w:lang w:bidi="ar"/>
              </w:rPr>
              <w:t>维持</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jc w:val="center"/>
              <w:rPr>
                <w:b/>
              </w:rPr>
            </w:pPr>
            <w:r>
              <w:rPr>
                <w:rFonts w:hint="eastAsia" w:ascii="宋体" w:hAnsi="宋体" w:cs="宋体"/>
                <w:b/>
                <w:kern w:val="0"/>
                <w:sz w:val="20"/>
                <w:szCs w:val="20"/>
                <w:lang w:bidi="ar"/>
              </w:rPr>
              <w:t>结果</w:t>
            </w:r>
            <w:r>
              <w:rPr>
                <w:rFonts w:hint="eastAsia" w:ascii="宋体" w:hAnsi="宋体" w:cs="宋体"/>
                <w:b/>
                <w:kern w:val="0"/>
                <w:sz w:val="20"/>
                <w:szCs w:val="20"/>
                <w:lang w:bidi="ar"/>
              </w:rPr>
              <w:br w:type="textWrapping"/>
            </w:r>
            <w:r>
              <w:rPr>
                <w:rFonts w:hint="eastAsia" w:ascii="宋体" w:hAnsi="宋体" w:cs="宋体"/>
                <w:b/>
                <w:kern w:val="0"/>
                <w:sz w:val="20"/>
                <w:szCs w:val="20"/>
                <w:lang w:bidi="ar"/>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jc w:val="center"/>
              <w:rPr>
                <w:b/>
              </w:rPr>
            </w:pPr>
            <w:r>
              <w:rPr>
                <w:rFonts w:hint="eastAsia" w:ascii="宋体" w:hAnsi="宋体" w:cs="宋体"/>
                <w:b/>
                <w:kern w:val="0"/>
                <w:sz w:val="20"/>
                <w:szCs w:val="20"/>
                <w:lang w:bidi="ar"/>
              </w:rPr>
              <w:t>其他</w:t>
            </w:r>
            <w:r>
              <w:rPr>
                <w:rFonts w:hint="eastAsia" w:ascii="宋体" w:hAnsi="宋体" w:cs="宋体"/>
                <w:b/>
                <w:kern w:val="0"/>
                <w:sz w:val="20"/>
                <w:szCs w:val="20"/>
                <w:lang w:bidi="ar"/>
              </w:rPr>
              <w:br w:type="textWrapping"/>
            </w:r>
            <w:r>
              <w:rPr>
                <w:rFonts w:hint="eastAsia" w:ascii="宋体" w:hAnsi="宋体" w:cs="宋体"/>
                <w:b/>
                <w:kern w:val="0"/>
                <w:sz w:val="20"/>
                <w:szCs w:val="20"/>
                <w:lang w:bidi="ar"/>
              </w:rPr>
              <w:t>结果</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jc w:val="center"/>
              <w:rPr>
                <w:b/>
              </w:rPr>
            </w:pPr>
            <w:r>
              <w:rPr>
                <w:rFonts w:hint="eastAsia" w:ascii="宋体" w:hAnsi="宋体" w:cs="宋体"/>
                <w:b/>
                <w:kern w:val="0"/>
                <w:sz w:val="20"/>
                <w:szCs w:val="20"/>
                <w:lang w:bidi="ar"/>
              </w:rPr>
              <w:t>尚未</w:t>
            </w:r>
            <w:r>
              <w:rPr>
                <w:rFonts w:hint="eastAsia" w:ascii="宋体" w:hAnsi="宋体" w:cs="宋体"/>
                <w:b/>
                <w:kern w:val="0"/>
                <w:sz w:val="20"/>
                <w:szCs w:val="20"/>
                <w:lang w:bidi="ar"/>
              </w:rPr>
              <w:br w:type="textWrapping"/>
            </w:r>
            <w:r>
              <w:rPr>
                <w:rFonts w:hint="eastAsia" w:ascii="宋体" w:hAnsi="宋体" w:cs="宋体"/>
                <w:b/>
                <w:kern w:val="0"/>
                <w:sz w:val="20"/>
                <w:szCs w:val="20"/>
                <w:lang w:bidi="ar"/>
              </w:rPr>
              <w:t>审结</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jc w:val="center"/>
              <w:rPr>
                <w:b/>
              </w:rPr>
            </w:pPr>
            <w:r>
              <w:rPr>
                <w:rFonts w:hint="eastAsia" w:ascii="宋体" w:hAnsi="宋体" w:cs="宋体"/>
                <w:b/>
                <w:kern w:val="0"/>
                <w:sz w:val="20"/>
                <w:szCs w:val="20"/>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jc w:val="center"/>
              <w:rPr>
                <w:b/>
              </w:rPr>
            </w:pPr>
            <w:r>
              <w:rPr>
                <w:rFonts w:hint="eastAsia" w:ascii="黑体" w:hAnsi="宋体" w:eastAsia="黑体"/>
                <w:b/>
                <w:kern w:val="0"/>
                <w:sz w:val="20"/>
                <w:szCs w:val="20"/>
              </w:rPr>
              <w:t> </w:t>
            </w:r>
            <w:r>
              <w:rPr>
                <w:rFonts w:hint="eastAsia" w:ascii="黑体" w:hAnsi="黑体" w:eastAsia="黑体"/>
                <w:b/>
                <w:kern w:val="0"/>
                <w:sz w:val="20"/>
                <w:szCs w:val="20"/>
              </w:rPr>
              <w:t>1</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jc w:val="center"/>
              <w:rPr>
                <w:b/>
              </w:rPr>
            </w:pPr>
            <w:r>
              <w:rPr>
                <w:rFonts w:hint="eastAsia" w:ascii="宋体" w:hAnsi="宋体"/>
                <w:b/>
                <w:kern w:val="0"/>
                <w:sz w:val="20"/>
                <w:szCs w:val="20"/>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jc w:val="center"/>
              <w:rPr>
                <w:b/>
              </w:rPr>
            </w:pPr>
            <w:r>
              <w:rPr>
                <w:rFonts w:hint="eastAsia" w:ascii="宋体" w:hAnsi="宋体"/>
                <w:b/>
                <w:kern w:val="0"/>
                <w:sz w:val="20"/>
                <w:szCs w:val="20"/>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jc w:val="center"/>
              <w:rPr>
                <w:b/>
              </w:rPr>
            </w:pPr>
            <w:r>
              <w:rPr>
                <w:rFonts w:hint="eastAsia" w:ascii="宋体" w:hAnsi="宋体"/>
                <w:b/>
                <w:kern w:val="0"/>
                <w:sz w:val="20"/>
                <w:szCs w:val="20"/>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jc w:val="center"/>
              <w:rPr>
                <w:b/>
              </w:rPr>
            </w:pPr>
            <w:r>
              <w:rPr>
                <w:rFonts w:hint="eastAsia" w:ascii="宋体" w:hAnsi="宋体"/>
                <w:b/>
                <w:kern w:val="0"/>
                <w:sz w:val="20"/>
                <w:szCs w:val="20"/>
              </w:rPr>
              <w:t> </w:t>
            </w:r>
            <w:r>
              <w:rPr>
                <w:rFonts w:hint="eastAsia" w:ascii="黑体" w:hAnsi="黑体" w:eastAsia="黑体"/>
                <w:b/>
                <w:kern w:val="0"/>
                <w:sz w:val="20"/>
                <w:szCs w:val="20"/>
              </w:rPr>
              <w:t>1</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jc w:val="center"/>
              <w:rPr>
                <w:b/>
              </w:rPr>
            </w:pPr>
            <w:r>
              <w:rPr>
                <w:rFonts w:hint="eastAsia" w:ascii="宋体" w:hAnsi="宋体"/>
                <w:b/>
                <w:kern w:val="0"/>
                <w:sz w:val="20"/>
                <w:szCs w:val="20"/>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jc w:val="center"/>
              <w:rPr>
                <w:b/>
              </w:rPr>
            </w:pPr>
            <w:r>
              <w:rPr>
                <w:rFonts w:hint="eastAsia" w:ascii="宋体" w:hAnsi="宋体"/>
                <w:b/>
                <w:kern w:val="0"/>
                <w:sz w:val="20"/>
                <w:szCs w:val="20"/>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jc w:val="center"/>
              <w:rPr>
                <w:b/>
              </w:rPr>
            </w:pPr>
            <w:r>
              <w:rPr>
                <w:rFonts w:hint="eastAsia" w:ascii="宋体" w:hAnsi="宋体"/>
                <w:b/>
                <w:kern w:val="0"/>
                <w:sz w:val="20"/>
                <w:szCs w:val="20"/>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jc w:val="center"/>
              <w:rPr>
                <w:b/>
              </w:rPr>
            </w:pPr>
            <w:r>
              <w:rPr>
                <w:rFonts w:hint="eastAsia" w:ascii="宋体" w:hAnsi="宋体"/>
                <w:b/>
                <w:kern w:val="0"/>
                <w:sz w:val="20"/>
                <w:szCs w:val="20"/>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jc w:val="center"/>
              <w:rPr>
                <w:b/>
              </w:rPr>
            </w:pPr>
            <w:r>
              <w:rPr>
                <w:rFonts w:hint="eastAsia" w:ascii="宋体" w:hAnsi="宋体"/>
                <w:b/>
                <w:kern w:val="0"/>
                <w:sz w:val="20"/>
                <w:szCs w:val="20"/>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jc w:val="center"/>
              <w:rPr>
                <w:b/>
              </w:rPr>
            </w:pPr>
            <w:r>
              <w:rPr>
                <w:rFonts w:hint="eastAsia" w:ascii="宋体" w:hAnsi="宋体"/>
                <w:b/>
                <w:kern w:val="0"/>
                <w:sz w:val="20"/>
                <w:szCs w:val="20"/>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jc w:val="center"/>
              <w:rPr>
                <w:b/>
              </w:rPr>
            </w:pPr>
            <w:r>
              <w:rPr>
                <w:rFonts w:hint="eastAsia" w:ascii="宋体" w:hAnsi="宋体"/>
                <w:b/>
                <w:kern w:val="0"/>
                <w:sz w:val="20"/>
                <w:szCs w:val="20"/>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jc w:val="center"/>
              <w:rPr>
                <w:b/>
              </w:rPr>
            </w:pPr>
            <w:r>
              <w:rPr>
                <w:rFonts w:hint="eastAsia" w:ascii="宋体" w:hAnsi="宋体"/>
                <w:b/>
                <w:kern w:val="0"/>
                <w:sz w:val="20"/>
                <w:szCs w:val="20"/>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jc w:val="center"/>
              <w:rPr>
                <w:b/>
              </w:rPr>
            </w:pPr>
            <w:r>
              <w:rPr>
                <w:rFonts w:hint="eastAsia" w:ascii="宋体" w:hAnsi="宋体"/>
                <w:b/>
                <w:kern w:val="0"/>
                <w:sz w:val="20"/>
                <w:szCs w:val="20"/>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rPr>
                <w:rFonts w:ascii="宋体"/>
                <w:b/>
                <w:sz w:val="24"/>
              </w:rPr>
            </w:pPr>
            <w:r>
              <w:rPr>
                <w:rFonts w:hint="eastAsia" w:ascii="宋体" w:hAnsi="宋体"/>
                <w:b/>
                <w:kern w:val="0"/>
                <w:sz w:val="20"/>
                <w:szCs w:val="20"/>
              </w:rPr>
              <w:t>0</w:t>
            </w:r>
          </w:p>
        </w:tc>
      </w:tr>
    </w:tbl>
    <w:p>
      <w:pPr>
        <w:widowControl/>
        <w:jc w:val="left"/>
        <w:rPr>
          <w:b/>
        </w:rPr>
      </w:pPr>
    </w:p>
    <w:p>
      <w:pPr>
        <w:pStyle w:val="4"/>
        <w:widowControl/>
        <w:shd w:val="clear" w:color="auto" w:fill="FFFFFF"/>
        <w:spacing w:before="0" w:beforeAutospacing="0" w:after="0" w:afterAutospacing="0" w:line="560" w:lineRule="exact"/>
        <w:ind w:firstLine="642" w:firstLineChars="200"/>
        <w:jc w:val="both"/>
        <w:rPr>
          <w:rFonts w:ascii="黑体" w:hAnsi="黑体" w:eastAsia="黑体" w:cs="黑体"/>
          <w:b/>
          <w:sz w:val="32"/>
          <w:szCs w:val="32"/>
        </w:rPr>
      </w:pPr>
      <w:r>
        <w:rPr>
          <w:rFonts w:hint="eastAsia" w:ascii="黑体" w:hAnsi="黑体" w:eastAsia="黑体" w:cs="黑体"/>
          <w:b/>
          <w:sz w:val="32"/>
          <w:szCs w:val="32"/>
          <w:shd w:val="clear" w:color="auto" w:fill="FFFFFF"/>
        </w:rPr>
        <w:t>五、存在的主要问题及改进情况</w:t>
      </w:r>
    </w:p>
    <w:p>
      <w:pPr>
        <w:pStyle w:val="4"/>
        <w:widowControl/>
        <w:shd w:val="clear" w:color="auto" w:fill="FFFFFF"/>
        <w:spacing w:before="0" w:beforeAutospacing="0" w:after="0" w:afterAutospacing="0" w:line="560" w:lineRule="exact"/>
        <w:ind w:firstLine="642" w:firstLineChars="200"/>
        <w:jc w:val="both"/>
        <w:rPr>
          <w:rFonts w:hint="eastAsia" w:ascii="方正仿宋简体" w:hAnsi="方正仿宋简体" w:eastAsia="方正仿宋简体" w:cs="方正仿宋简体"/>
          <w:b/>
          <w:kern w:val="2"/>
          <w:sz w:val="32"/>
          <w:szCs w:val="32"/>
        </w:rPr>
      </w:pPr>
      <w:r>
        <w:rPr>
          <w:rFonts w:hint="eastAsia" w:ascii="方正仿宋简体" w:hAnsi="方正仿宋简体" w:eastAsia="方正仿宋简体" w:cs="方正仿宋简体"/>
          <w:b/>
          <w:kern w:val="2"/>
          <w:sz w:val="32"/>
          <w:szCs w:val="32"/>
        </w:rPr>
        <w:t>一是重视程度需进一步提高，对政务公开工作的重要性认识不足，为迎评而公开的“应试”倾向严重；二是解读质量需进一步提升，部分政策解读材料流于表面，未达到解读效果；三是部分指标公开不规范，如公开时间滞后，部分信息缺失等。</w:t>
      </w:r>
    </w:p>
    <w:p>
      <w:pPr>
        <w:pStyle w:val="4"/>
        <w:widowControl/>
        <w:shd w:val="clear" w:color="auto" w:fill="FFFFFF"/>
        <w:spacing w:before="0" w:beforeAutospacing="0" w:after="0" w:afterAutospacing="0" w:line="560" w:lineRule="exact"/>
        <w:ind w:firstLine="642" w:firstLineChars="200"/>
        <w:rPr>
          <w:rFonts w:hint="eastAsia" w:ascii="方正仿宋简体" w:hAnsi="方正仿宋简体" w:eastAsia="方正仿宋简体" w:cs="方正仿宋简体"/>
          <w:b/>
          <w:kern w:val="2"/>
          <w:sz w:val="32"/>
          <w:szCs w:val="32"/>
        </w:rPr>
      </w:pPr>
      <w:r>
        <w:rPr>
          <w:rFonts w:hint="eastAsia" w:ascii="方正仿宋简体" w:hAnsi="方正仿宋简体" w:eastAsia="方正仿宋简体" w:cs="方正仿宋简体"/>
          <w:b/>
          <w:kern w:val="2"/>
          <w:sz w:val="32"/>
          <w:szCs w:val="32"/>
        </w:rPr>
        <w:t>针对上述问题，下一步将重点抓好以下工作：一是强化日常督导，制定详细的政务公开工作计划表，明确全年工作目标，细化每月、每周具体任务，按照时间节点进行定期督导、检查，确保工作有章可循，有序推进。二是提高政策解读水平，指导起草部门着重对新旧政策差异、特色亮点以及惠民利民举措等进行详细解读，对重要政策必须采取主要负责人、新闻发布会、专家、媒体等两种以上方式进行解读，切实提高解读质量；三是突出做好规范性文件、“双随机一公开”、行政执法信息、重点任务承诺、住房教育等重点信息的及时更新，避免年底“突击式”发布，真正保障群众的知情权、参与权、监督权和表达权。</w:t>
      </w:r>
    </w:p>
    <w:p>
      <w:pPr>
        <w:pStyle w:val="4"/>
        <w:widowControl/>
        <w:shd w:val="clear" w:color="auto" w:fill="FFFFFF"/>
        <w:spacing w:before="0" w:beforeAutospacing="0" w:after="0" w:afterAutospacing="0" w:line="560" w:lineRule="exact"/>
        <w:ind w:firstLine="642" w:firstLineChars="200"/>
        <w:jc w:val="both"/>
        <w:rPr>
          <w:rFonts w:ascii="黑体" w:hAnsi="黑体" w:eastAsia="黑体" w:cs="黑体"/>
          <w:b/>
          <w:sz w:val="32"/>
          <w:szCs w:val="32"/>
        </w:rPr>
      </w:pPr>
      <w:r>
        <w:rPr>
          <w:rFonts w:hint="eastAsia" w:ascii="黑体" w:hAnsi="黑体" w:eastAsia="黑体" w:cs="黑体"/>
          <w:b/>
          <w:sz w:val="32"/>
          <w:szCs w:val="32"/>
          <w:shd w:val="clear" w:color="auto" w:fill="FFFFFF"/>
        </w:rPr>
        <w:t>六、其他需要报告的事项</w:t>
      </w:r>
    </w:p>
    <w:p>
      <w:pPr>
        <w:keepNext w:val="0"/>
        <w:keepLines w:val="0"/>
        <w:pageBreakBefore w:val="0"/>
        <w:widowControl w:val="0"/>
        <w:kinsoku/>
        <w:wordWrap/>
        <w:overflowPunct/>
        <w:topLinePunct w:val="0"/>
        <w:autoSpaceDE/>
        <w:autoSpaceDN/>
        <w:bidi w:val="0"/>
        <w:adjustRightInd/>
        <w:snapToGrid/>
        <w:ind w:firstLine="642" w:firstLineChars="200"/>
        <w:textAlignment w:val="auto"/>
        <w:rPr>
          <w:rFonts w:hint="eastAsia" w:ascii="方正楷体简体" w:hAnsi="方正楷体简体" w:eastAsia="方正楷体简体" w:cs="方正楷体简体"/>
          <w:b/>
          <w:bCs w:val="0"/>
          <w:color w:val="auto"/>
          <w:sz w:val="32"/>
          <w:szCs w:val="32"/>
        </w:rPr>
      </w:pPr>
      <w:r>
        <w:rPr>
          <w:rFonts w:hint="eastAsia" w:ascii="方正楷体简体" w:hAnsi="方正楷体简体" w:eastAsia="方正楷体简体" w:cs="方正楷体简体"/>
          <w:b/>
          <w:bCs w:val="0"/>
          <w:color w:val="auto"/>
          <w:sz w:val="32"/>
          <w:szCs w:val="32"/>
          <w:lang w:eastAsia="zh-CN"/>
        </w:rPr>
        <w:t>（一）</w:t>
      </w:r>
      <w:r>
        <w:rPr>
          <w:rFonts w:hint="eastAsia" w:ascii="方正楷体简体" w:hAnsi="方正楷体简体" w:eastAsia="方正楷体简体" w:cs="方正楷体简体"/>
          <w:b/>
          <w:bCs w:val="0"/>
          <w:color w:val="auto"/>
          <w:sz w:val="32"/>
          <w:szCs w:val="32"/>
        </w:rPr>
        <w:t>依据《政府信息公开信息处理费管理办法》收取信息处理费的情况</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方正仿宋简体" w:hAnsi="方正仿宋简体" w:eastAsia="方正仿宋简体" w:cs="方正仿宋简体"/>
          <w:b/>
          <w:sz w:val="32"/>
          <w:szCs w:val="32"/>
          <w:highlight w:val="none"/>
          <w:lang w:eastAsia="zh-CN"/>
        </w:rPr>
      </w:pPr>
      <w:r>
        <w:rPr>
          <w:rFonts w:hint="eastAsia" w:ascii="方正仿宋简体" w:hAnsi="方正仿宋简体" w:eastAsia="方正仿宋简体" w:cs="方正仿宋简体"/>
          <w:b/>
          <w:sz w:val="32"/>
          <w:szCs w:val="32"/>
        </w:rPr>
        <w:t>2022年</w:t>
      </w:r>
      <w:r>
        <w:rPr>
          <w:rFonts w:hint="eastAsia" w:ascii="方正仿宋简体" w:hAnsi="方正仿宋简体" w:eastAsia="方正仿宋简体" w:cs="方正仿宋简体"/>
          <w:b/>
          <w:sz w:val="32"/>
          <w:szCs w:val="32"/>
          <w:highlight w:val="none"/>
        </w:rPr>
        <w:t>度，本机关依据《政府信息公开信息处理费管理办法》未收取信息处理费</w:t>
      </w:r>
      <w:r>
        <w:rPr>
          <w:rFonts w:hint="eastAsia" w:ascii="方正仿宋简体" w:hAnsi="方正仿宋简体" w:eastAsia="方正仿宋简体" w:cs="方正仿宋简体"/>
          <w:b/>
          <w:sz w:val="32"/>
          <w:szCs w:val="32"/>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eastAsia" w:ascii="方正楷体简体" w:hAnsi="方正楷体简体" w:eastAsia="方正楷体简体" w:cs="方正楷体简体"/>
          <w:b/>
          <w:bCs w:val="0"/>
          <w:color w:val="auto"/>
          <w:sz w:val="32"/>
          <w:szCs w:val="32"/>
        </w:rPr>
      </w:pPr>
      <w:r>
        <w:rPr>
          <w:rFonts w:hint="eastAsia" w:ascii="方正楷体简体" w:hAnsi="方正楷体简体" w:eastAsia="方正楷体简体" w:cs="方正楷体简体"/>
          <w:b/>
          <w:bCs w:val="0"/>
          <w:color w:val="auto"/>
          <w:sz w:val="32"/>
          <w:szCs w:val="32"/>
          <w:lang w:eastAsia="zh-CN"/>
        </w:rPr>
        <w:t>（</w:t>
      </w:r>
      <w:r>
        <w:rPr>
          <w:rFonts w:hint="eastAsia" w:ascii="方正楷体简体" w:hAnsi="方正楷体简体" w:eastAsia="方正楷体简体" w:cs="方正楷体简体"/>
          <w:b/>
          <w:bCs w:val="0"/>
          <w:color w:val="auto"/>
          <w:sz w:val="32"/>
          <w:szCs w:val="32"/>
          <w:lang w:val="en-US" w:eastAsia="zh-CN"/>
        </w:rPr>
        <w:t>二</w:t>
      </w:r>
      <w:r>
        <w:rPr>
          <w:rFonts w:hint="eastAsia" w:ascii="方正楷体简体" w:hAnsi="方正楷体简体" w:eastAsia="方正楷体简体" w:cs="方正楷体简体"/>
          <w:b/>
          <w:bCs w:val="0"/>
          <w:color w:val="auto"/>
          <w:sz w:val="32"/>
          <w:szCs w:val="32"/>
          <w:lang w:eastAsia="zh-CN"/>
        </w:rPr>
        <w:t>）</w:t>
      </w:r>
      <w:r>
        <w:rPr>
          <w:rFonts w:hint="eastAsia" w:ascii="方正楷体简体" w:hAnsi="方正楷体简体" w:eastAsia="方正楷体简体" w:cs="方正楷体简体"/>
          <w:b/>
          <w:bCs w:val="0"/>
          <w:color w:val="auto"/>
          <w:sz w:val="32"/>
          <w:szCs w:val="32"/>
        </w:rPr>
        <w:t>本行政机关落实上级年度政务公开工作要点情况</w:t>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eastAsia" w:ascii="方正仿宋简体" w:hAnsi="方正仿宋简体" w:eastAsia="方正仿宋简体" w:cs="方正仿宋简体"/>
          <w:b/>
          <w:bCs w:val="0"/>
          <w:color w:val="auto"/>
          <w:sz w:val="32"/>
          <w:szCs w:val="32"/>
        </w:rPr>
      </w:pPr>
      <w:r>
        <w:rPr>
          <w:rFonts w:hint="eastAsia" w:ascii="方正仿宋简体" w:hAnsi="方正仿宋简体" w:eastAsia="方正仿宋简体" w:cs="方正仿宋简体"/>
          <w:b/>
          <w:bCs w:val="0"/>
          <w:color w:val="auto"/>
          <w:sz w:val="32"/>
          <w:szCs w:val="32"/>
          <w:lang w:val="en-US" w:eastAsia="zh-CN"/>
        </w:rPr>
        <w:t>我办</w:t>
      </w:r>
      <w:r>
        <w:rPr>
          <w:rFonts w:hint="eastAsia" w:ascii="方正仿宋简体" w:hAnsi="方正仿宋简体" w:eastAsia="方正仿宋简体" w:cs="方正仿宋简体"/>
          <w:b/>
          <w:bCs w:val="0"/>
          <w:color w:val="auto"/>
          <w:sz w:val="32"/>
          <w:szCs w:val="32"/>
        </w:rPr>
        <w:t>根据《落实国家&lt;2022年政务公开工作要点&gt;工作台账》《山东省政务公开工作要点》《2022年山东省政务公开重点任务分解表》，结合我市实际，印发《济宁市2022年政务公开工作任务分解表》，聚焦重点任务、明确责任部门、细化公开标准，将国家、省、市政务公开要点进行细化分解，</w:t>
      </w:r>
      <w:r>
        <w:rPr>
          <w:rFonts w:hint="eastAsia" w:ascii="方正仿宋简体" w:hAnsi="方正仿宋简体" w:eastAsia="方正仿宋简体" w:cs="方正仿宋简体"/>
          <w:b/>
          <w:bCs w:val="0"/>
          <w:color w:val="auto"/>
          <w:sz w:val="32"/>
          <w:szCs w:val="32"/>
          <w:lang w:val="en-US" w:eastAsia="zh-CN"/>
        </w:rPr>
        <w:t>对任务分解表完成情况进行定期检查、通报，并计入年底总成绩，确保国家、省、市</w:t>
      </w:r>
      <w:r>
        <w:rPr>
          <w:rFonts w:hint="eastAsia" w:ascii="方正仿宋简体" w:hAnsi="方正仿宋简体" w:eastAsia="方正仿宋简体" w:cs="方正仿宋简体"/>
          <w:b/>
          <w:bCs w:val="0"/>
          <w:color w:val="auto"/>
          <w:sz w:val="32"/>
          <w:szCs w:val="32"/>
        </w:rPr>
        <w:t>2022年政务公开工作要点</w:t>
      </w:r>
      <w:r>
        <w:rPr>
          <w:rFonts w:hint="eastAsia" w:ascii="方正仿宋简体" w:hAnsi="方正仿宋简体" w:eastAsia="方正仿宋简体" w:cs="方正仿宋简体"/>
          <w:b/>
          <w:bCs w:val="0"/>
          <w:color w:val="auto"/>
          <w:sz w:val="32"/>
          <w:szCs w:val="32"/>
          <w:lang w:val="en-US" w:eastAsia="zh-CN"/>
        </w:rPr>
        <w:t>全部</w:t>
      </w:r>
      <w:r>
        <w:rPr>
          <w:rFonts w:hint="eastAsia" w:ascii="方正仿宋简体" w:hAnsi="方正仿宋简体" w:eastAsia="方正仿宋简体" w:cs="方正仿宋简体"/>
          <w:b/>
          <w:bCs w:val="0"/>
          <w:color w:val="auto"/>
          <w:sz w:val="32"/>
          <w:szCs w:val="32"/>
        </w:rPr>
        <w:t>落实</w:t>
      </w:r>
      <w:r>
        <w:rPr>
          <w:rFonts w:hint="eastAsia" w:ascii="方正仿宋简体" w:hAnsi="方正仿宋简体" w:eastAsia="方正仿宋简体" w:cs="方正仿宋简体"/>
          <w:b/>
          <w:bCs w:val="0"/>
          <w:color w:val="auto"/>
          <w:sz w:val="32"/>
          <w:szCs w:val="32"/>
          <w:lang w:val="en-US" w:eastAsia="zh-CN"/>
        </w:rPr>
        <w:t>到位</w:t>
      </w:r>
      <w:r>
        <w:rPr>
          <w:rFonts w:hint="eastAsia" w:ascii="方正仿宋简体" w:hAnsi="方正仿宋简体" w:eastAsia="方正仿宋简体" w:cs="方正仿宋简体"/>
          <w:b/>
          <w:bCs w:val="0"/>
          <w:color w:val="auto"/>
          <w:sz w:val="32"/>
          <w:szCs w:val="32"/>
        </w:rPr>
        <w:t>。</w:t>
      </w:r>
    </w:p>
    <w:p>
      <w:pPr>
        <w:keepNext w:val="0"/>
        <w:keepLines w:val="0"/>
        <w:pageBreakBefore w:val="0"/>
        <w:widowControl w:val="0"/>
        <w:kinsoku/>
        <w:wordWrap/>
        <w:overflowPunct/>
        <w:topLinePunct w:val="0"/>
        <w:autoSpaceDE/>
        <w:autoSpaceDN/>
        <w:bidi w:val="0"/>
        <w:adjustRightInd/>
        <w:snapToGrid/>
        <w:ind w:firstLine="722" w:firstLineChars="200"/>
        <w:textAlignment w:val="auto"/>
        <w:rPr>
          <w:rFonts w:hint="eastAsia" w:ascii="方正楷体简体" w:hAnsi="方正楷体简体" w:eastAsia="方正楷体简体" w:cs="方正楷体简体"/>
          <w:b/>
          <w:bCs w:val="0"/>
          <w:color w:val="auto"/>
          <w:sz w:val="36"/>
          <w:szCs w:val="36"/>
        </w:rPr>
      </w:pPr>
      <w:r>
        <w:rPr>
          <w:rFonts w:hint="eastAsia" w:ascii="方正楷体简体" w:hAnsi="方正楷体简体" w:eastAsia="方正楷体简体" w:cs="方正楷体简体"/>
          <w:b/>
          <w:bCs w:val="0"/>
          <w:color w:val="auto"/>
          <w:sz w:val="36"/>
          <w:szCs w:val="36"/>
          <w:lang w:eastAsia="zh-CN"/>
        </w:rPr>
        <w:t>（三）</w:t>
      </w:r>
      <w:r>
        <w:rPr>
          <w:rFonts w:hint="eastAsia" w:ascii="方正楷体简体" w:hAnsi="方正楷体简体" w:eastAsia="方正楷体简体" w:cs="方正楷体简体"/>
          <w:b/>
          <w:bCs w:val="0"/>
          <w:color w:val="auto"/>
          <w:sz w:val="36"/>
          <w:szCs w:val="36"/>
        </w:rPr>
        <w:t>本行政机关人大代表建议和政协提案办理结果公开情况</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方正仿宋简体" w:hAnsi="方正仿宋简体" w:eastAsia="方正仿宋简体" w:cs="方正仿宋简体"/>
          <w:b/>
          <w:sz w:val="32"/>
          <w:szCs w:val="32"/>
        </w:rPr>
      </w:pPr>
      <w:r>
        <w:rPr>
          <w:rFonts w:hint="eastAsia" w:ascii="方正仿宋简体" w:hAnsi="方正仿宋简体" w:eastAsia="方正仿宋简体" w:cs="方正仿宋简体"/>
          <w:b/>
          <w:sz w:val="32"/>
          <w:szCs w:val="32"/>
        </w:rPr>
        <w:t>济宁市政府共承办人大代表建议241件，政协提案393件，其中济宁市人民政府办公室未收到人大建议和政协提案。</w:t>
      </w:r>
    </w:p>
    <w:p>
      <w:pPr>
        <w:keepNext w:val="0"/>
        <w:keepLines w:val="0"/>
        <w:pageBreakBefore w:val="0"/>
        <w:widowControl w:val="0"/>
        <w:numPr>
          <w:ilvl w:val="0"/>
          <w:numId w:val="0"/>
        </w:numPr>
        <w:kinsoku/>
        <w:wordWrap/>
        <w:overflowPunct/>
        <w:topLinePunct w:val="0"/>
        <w:autoSpaceDE/>
        <w:autoSpaceDN/>
        <w:bidi w:val="0"/>
        <w:adjustRightInd/>
        <w:snapToGrid/>
        <w:ind w:firstLine="722" w:firstLineChars="200"/>
        <w:textAlignment w:val="auto"/>
        <w:rPr>
          <w:rFonts w:hint="eastAsia" w:ascii="方正楷体简体" w:hAnsi="方正楷体简体" w:eastAsia="方正楷体简体" w:cs="方正楷体简体"/>
          <w:b/>
          <w:bCs w:val="0"/>
          <w:color w:val="auto"/>
          <w:sz w:val="36"/>
          <w:szCs w:val="36"/>
        </w:rPr>
      </w:pPr>
      <w:r>
        <w:rPr>
          <w:rFonts w:hint="eastAsia" w:ascii="方正楷体简体" w:hAnsi="方正楷体简体" w:eastAsia="方正楷体简体" w:cs="方正楷体简体"/>
          <w:b/>
          <w:bCs w:val="0"/>
          <w:color w:val="auto"/>
          <w:sz w:val="36"/>
          <w:szCs w:val="36"/>
          <w:lang w:eastAsia="zh-CN"/>
        </w:rPr>
        <w:t>（</w:t>
      </w:r>
      <w:r>
        <w:rPr>
          <w:rFonts w:hint="eastAsia" w:ascii="方正楷体简体" w:hAnsi="方正楷体简体" w:eastAsia="方正楷体简体" w:cs="方正楷体简体"/>
          <w:b/>
          <w:bCs w:val="0"/>
          <w:color w:val="auto"/>
          <w:sz w:val="36"/>
          <w:szCs w:val="36"/>
          <w:lang w:val="en-US" w:eastAsia="zh-CN"/>
        </w:rPr>
        <w:t>四</w:t>
      </w:r>
      <w:r>
        <w:rPr>
          <w:rFonts w:hint="eastAsia" w:ascii="方正楷体简体" w:hAnsi="方正楷体简体" w:eastAsia="方正楷体简体" w:cs="方正楷体简体"/>
          <w:b/>
          <w:bCs w:val="0"/>
          <w:color w:val="auto"/>
          <w:sz w:val="36"/>
          <w:szCs w:val="36"/>
          <w:lang w:eastAsia="zh-CN"/>
        </w:rPr>
        <w:t>）</w:t>
      </w:r>
      <w:r>
        <w:rPr>
          <w:rFonts w:hint="eastAsia" w:ascii="方正楷体简体" w:hAnsi="方正楷体简体" w:eastAsia="方正楷体简体" w:cs="方正楷体简体"/>
          <w:b/>
          <w:bCs w:val="0"/>
          <w:color w:val="auto"/>
          <w:sz w:val="36"/>
          <w:szCs w:val="36"/>
        </w:rPr>
        <w:t>本行政机关年度政务公开工作创新情况</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598" w:firstLineChars="200"/>
        <w:jc w:val="left"/>
        <w:textAlignment w:val="auto"/>
        <w:rPr>
          <w:rFonts w:hint="eastAsia" w:ascii="方正仿宋简体" w:hAnsi="方正仿宋简体" w:eastAsia="方正仿宋简体" w:cs="方正仿宋简体"/>
          <w:b/>
          <w:kern w:val="0"/>
          <w:sz w:val="32"/>
          <w:szCs w:val="32"/>
        </w:rPr>
      </w:pPr>
      <w:r>
        <w:rPr>
          <w:rFonts w:hint="eastAsia" w:ascii="方正仿宋简体" w:hAnsi="方正仿宋简体" w:eastAsia="方正仿宋简体" w:cs="方正仿宋简体"/>
          <w:b/>
          <w:bCs/>
          <w:spacing w:val="-11"/>
          <w:sz w:val="32"/>
          <w:szCs w:val="32"/>
          <w:lang w:val="en-US" w:eastAsia="zh-CN"/>
        </w:rPr>
        <w:t>1、创新编制</w:t>
      </w:r>
      <w:r>
        <w:rPr>
          <w:rFonts w:hint="eastAsia" w:ascii="方正仿宋简体" w:hAnsi="方正仿宋简体" w:eastAsia="方正仿宋简体" w:cs="方正仿宋简体"/>
          <w:b/>
          <w:bCs/>
          <w:spacing w:val="-11"/>
          <w:sz w:val="32"/>
          <w:szCs w:val="32"/>
        </w:rPr>
        <w:t>“一册”“一编”助力提升政务公开工作水平</w:t>
      </w:r>
      <w:r>
        <w:rPr>
          <w:rFonts w:hint="eastAsia" w:ascii="方正仿宋简体" w:hAnsi="方正仿宋简体" w:eastAsia="方正仿宋简体" w:cs="方正仿宋简体"/>
          <w:b/>
          <w:bCs/>
          <w:spacing w:val="-11"/>
          <w:sz w:val="32"/>
          <w:szCs w:val="32"/>
          <w:lang w:eastAsia="zh-CN"/>
        </w:rPr>
        <w:t>。</w:t>
      </w:r>
      <w:r>
        <w:rPr>
          <w:rFonts w:hint="eastAsia" w:ascii="方正仿宋简体" w:hAnsi="方正仿宋简体" w:eastAsia="方正仿宋简体" w:cs="方正仿宋简体"/>
          <w:b/>
          <w:color w:val="000000"/>
          <w:sz w:val="32"/>
          <w:szCs w:val="32"/>
        </w:rPr>
        <w:t>2022年，济宁市</w:t>
      </w:r>
      <w:r>
        <w:rPr>
          <w:rFonts w:hint="eastAsia" w:ascii="方正仿宋简体" w:hAnsi="方正仿宋简体" w:eastAsia="方正仿宋简体" w:cs="方正仿宋简体"/>
          <w:b/>
          <w:kern w:val="0"/>
          <w:sz w:val="32"/>
          <w:szCs w:val="32"/>
        </w:rPr>
        <w:t>针对工作人员因不熟练平台规则容易出现的问题，在学习借鉴外地先进经验的基础上，一方面优化信息发布流程。编制完成《政务公开</w:t>
      </w:r>
      <w:r>
        <w:rPr>
          <w:rFonts w:hint="eastAsia" w:ascii="方正仿宋简体" w:hAnsi="方正仿宋简体" w:eastAsia="方正仿宋简体" w:cs="方正仿宋简体"/>
          <w:b/>
          <w:color w:val="000000"/>
          <w:kern w:val="0"/>
          <w:sz w:val="32"/>
          <w:szCs w:val="32"/>
        </w:rPr>
        <w:t>后台信息</w:t>
      </w:r>
      <w:r>
        <w:rPr>
          <w:rFonts w:hint="eastAsia" w:ascii="方正仿宋简体" w:hAnsi="方正仿宋简体" w:eastAsia="方正仿宋简体" w:cs="方正仿宋简体"/>
          <w:b/>
          <w:kern w:val="0"/>
          <w:sz w:val="32"/>
          <w:szCs w:val="32"/>
        </w:rPr>
        <w:t>发布手册》，从简单到复杂，逐一讲解基本信息发布、常用按钮功能、辅助工具使用以及信息撤稿、删除、排序、呈送等程序，帮助各单位政务公开工作人员实现快速入门。另一方面，规范信息发布形式，制定《政务公开信息发布模板汇编》，编制重点承诺事项、政府工作报告、民生实事、政协提案办理、政府信息公开指南等事项公开模板，实现了信息发布格式统一、内容规范。</w:t>
      </w:r>
    </w:p>
    <w:p>
      <w:pPr>
        <w:keepNext w:val="0"/>
        <w:keepLines w:val="0"/>
        <w:pageBreakBefore w:val="0"/>
        <w:widowControl w:val="0"/>
        <w:kinsoku/>
        <w:wordWrap/>
        <w:overflowPunct/>
        <w:topLinePunct w:val="0"/>
        <w:autoSpaceDE/>
        <w:autoSpaceDN/>
        <w:bidi w:val="0"/>
        <w:adjustRightInd/>
        <w:snapToGrid/>
        <w:spacing w:before="156" w:beforeLines="50" w:line="560" w:lineRule="exact"/>
        <w:ind w:left="0" w:leftChars="0" w:firstLine="598" w:firstLineChars="200"/>
        <w:jc w:val="left"/>
        <w:textAlignment w:val="auto"/>
        <w:rPr>
          <w:rFonts w:hint="eastAsia"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spacing w:val="-11"/>
          <w:sz w:val="32"/>
          <w:szCs w:val="32"/>
          <w:lang w:val="en-US" w:eastAsia="zh-CN"/>
        </w:rPr>
        <w:t>2、</w:t>
      </w:r>
      <w:r>
        <w:rPr>
          <w:rFonts w:hint="eastAsia" w:ascii="方正仿宋简体" w:hAnsi="方正仿宋简体" w:eastAsia="方正仿宋简体" w:cs="方正仿宋简体"/>
          <w:b/>
          <w:bCs/>
          <w:spacing w:val="-11"/>
          <w:sz w:val="32"/>
          <w:szCs w:val="32"/>
        </w:rPr>
        <w:t>多措并举深入推进公共企事业单位信息公开</w:t>
      </w:r>
      <w:r>
        <w:rPr>
          <w:rFonts w:hint="eastAsia" w:ascii="方正仿宋简体" w:hAnsi="方正仿宋简体" w:eastAsia="方正仿宋简体" w:cs="方正仿宋简体"/>
          <w:b/>
          <w:bCs/>
          <w:spacing w:val="-11"/>
          <w:sz w:val="32"/>
          <w:szCs w:val="32"/>
          <w:lang w:eastAsia="zh-CN"/>
        </w:rPr>
        <w:t>。</w:t>
      </w:r>
      <w:r>
        <w:rPr>
          <w:rFonts w:hint="eastAsia" w:ascii="方正仿宋简体" w:hAnsi="方正仿宋简体" w:eastAsia="方正仿宋简体" w:cs="方正仿宋简体"/>
          <w:b/>
          <w:bCs/>
          <w:sz w:val="32"/>
          <w:szCs w:val="32"/>
        </w:rPr>
        <w:t>一是条块联动，形成工作合力。建设完成全市统一的企事业单位信息公开平台，囊括教育、医疗、交通、水电气暖共计482家企事业单位，涵盖各领域领域所有具有市场支配地位、公共属性较强、需要重点监管的企事业单位。二是以点带面，明确公开标准。采取化整为零、以点带面的工作方式，一方面联合行业主管部门逐个领域进行点对点调研，制定公开标准15条，制定公开模板180个。另一方面进行“一对一”信息填报，根据企事业单位实际情况确定多样化填报标准，为全市其他单位提供公开样板。三是三重审核，确保规范公开。对县级企事业单位公开信息，县级行业主管部门、县政府办公室分别审核后，市政府办公室再进行抽样复查</w:t>
      </w:r>
      <w:r>
        <w:rPr>
          <w:rFonts w:hint="eastAsia" w:ascii="方正仿宋简体" w:hAnsi="方正仿宋简体" w:eastAsia="方正仿宋简体" w:cs="方正仿宋简体"/>
          <w:b/>
          <w:bCs/>
          <w:sz w:val="32"/>
          <w:szCs w:val="32"/>
          <w:lang w:eastAsia="zh-CN"/>
        </w:rPr>
        <w:t>，</w:t>
      </w:r>
      <w:r>
        <w:rPr>
          <w:rFonts w:hint="eastAsia" w:ascii="方正仿宋简体" w:hAnsi="方正仿宋简体" w:eastAsia="方正仿宋简体" w:cs="方正仿宋简体"/>
          <w:b/>
          <w:bCs/>
          <w:sz w:val="32"/>
          <w:szCs w:val="32"/>
        </w:rPr>
        <w:t>对市级企事业单位公开信息，由市级主管部门进行全面审核后，市政府办公室进行全面复查，确保应公开信息尽公开、应公开信息尽规范。</w:t>
      </w:r>
      <w:r>
        <w:rPr>
          <w:rFonts w:hint="eastAsia" w:ascii="方正仿宋简体" w:hAnsi="方正仿宋简体" w:eastAsia="方正仿宋简体" w:cs="方正仿宋简体"/>
          <w:b/>
          <w:bCs/>
          <w:sz w:val="32"/>
          <w:szCs w:val="32"/>
          <w:highlight w:val="none"/>
        </w:rPr>
        <w:t>截</w:t>
      </w:r>
      <w:r>
        <w:rPr>
          <w:rFonts w:hint="eastAsia" w:ascii="方正仿宋简体" w:hAnsi="方正仿宋简体" w:eastAsia="方正仿宋简体" w:cs="方正仿宋简体"/>
          <w:b/>
          <w:bCs/>
          <w:sz w:val="32"/>
          <w:szCs w:val="32"/>
          <w:highlight w:val="none"/>
          <w:lang w:eastAsia="zh-CN"/>
        </w:rPr>
        <w:t>至</w:t>
      </w:r>
      <w:r>
        <w:rPr>
          <w:rFonts w:hint="eastAsia" w:ascii="方正仿宋简体" w:hAnsi="方正仿宋简体" w:eastAsia="方正仿宋简体" w:cs="方正仿宋简体"/>
          <w:b/>
          <w:bCs/>
          <w:sz w:val="32"/>
          <w:szCs w:val="32"/>
        </w:rPr>
        <w:t>目前，我市已规范发布公共企事业单位信息5926条。</w:t>
      </w:r>
    </w:p>
    <w:p>
      <w:pPr>
        <w:keepNext w:val="0"/>
        <w:keepLines w:val="0"/>
        <w:pageBreakBefore w:val="0"/>
        <w:widowControl w:val="0"/>
        <w:kinsoku/>
        <w:wordWrap/>
        <w:overflowPunct/>
        <w:topLinePunct w:val="0"/>
        <w:autoSpaceDE/>
        <w:autoSpaceDN/>
        <w:bidi w:val="0"/>
        <w:adjustRightInd/>
        <w:snapToGrid/>
        <w:spacing w:before="156" w:beforeLines="50" w:line="560" w:lineRule="exact"/>
        <w:ind w:left="0" w:leftChars="0" w:firstLine="642" w:firstLineChars="200"/>
        <w:jc w:val="left"/>
        <w:textAlignment w:val="auto"/>
        <w:rPr>
          <w:rFonts w:hint="eastAsia" w:ascii="方正楷体简体" w:hAnsi="方正楷体简体" w:eastAsia="方正楷体简体" w:cs="方正楷体简体"/>
          <w:b/>
          <w:bCs/>
          <w:sz w:val="32"/>
          <w:szCs w:val="32"/>
        </w:rPr>
      </w:pPr>
      <w:r>
        <w:rPr>
          <w:rFonts w:hint="eastAsia" w:ascii="方正楷体简体" w:hAnsi="方正楷体简体" w:eastAsia="方正楷体简体" w:cs="方正楷体简体"/>
          <w:b/>
          <w:bCs/>
          <w:sz w:val="32"/>
          <w:szCs w:val="32"/>
          <w:lang w:eastAsia="zh-CN"/>
        </w:rPr>
        <w:t>（</w:t>
      </w:r>
      <w:r>
        <w:rPr>
          <w:rFonts w:hint="eastAsia" w:ascii="方正楷体简体" w:hAnsi="方正楷体简体" w:eastAsia="方正楷体简体" w:cs="方正楷体简体"/>
          <w:b/>
          <w:bCs/>
          <w:sz w:val="32"/>
          <w:szCs w:val="32"/>
          <w:lang w:val="en-US" w:eastAsia="zh-CN"/>
        </w:rPr>
        <w:t>五</w:t>
      </w:r>
      <w:r>
        <w:rPr>
          <w:rFonts w:hint="eastAsia" w:ascii="方正楷体简体" w:hAnsi="方正楷体简体" w:eastAsia="方正楷体简体" w:cs="方正楷体简体"/>
          <w:b/>
          <w:bCs/>
          <w:sz w:val="32"/>
          <w:szCs w:val="32"/>
          <w:lang w:eastAsia="zh-CN"/>
        </w:rPr>
        <w:t>）</w:t>
      </w:r>
      <w:r>
        <w:rPr>
          <w:rFonts w:hint="eastAsia" w:ascii="方正楷体简体" w:hAnsi="方正楷体简体" w:eastAsia="方正楷体简体" w:cs="方正楷体简体"/>
          <w:b/>
          <w:bCs/>
          <w:sz w:val="32"/>
          <w:szCs w:val="32"/>
        </w:rPr>
        <w:t>本行政机关政府信息公开工作年度报告数据统计需要说明的事项</w:t>
      </w:r>
    </w:p>
    <w:p>
      <w:pPr>
        <w:keepNext w:val="0"/>
        <w:keepLines w:val="0"/>
        <w:pageBreakBefore w:val="0"/>
        <w:widowControl w:val="0"/>
        <w:kinsoku/>
        <w:wordWrap/>
        <w:overflowPunct/>
        <w:topLinePunct w:val="0"/>
        <w:autoSpaceDE/>
        <w:autoSpaceDN/>
        <w:bidi w:val="0"/>
        <w:adjustRightInd/>
        <w:snapToGrid/>
        <w:spacing w:before="156" w:beforeLines="50" w:line="560" w:lineRule="exact"/>
        <w:ind w:left="0" w:leftChars="0" w:firstLine="642" w:firstLineChars="200"/>
        <w:jc w:val="left"/>
        <w:textAlignment w:val="auto"/>
        <w:rPr>
          <w:rFonts w:hint="default" w:ascii="方正仿宋简体" w:hAnsi="方正仿宋简体" w:eastAsia="方正仿宋简体" w:cs="方正仿宋简体"/>
          <w:b/>
          <w:bCs/>
          <w:sz w:val="32"/>
          <w:szCs w:val="32"/>
          <w:lang w:val="en-US" w:eastAsia="zh-CN"/>
        </w:rPr>
      </w:pPr>
      <w:r>
        <w:rPr>
          <w:rFonts w:hint="eastAsia" w:ascii="方正仿宋简体" w:hAnsi="方正仿宋简体" w:eastAsia="方正仿宋简体" w:cs="方正仿宋简体"/>
          <w:b/>
          <w:bCs/>
          <w:sz w:val="32"/>
          <w:szCs w:val="32"/>
          <w:lang w:val="en-US" w:eastAsia="zh-CN"/>
        </w:rPr>
        <w:t>无。</w:t>
      </w:r>
    </w:p>
    <w:p>
      <w:pPr>
        <w:keepNext w:val="0"/>
        <w:keepLines w:val="0"/>
        <w:pageBreakBefore w:val="0"/>
        <w:widowControl w:val="0"/>
        <w:kinsoku/>
        <w:wordWrap/>
        <w:overflowPunct/>
        <w:topLinePunct w:val="0"/>
        <w:autoSpaceDE/>
        <w:autoSpaceDN/>
        <w:bidi w:val="0"/>
        <w:adjustRightInd/>
        <w:snapToGrid/>
        <w:spacing w:before="156" w:beforeLines="50" w:line="560" w:lineRule="exact"/>
        <w:ind w:left="0" w:leftChars="0" w:firstLine="642" w:firstLineChars="200"/>
        <w:jc w:val="left"/>
        <w:textAlignment w:val="auto"/>
        <w:rPr>
          <w:rFonts w:hint="eastAsia" w:ascii="方正楷体简体" w:hAnsi="方正楷体简体" w:eastAsia="方正楷体简体" w:cs="方正楷体简体"/>
          <w:b/>
          <w:bCs/>
          <w:sz w:val="32"/>
          <w:szCs w:val="32"/>
        </w:rPr>
      </w:pPr>
      <w:r>
        <w:rPr>
          <w:rFonts w:hint="eastAsia" w:ascii="方正楷体简体" w:hAnsi="方正楷体简体" w:eastAsia="方正楷体简体" w:cs="方正楷体简体"/>
          <w:b/>
          <w:bCs/>
          <w:sz w:val="32"/>
          <w:szCs w:val="32"/>
          <w:lang w:eastAsia="zh-CN"/>
        </w:rPr>
        <w:t>（</w:t>
      </w:r>
      <w:r>
        <w:rPr>
          <w:rFonts w:hint="eastAsia" w:ascii="方正楷体简体" w:hAnsi="方正楷体简体" w:eastAsia="方正楷体简体" w:cs="方正楷体简体"/>
          <w:b/>
          <w:bCs/>
          <w:sz w:val="32"/>
          <w:szCs w:val="32"/>
          <w:lang w:val="en-US" w:eastAsia="zh-CN"/>
        </w:rPr>
        <w:t>六</w:t>
      </w:r>
      <w:r>
        <w:rPr>
          <w:rFonts w:hint="eastAsia" w:ascii="方正楷体简体" w:hAnsi="方正楷体简体" w:eastAsia="方正楷体简体" w:cs="方正楷体简体"/>
          <w:b/>
          <w:bCs/>
          <w:sz w:val="32"/>
          <w:szCs w:val="32"/>
          <w:lang w:eastAsia="zh-CN"/>
        </w:rPr>
        <w:t>）</w:t>
      </w:r>
      <w:r>
        <w:rPr>
          <w:rFonts w:hint="eastAsia" w:ascii="方正楷体简体" w:hAnsi="方正楷体简体" w:eastAsia="方正楷体简体" w:cs="方正楷体简体"/>
          <w:b/>
          <w:bCs/>
          <w:sz w:val="32"/>
          <w:szCs w:val="32"/>
        </w:rPr>
        <w:t>本行政机关认为需要报告的其他事项</w:t>
      </w:r>
    </w:p>
    <w:p>
      <w:pPr>
        <w:keepNext w:val="0"/>
        <w:keepLines w:val="0"/>
        <w:pageBreakBefore w:val="0"/>
        <w:widowControl w:val="0"/>
        <w:kinsoku/>
        <w:wordWrap/>
        <w:overflowPunct/>
        <w:topLinePunct w:val="0"/>
        <w:autoSpaceDE/>
        <w:autoSpaceDN/>
        <w:bidi w:val="0"/>
        <w:adjustRightInd/>
        <w:snapToGrid/>
        <w:spacing w:before="156" w:beforeLines="50" w:line="560" w:lineRule="exact"/>
        <w:ind w:left="0" w:leftChars="0" w:firstLine="642" w:firstLineChars="200"/>
        <w:jc w:val="left"/>
        <w:textAlignment w:val="auto"/>
        <w:rPr>
          <w:rFonts w:hint="eastAsia" w:ascii="方正仿宋简体" w:hAnsi="方正仿宋简体" w:eastAsia="方正仿宋简体" w:cs="方正仿宋简体"/>
          <w:b/>
          <w:bCs/>
          <w:sz w:val="32"/>
          <w:szCs w:val="32"/>
          <w:lang w:val="en-US" w:eastAsia="zh-CN"/>
        </w:rPr>
      </w:pPr>
      <w:r>
        <w:rPr>
          <w:rFonts w:hint="eastAsia" w:ascii="方正仿宋简体" w:hAnsi="方正仿宋简体" w:eastAsia="方正仿宋简体" w:cs="方正仿宋简体"/>
          <w:b/>
          <w:bCs/>
          <w:sz w:val="32"/>
          <w:szCs w:val="32"/>
          <w:lang w:val="en-US" w:eastAsia="zh-CN"/>
        </w:rPr>
        <w:t>无。</w:t>
      </w:r>
    </w:p>
    <w:p>
      <w:pPr>
        <w:keepNext w:val="0"/>
        <w:keepLines w:val="0"/>
        <w:pageBreakBefore w:val="0"/>
        <w:widowControl w:val="0"/>
        <w:kinsoku/>
        <w:wordWrap/>
        <w:overflowPunct/>
        <w:topLinePunct w:val="0"/>
        <w:autoSpaceDE/>
        <w:autoSpaceDN/>
        <w:bidi w:val="0"/>
        <w:adjustRightInd/>
        <w:snapToGrid/>
        <w:spacing w:before="156" w:beforeLines="50" w:line="560" w:lineRule="exact"/>
        <w:ind w:left="0" w:leftChars="0" w:firstLine="642" w:firstLineChars="200"/>
        <w:jc w:val="left"/>
        <w:textAlignment w:val="auto"/>
        <w:rPr>
          <w:rFonts w:hint="eastAsia" w:ascii="方正楷体简体" w:hAnsi="方正楷体简体" w:eastAsia="方正楷体简体" w:cs="方正楷体简体"/>
          <w:b/>
          <w:bCs/>
          <w:sz w:val="32"/>
          <w:szCs w:val="32"/>
        </w:rPr>
      </w:pPr>
      <w:r>
        <w:rPr>
          <w:rFonts w:hint="eastAsia" w:ascii="方正楷体简体" w:hAnsi="方正楷体简体" w:eastAsia="方正楷体简体" w:cs="方正楷体简体"/>
          <w:b/>
          <w:bCs/>
          <w:sz w:val="32"/>
          <w:szCs w:val="32"/>
          <w:lang w:eastAsia="zh-CN"/>
        </w:rPr>
        <w:t>（</w:t>
      </w:r>
      <w:r>
        <w:rPr>
          <w:rFonts w:hint="eastAsia" w:ascii="方正楷体简体" w:hAnsi="方正楷体简体" w:eastAsia="方正楷体简体" w:cs="方正楷体简体"/>
          <w:b/>
          <w:bCs/>
          <w:sz w:val="32"/>
          <w:szCs w:val="32"/>
          <w:lang w:val="en-US" w:eastAsia="zh-CN"/>
        </w:rPr>
        <w:t>七</w:t>
      </w:r>
      <w:r>
        <w:rPr>
          <w:rFonts w:hint="eastAsia" w:ascii="方正楷体简体" w:hAnsi="方正楷体简体" w:eastAsia="方正楷体简体" w:cs="方正楷体简体"/>
          <w:b/>
          <w:bCs/>
          <w:sz w:val="32"/>
          <w:szCs w:val="32"/>
          <w:lang w:eastAsia="zh-CN"/>
        </w:rPr>
        <w:t>）</w:t>
      </w:r>
      <w:r>
        <w:rPr>
          <w:rFonts w:hint="eastAsia" w:ascii="方正楷体简体" w:hAnsi="方正楷体简体" w:eastAsia="方正楷体简体" w:cs="方正楷体简体"/>
          <w:b/>
          <w:bCs/>
          <w:sz w:val="32"/>
          <w:szCs w:val="32"/>
        </w:rPr>
        <w:t>其他有关文件专门要求通过政府信息公开工作年度报告予以报告的事项</w:t>
      </w:r>
    </w:p>
    <w:p>
      <w:pPr>
        <w:keepNext w:val="0"/>
        <w:keepLines w:val="0"/>
        <w:pageBreakBefore w:val="0"/>
        <w:widowControl w:val="0"/>
        <w:kinsoku/>
        <w:wordWrap/>
        <w:overflowPunct/>
        <w:topLinePunct w:val="0"/>
        <w:autoSpaceDE/>
        <w:autoSpaceDN/>
        <w:bidi w:val="0"/>
        <w:adjustRightInd/>
        <w:snapToGrid/>
        <w:spacing w:before="156" w:beforeLines="50" w:line="560" w:lineRule="exact"/>
        <w:ind w:left="0" w:leftChars="0" w:firstLine="642" w:firstLineChars="200"/>
        <w:jc w:val="left"/>
        <w:textAlignment w:val="auto"/>
        <w:rPr>
          <w:rFonts w:hint="eastAsia" w:ascii="方正仿宋简体" w:hAnsi="方正仿宋简体" w:eastAsia="方正仿宋简体" w:cs="方正仿宋简体"/>
          <w:b/>
          <w:bCs/>
          <w:sz w:val="32"/>
          <w:szCs w:val="32"/>
          <w:lang w:val="en-US" w:eastAsia="zh-CN"/>
        </w:rPr>
      </w:pPr>
      <w:r>
        <w:rPr>
          <w:rFonts w:hint="eastAsia" w:ascii="方正仿宋简体" w:hAnsi="方正仿宋简体" w:eastAsia="方正仿宋简体" w:cs="方正仿宋简体"/>
          <w:b/>
          <w:bCs/>
          <w:sz w:val="32"/>
          <w:szCs w:val="32"/>
          <w:lang w:val="en-US" w:eastAsia="zh-CN"/>
        </w:rPr>
        <w:t>无。</w:t>
      </w:r>
    </w:p>
    <w:p>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3000509000000000000"/>
    <w:charset w:val="86"/>
    <w:family w:val="script"/>
    <w:pitch w:val="default"/>
    <w:sig w:usb0="00000001" w:usb1="080E0000" w:usb2="00000000" w:usb3="00000000" w:csb0="00040000" w:csb1="00000000"/>
  </w:font>
  <w:font w:name="方正仿宋简体">
    <w:panose1 w:val="03000509000000000000"/>
    <w:charset w:val="86"/>
    <w:family w:val="script"/>
    <w:pitch w:val="default"/>
    <w:sig w:usb0="00000001" w:usb1="080E0000" w:usb2="00000000" w:usb3="00000000" w:csb0="00040000" w:csb1="00000000"/>
  </w:font>
  <w:font w:name="方正楷体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2"/>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WAAAAZHJzL1BLAQIUABQAAAAIAIdO&#10;4kDOqXm5zwAAAAUBAAAPAAAAAAAAAAEAIAAAADgAAABkcnMvZG93bnJldi54bWxQSwECFAAUAAAA&#10;CACHTuJAVDuIW6gBAABCAwAADgAAAAAAAAABACAAAAA0AQAAZHJzL2Uyb0RvYy54bWxQSwUGAAAA&#10;AAYABgBZAQAATgUAAAAA&#10;">
              <v:fill on="f" focussize="0,0"/>
              <v:stroke on="f"/>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UxYzdmOGMxNzg2ZDdhNTE5MTA5Nzk1MDkwMGJkOWUifQ=="/>
  </w:docVars>
  <w:rsids>
    <w:rsidRoot w:val="00D5331B"/>
    <w:rsid w:val="000171FB"/>
    <w:rsid w:val="00066965"/>
    <w:rsid w:val="001652CC"/>
    <w:rsid w:val="002A1AA2"/>
    <w:rsid w:val="002F5E99"/>
    <w:rsid w:val="00343FB0"/>
    <w:rsid w:val="00363A97"/>
    <w:rsid w:val="00436B27"/>
    <w:rsid w:val="00464DB6"/>
    <w:rsid w:val="00500788"/>
    <w:rsid w:val="005F2053"/>
    <w:rsid w:val="006609DB"/>
    <w:rsid w:val="007662F2"/>
    <w:rsid w:val="00900306"/>
    <w:rsid w:val="00A703EB"/>
    <w:rsid w:val="00A86BF7"/>
    <w:rsid w:val="00B1344E"/>
    <w:rsid w:val="00B91BB6"/>
    <w:rsid w:val="00CE56E6"/>
    <w:rsid w:val="00D5331B"/>
    <w:rsid w:val="00DD7F75"/>
    <w:rsid w:val="00E36CD0"/>
    <w:rsid w:val="00FA480F"/>
    <w:rsid w:val="01A35820"/>
    <w:rsid w:val="10C766D0"/>
    <w:rsid w:val="5C175789"/>
    <w:rsid w:val="75F37ECE"/>
    <w:rsid w:val="77DF9279"/>
    <w:rsid w:val="B7EB7B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iPriority="99"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Body Text Indent 3"/>
    <w:basedOn w:val="1"/>
    <w:link w:val="10"/>
    <w:unhideWhenUsed/>
    <w:qFormat/>
    <w:uiPriority w:val="99"/>
    <w:pPr>
      <w:spacing w:before="100" w:beforeAutospacing="1" w:after="120"/>
      <w:ind w:left="420" w:leftChars="200"/>
    </w:pPr>
    <w:rPr>
      <w:rFonts w:ascii="Times New Roman" w:hAnsi="Times New Roman" w:cs="Calibri"/>
      <w:sz w:val="16"/>
      <w:szCs w:val="16"/>
    </w:rPr>
  </w:style>
  <w:style w:type="paragraph" w:styleId="4">
    <w:name w:val="Normal (Web)"/>
    <w:basedOn w:val="1"/>
    <w:qFormat/>
    <w:uiPriority w:val="99"/>
    <w:pPr>
      <w:spacing w:before="100" w:beforeAutospacing="1" w:after="100" w:afterAutospacing="1"/>
      <w:jc w:val="left"/>
    </w:pPr>
    <w:rPr>
      <w:kern w:val="0"/>
      <w:sz w:val="24"/>
    </w:rPr>
  </w:style>
  <w:style w:type="character" w:styleId="7">
    <w:name w:val="Strong"/>
    <w:basedOn w:val="6"/>
    <w:qFormat/>
    <w:uiPriority w:val="22"/>
    <w:rPr>
      <w:b/>
    </w:rPr>
  </w:style>
  <w:style w:type="character" w:styleId="8">
    <w:name w:val="Hyperlink"/>
    <w:basedOn w:val="6"/>
    <w:unhideWhenUsed/>
    <w:qFormat/>
    <w:uiPriority w:val="99"/>
    <w:rPr>
      <w:color w:val="0000FF"/>
      <w:u w:val="single"/>
    </w:rPr>
  </w:style>
  <w:style w:type="paragraph" w:styleId="9">
    <w:name w:val="List Paragraph"/>
    <w:basedOn w:val="1"/>
    <w:qFormat/>
    <w:uiPriority w:val="99"/>
    <w:pPr>
      <w:ind w:firstLine="420" w:firstLineChars="200"/>
    </w:pPr>
  </w:style>
  <w:style w:type="character" w:customStyle="1" w:styleId="10">
    <w:name w:val="正文文本缩进 3 字符"/>
    <w:basedOn w:val="6"/>
    <w:link w:val="3"/>
    <w:qFormat/>
    <w:uiPriority w:val="99"/>
    <w:rPr>
      <w:rFonts w:ascii="Times New Roman" w:hAnsi="Times New Roman" w:eastAsia="宋体" w:cs="Calibri"/>
      <w:kern w:val="2"/>
      <w:sz w:val="16"/>
      <w:szCs w:val="16"/>
    </w:rPr>
  </w:style>
  <w:style w:type="character" w:customStyle="1" w:styleId="11">
    <w:name w:val="share1"/>
    <w:basedOn w:val="6"/>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512</Words>
  <Characters>2924</Characters>
  <Lines>24</Lines>
  <Paragraphs>6</Paragraphs>
  <TotalTime>3</TotalTime>
  <ScaleCrop>false</ScaleCrop>
  <LinksUpToDate>false</LinksUpToDate>
  <CharactersWithSpaces>3430</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2023-01-26T05:18:00Z</dcterms:created>
  <dc:creator>笑梅</dc:creator>
  <cp:lastModifiedBy>user</cp:lastModifiedBy>
  <dcterms:modified xsi:type="dcterms:W3CDTF">2023-03-17T10:32:25Z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6E499D6EDC444E5AB382BAE2851B8F46</vt:lpwstr>
  </property>
</Properties>
</file>