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
          <w:sz w:val="44"/>
          <w:szCs w:val="44"/>
        </w:rPr>
      </w:pPr>
      <w:bookmarkStart w:id="0" w:name="_Hlk125574040"/>
      <w:r>
        <w:rPr>
          <w:rFonts w:hint="eastAsia" w:ascii="方正小标宋简体" w:hAnsi="方正小标宋简体" w:eastAsia="方正小标宋简体" w:cs="方正小标宋简体"/>
          <w:b/>
          <w:sz w:val="44"/>
          <w:szCs w:val="44"/>
        </w:rPr>
        <w:t>济宁市人民政府办公室</w:t>
      </w:r>
    </w:p>
    <w:bookmarkEnd w:id="0"/>
    <w:p>
      <w:pPr>
        <w:pStyle w:val="4"/>
        <w:widowControl/>
        <w:shd w:val="clear" w:color="auto" w:fill="FFFFFF"/>
        <w:spacing w:before="0" w:beforeAutospacing="0" w:after="0" w:afterAutospacing="0" w:line="56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w:t>
      </w:r>
      <w:r>
        <w:rPr>
          <w:rFonts w:ascii="方正小标宋简体" w:hAnsi="方正小标宋简体" w:eastAsia="方正小标宋简体" w:cs="方正小标宋简体"/>
          <w:b/>
          <w:sz w:val="44"/>
          <w:szCs w:val="44"/>
        </w:rPr>
        <w:t>2</w:t>
      </w:r>
      <w:r>
        <w:rPr>
          <w:rFonts w:hint="eastAsia" w:ascii="方正小标宋简体" w:hAnsi="方正小标宋简体" w:eastAsia="方正小标宋简体" w:cs="方正小标宋简体"/>
          <w:b/>
          <w:sz w:val="44"/>
          <w:szCs w:val="44"/>
        </w:rPr>
        <w:t>年政府信息公开工作年度报告</w:t>
      </w:r>
    </w:p>
    <w:p>
      <w:pPr>
        <w:pStyle w:val="4"/>
        <w:widowControl/>
        <w:shd w:val="clear" w:color="auto" w:fill="FFFFFF"/>
        <w:spacing w:before="0" w:beforeAutospacing="0" w:after="0" w:afterAutospacing="0"/>
        <w:ind w:firstLine="420"/>
        <w:jc w:val="both"/>
        <w:rPr>
          <w:rFonts w:ascii="宋体" w:hAnsi="宋体" w:cs="宋体"/>
          <w:b/>
        </w:rPr>
      </w:pPr>
    </w:p>
    <w:p>
      <w:pPr>
        <w:pStyle w:val="4"/>
        <w:widowControl/>
        <w:spacing w:before="0" w:beforeAutospacing="0" w:after="0" w:afterAutospacing="0" w:line="585" w:lineRule="atLeast"/>
        <w:ind w:firstLine="630"/>
        <w:jc w:val="both"/>
        <w:rPr>
          <w:rFonts w:ascii="方正仿宋简体" w:hAnsi="方正仿宋简体" w:eastAsia="方正仿宋简体" w:cs="方正仿宋简体"/>
          <w:b/>
          <w:sz w:val="32"/>
          <w:szCs w:val="32"/>
        </w:rPr>
      </w:pPr>
      <w:r>
        <w:rPr>
          <w:rStyle w:val="7"/>
          <w:rFonts w:hint="eastAsia" w:ascii="方正仿宋简体" w:hAnsi="方正仿宋简体" w:eastAsia="方正仿宋简体" w:cs="方正仿宋简体"/>
          <w:sz w:val="32"/>
          <w:szCs w:val="32"/>
        </w:rPr>
        <w:t>本报告由济宁市人民政府办公室按照《中华人民共和国政府信息公开条例》（以下简</w:t>
      </w:r>
      <w:bookmarkStart w:id="1" w:name="_GoBack"/>
      <w:bookmarkEnd w:id="1"/>
      <w:r>
        <w:rPr>
          <w:rStyle w:val="7"/>
          <w:rFonts w:hint="eastAsia" w:ascii="方正仿宋简体" w:hAnsi="方正仿宋简体" w:eastAsia="方正仿宋简体" w:cs="方正仿宋简体"/>
          <w:sz w:val="32"/>
          <w:szCs w:val="32"/>
        </w:rPr>
        <w:t>称《条例》）和《中华人民共和国政府信息公开工作年度报告格式》（国办公开办函〔2021〕30号）要求编制。本报告内容包括总体情况、主动公开政府信息情况、收到和处理政府信息公开申请情况、政府信息公开行政复议和行政诉讼情况、存在的主要问题及改进情况、其他需要报告的事项等六部分内容。</w:t>
      </w:r>
    </w:p>
    <w:p>
      <w:pPr>
        <w:pStyle w:val="4"/>
        <w:widowControl/>
        <w:spacing w:before="0" w:beforeAutospacing="0" w:after="0" w:afterAutospacing="0" w:line="585" w:lineRule="atLeast"/>
        <w:ind w:firstLine="630"/>
        <w:jc w:val="both"/>
        <w:rPr>
          <w:rFonts w:ascii="Times New Roman" w:hAnsi="Times New Roman"/>
          <w:b/>
          <w:sz w:val="32"/>
          <w:szCs w:val="32"/>
        </w:rPr>
      </w:pPr>
      <w:r>
        <w:rPr>
          <w:rStyle w:val="7"/>
          <w:rFonts w:hint="eastAsia" w:ascii="方正仿宋简体" w:hAnsi="方正仿宋简体" w:eastAsia="方正仿宋简体" w:cs="方正仿宋简体"/>
          <w:sz w:val="32"/>
          <w:szCs w:val="32"/>
        </w:rPr>
        <w:t>本报告所列数据的统计期限自202</w:t>
      </w:r>
      <w:r>
        <w:rPr>
          <w:rStyle w:val="7"/>
          <w:rFonts w:ascii="方正仿宋简体" w:hAnsi="方正仿宋简体" w:eastAsia="方正仿宋简体" w:cs="方正仿宋简体"/>
          <w:sz w:val="32"/>
          <w:szCs w:val="32"/>
        </w:rPr>
        <w:t>2</w:t>
      </w:r>
      <w:r>
        <w:rPr>
          <w:rStyle w:val="7"/>
          <w:rFonts w:hint="eastAsia" w:ascii="方正仿宋简体" w:hAnsi="方正仿宋简体" w:eastAsia="方正仿宋简体" w:cs="方正仿宋简体"/>
          <w:sz w:val="32"/>
          <w:szCs w:val="32"/>
        </w:rPr>
        <w:t>年1月1日起至202</w:t>
      </w:r>
      <w:r>
        <w:rPr>
          <w:rStyle w:val="7"/>
          <w:rFonts w:ascii="方正仿宋简体" w:hAnsi="方正仿宋简体" w:eastAsia="方正仿宋简体" w:cs="方正仿宋简体"/>
          <w:sz w:val="32"/>
          <w:szCs w:val="32"/>
        </w:rPr>
        <w:t>2</w:t>
      </w:r>
      <w:r>
        <w:rPr>
          <w:rStyle w:val="7"/>
          <w:rFonts w:hint="eastAsia" w:ascii="方正仿宋简体" w:hAnsi="方正仿宋简体" w:eastAsia="方正仿宋简体" w:cs="方正仿宋简体"/>
          <w:sz w:val="32"/>
          <w:szCs w:val="32"/>
        </w:rPr>
        <w:t>年12月31日止。本报告电子版可在“中国·济宁”政府门户网站（</w:t>
      </w:r>
      <w:r>
        <w:rPr>
          <w:rStyle w:val="7"/>
          <w:rFonts w:ascii="方正仿宋简体" w:hAnsi="方正仿宋简体" w:eastAsia="方正仿宋简体" w:cs="方正仿宋简体"/>
          <w:sz w:val="32"/>
          <w:szCs w:val="32"/>
        </w:rPr>
        <w:t>http://www.jining.gov.cn/</w:t>
      </w:r>
      <w:r>
        <w:rPr>
          <w:rStyle w:val="7"/>
          <w:rFonts w:hint="eastAsia" w:ascii="方正仿宋简体" w:hAnsi="方正仿宋简体" w:eastAsia="方正仿宋简体" w:cs="方正仿宋简体"/>
          <w:sz w:val="32"/>
          <w:szCs w:val="32"/>
        </w:rPr>
        <w:t>）查阅或下载。</w:t>
      </w:r>
      <w:r>
        <w:rPr>
          <w:rFonts w:ascii="方正仿宋简体" w:hAnsi="方正仿宋简体" w:eastAsia="方正仿宋简体" w:cs="方正仿宋简体"/>
          <w:b/>
          <w:sz w:val="32"/>
          <w:szCs w:val="32"/>
          <w:shd w:val="clear" w:color="auto" w:fill="FFFFFF"/>
        </w:rPr>
        <w:t>如对本报告有疑问，请与</w:t>
      </w:r>
      <w:r>
        <w:rPr>
          <w:rStyle w:val="7"/>
          <w:rFonts w:hint="eastAsia" w:ascii="方正仿宋简体" w:hAnsi="方正仿宋简体" w:eastAsia="方正仿宋简体" w:cs="方正仿宋简体"/>
          <w:sz w:val="32"/>
          <w:szCs w:val="32"/>
        </w:rPr>
        <w:t>济宁市人民政府办公室</w:t>
      </w:r>
      <w:r>
        <w:rPr>
          <w:rFonts w:ascii="方正仿宋简体" w:hAnsi="方正仿宋简体" w:eastAsia="方正仿宋简体" w:cs="方正仿宋简体"/>
          <w:b/>
          <w:sz w:val="32"/>
          <w:szCs w:val="32"/>
          <w:shd w:val="clear" w:color="auto" w:fill="FFFFFF"/>
        </w:rPr>
        <w:t>联系（地址：</w:t>
      </w:r>
      <w:r>
        <w:rPr>
          <w:rStyle w:val="7"/>
          <w:rFonts w:hint="eastAsia" w:ascii="方正仿宋简体" w:hAnsi="方正仿宋简体" w:eastAsia="方正仿宋简体" w:cs="方正仿宋简体"/>
          <w:sz w:val="32"/>
          <w:szCs w:val="32"/>
        </w:rPr>
        <w:t>济宁市任城区红星中路1</w:t>
      </w:r>
      <w:r>
        <w:rPr>
          <w:rStyle w:val="7"/>
          <w:rFonts w:ascii="方正仿宋简体" w:hAnsi="方正仿宋简体" w:eastAsia="方正仿宋简体" w:cs="方正仿宋简体"/>
          <w:sz w:val="32"/>
          <w:szCs w:val="32"/>
        </w:rPr>
        <w:t>3</w:t>
      </w:r>
      <w:r>
        <w:rPr>
          <w:rStyle w:val="7"/>
          <w:rFonts w:hint="eastAsia" w:ascii="方正仿宋简体" w:hAnsi="方正仿宋简体" w:eastAsia="方正仿宋简体" w:cs="方正仿宋简体"/>
          <w:sz w:val="32"/>
          <w:szCs w:val="32"/>
        </w:rPr>
        <w:t>号</w:t>
      </w:r>
      <w:r>
        <w:rPr>
          <w:rFonts w:ascii="方正仿宋简体" w:hAnsi="方正仿宋简体" w:eastAsia="方正仿宋简体" w:cs="方正仿宋简体"/>
          <w:b/>
          <w:sz w:val="32"/>
          <w:szCs w:val="32"/>
          <w:shd w:val="clear" w:color="auto" w:fill="FFFFFF"/>
        </w:rPr>
        <w:t>，联系电话：</w:t>
      </w:r>
      <w:r>
        <w:rPr>
          <w:rStyle w:val="7"/>
          <w:rFonts w:ascii="方正仿宋简体" w:hAnsi="方正仿宋简体" w:eastAsia="方正仿宋简体" w:cs="方正仿宋简体"/>
          <w:bCs/>
          <w:sz w:val="32"/>
          <w:szCs w:val="32"/>
        </w:rPr>
        <w:t>0537-234823</w:t>
      </w:r>
      <w:r>
        <w:rPr>
          <w:rStyle w:val="7"/>
          <w:rFonts w:ascii="方正仿宋简体" w:hAnsi="方正仿宋简体" w:eastAsia="方正仿宋简体" w:cs="方正仿宋简体"/>
          <w:sz w:val="32"/>
          <w:szCs w:val="32"/>
        </w:rPr>
        <w:t>8</w:t>
      </w:r>
      <w:r>
        <w:rPr>
          <w:rFonts w:hint="eastAsia" w:ascii="方正仿宋简体" w:hAnsi="方正仿宋简体" w:eastAsia="方正仿宋简体" w:cs="方正仿宋简体"/>
          <w:b/>
          <w:sz w:val="32"/>
          <w:szCs w:val="32"/>
          <w:shd w:val="clear" w:color="auto" w:fill="FFFFFF"/>
        </w:rPr>
        <w:t>）。</w:t>
      </w:r>
    </w:p>
    <w:p>
      <w:pPr>
        <w:pStyle w:val="4"/>
        <w:widowControl/>
        <w:shd w:val="clear" w:color="auto" w:fill="FFFFFF"/>
        <w:spacing w:before="0" w:beforeAutospacing="0" w:after="0" w:afterAutospacing="0"/>
        <w:ind w:firstLine="642" w:firstLineChars="200"/>
        <w:jc w:val="both"/>
        <w:rPr>
          <w:rFonts w:ascii="黑体" w:hAnsi="黑体" w:eastAsia="黑体" w:cs="黑体"/>
          <w:b/>
          <w:sz w:val="32"/>
          <w:szCs w:val="32"/>
        </w:rPr>
      </w:pPr>
      <w:r>
        <w:rPr>
          <w:rFonts w:hint="eastAsia" w:ascii="黑体" w:hAnsi="黑体" w:eastAsia="黑体" w:cs="黑体"/>
          <w:b/>
          <w:sz w:val="32"/>
          <w:szCs w:val="32"/>
          <w:shd w:val="clear" w:color="auto" w:fill="FFFFFF"/>
        </w:rPr>
        <w:t>一、总体情况</w:t>
      </w:r>
    </w:p>
    <w:p>
      <w:pPr>
        <w:widowControl/>
        <w:autoSpaceDE w:val="0"/>
        <w:spacing w:line="560" w:lineRule="exact"/>
        <w:ind w:firstLine="642" w:firstLineChars="200"/>
        <w:jc w:val="left"/>
        <w:rPr>
          <w:rFonts w:ascii="方正仿宋简体" w:eastAsia="方正仿宋简体"/>
          <w:b/>
          <w:bCs/>
          <w:kern w:val="0"/>
          <w:sz w:val="32"/>
          <w:szCs w:val="32"/>
        </w:rPr>
      </w:pPr>
      <w:r>
        <w:rPr>
          <w:rFonts w:hint="eastAsia" w:ascii="方正仿宋简体" w:eastAsia="方正仿宋简体"/>
          <w:b/>
          <w:bCs/>
          <w:kern w:val="0"/>
          <w:sz w:val="32"/>
          <w:szCs w:val="32"/>
        </w:rPr>
        <w:t>2022年，济宁市政府办公室坚决落实《条例》和国家、省、市对政务公开工作的系列部署要求，坚持“以公开为常态、不公开为例外”，把政务公开贯穿政务运行全过程，以公开促落实、促规范、促服务，不断推动我市政务公开向纵深发展。</w:t>
      </w:r>
    </w:p>
    <w:p>
      <w:pPr>
        <w:widowControl/>
        <w:autoSpaceDE w:val="0"/>
        <w:spacing w:line="560" w:lineRule="exact"/>
        <w:ind w:firstLine="642" w:firstLineChars="200"/>
        <w:jc w:val="left"/>
        <w:rPr>
          <w:rFonts w:ascii="方正楷体简体" w:eastAsia="方正楷体简体"/>
          <w:b/>
          <w:bCs/>
          <w:kern w:val="0"/>
          <w:sz w:val="32"/>
          <w:szCs w:val="32"/>
        </w:rPr>
      </w:pPr>
      <w:r>
        <w:rPr>
          <w:rFonts w:hint="eastAsia" w:ascii="方正楷体简体" w:eastAsia="方正楷体简体"/>
          <w:b/>
          <w:bCs/>
          <w:kern w:val="0"/>
          <w:sz w:val="32"/>
          <w:szCs w:val="32"/>
        </w:rPr>
        <w:t>（一）聚焦基础工作，加大公开力度</w:t>
      </w:r>
    </w:p>
    <w:p>
      <w:pPr>
        <w:ind w:firstLine="642" w:firstLineChars="200"/>
        <w:rPr>
          <w:rFonts w:ascii="Times New Roman" w:hAnsi="Times New Roman"/>
          <w:szCs w:val="21"/>
        </w:rPr>
      </w:pPr>
      <w:r>
        <w:rPr>
          <w:rFonts w:hint="eastAsia" w:ascii="方正仿宋简体" w:eastAsia="方正仿宋简体"/>
          <w:b/>
          <w:bCs/>
          <w:kern w:val="0"/>
          <w:sz w:val="32"/>
          <w:szCs w:val="32"/>
        </w:rPr>
        <w:t>2</w:t>
      </w:r>
      <w:r>
        <w:rPr>
          <w:rFonts w:ascii="方正仿宋简体" w:eastAsia="方正仿宋简体"/>
          <w:b/>
          <w:bCs/>
          <w:kern w:val="0"/>
          <w:sz w:val="32"/>
          <w:szCs w:val="32"/>
        </w:rPr>
        <w:t>022</w:t>
      </w:r>
      <w:r>
        <w:rPr>
          <w:rFonts w:hint="eastAsia" w:ascii="方正仿宋简体" w:eastAsia="方正仿宋简体"/>
          <w:b/>
          <w:bCs/>
          <w:kern w:val="0"/>
          <w:sz w:val="32"/>
          <w:szCs w:val="32"/>
        </w:rPr>
        <w:t>年，累计发布政府信息6082条，其中发布规范性文件1</w:t>
      </w:r>
      <w:r>
        <w:rPr>
          <w:rFonts w:ascii="方正仿宋简体" w:eastAsia="方正仿宋简体"/>
          <w:b/>
          <w:bCs/>
          <w:kern w:val="0"/>
          <w:sz w:val="32"/>
          <w:szCs w:val="32"/>
        </w:rPr>
        <w:t>0</w:t>
      </w:r>
      <w:r>
        <w:rPr>
          <w:rFonts w:hint="eastAsia" w:ascii="方正仿宋简体" w:eastAsia="方正仿宋简体"/>
          <w:b/>
          <w:bCs/>
          <w:kern w:val="0"/>
          <w:sz w:val="32"/>
          <w:szCs w:val="32"/>
        </w:rPr>
        <w:t>件，发布常务会议及解读48篇，发布市政府重大决策12项；</w:t>
      </w:r>
      <w:r>
        <w:rPr>
          <w:rFonts w:hint="eastAsia" w:ascii="方正仿宋简体" w:eastAsia="方正仿宋简体"/>
          <w:b/>
          <w:kern w:val="0"/>
          <w:sz w:val="32"/>
          <w:szCs w:val="32"/>
        </w:rPr>
        <w:t>编制《政务公开</w:t>
      </w:r>
      <w:r>
        <w:rPr>
          <w:rFonts w:hint="eastAsia" w:ascii="方正仿宋简体" w:eastAsia="方正仿宋简体"/>
          <w:b/>
          <w:color w:val="000000"/>
          <w:kern w:val="0"/>
          <w:sz w:val="32"/>
          <w:szCs w:val="32"/>
        </w:rPr>
        <w:t>后台信息</w:t>
      </w:r>
      <w:r>
        <w:rPr>
          <w:rFonts w:hint="eastAsia" w:ascii="方正仿宋简体" w:eastAsia="方正仿宋简体"/>
          <w:b/>
          <w:kern w:val="0"/>
          <w:sz w:val="32"/>
          <w:szCs w:val="32"/>
        </w:rPr>
        <w:t>发布手册》《政务公开信息发布模板汇编》，</w:t>
      </w:r>
      <w:r>
        <w:rPr>
          <w:rFonts w:hint="eastAsia" w:ascii="方正仿宋简体" w:eastAsia="方正仿宋简体"/>
          <w:b/>
          <w:bCs/>
          <w:kern w:val="0"/>
          <w:sz w:val="32"/>
          <w:szCs w:val="32"/>
        </w:rPr>
        <w:t>完善全市政务公开基本目录，更新基层政务公开标准目录，提升信息发布质量；进一步规范解读流程，从源头保证解读质量，2</w:t>
      </w:r>
      <w:r>
        <w:rPr>
          <w:rFonts w:ascii="方正仿宋简体" w:eastAsia="方正仿宋简体"/>
          <w:b/>
          <w:bCs/>
          <w:kern w:val="0"/>
          <w:sz w:val="32"/>
          <w:szCs w:val="32"/>
        </w:rPr>
        <w:t>022</w:t>
      </w:r>
      <w:r>
        <w:rPr>
          <w:rFonts w:hint="eastAsia" w:ascii="方正仿宋简体" w:eastAsia="方正仿宋简体"/>
          <w:b/>
          <w:bCs/>
          <w:kern w:val="0"/>
          <w:sz w:val="32"/>
          <w:szCs w:val="32"/>
        </w:rPr>
        <w:t>年指导市直部门发布多样化解读材料579篇，</w:t>
      </w:r>
      <w:r>
        <w:rPr>
          <w:rFonts w:ascii="方正仿宋简体" w:eastAsia="方正仿宋简体"/>
          <w:b/>
          <w:bCs/>
          <w:kern w:val="0"/>
          <w:sz w:val="32"/>
          <w:szCs w:val="32"/>
        </w:rPr>
        <w:t>政策文件解读率达到100%。</w:t>
      </w:r>
    </w:p>
    <w:p>
      <w:pPr>
        <w:ind w:firstLine="642" w:firstLineChars="200"/>
        <w:rPr>
          <w:rStyle w:val="7"/>
          <w:rFonts w:hint="default" w:ascii="方正楷体简体" w:hAnsi="方正楷体简体" w:eastAsia="方正楷体简体" w:cs="方正楷体简体"/>
          <w:sz w:val="32"/>
          <w:szCs w:val="32"/>
          <w:lang w:val="en-US" w:eastAsia="zh-CN"/>
        </w:rPr>
      </w:pPr>
      <w:r>
        <w:rPr>
          <w:rStyle w:val="7"/>
          <w:rFonts w:hint="eastAsia" w:ascii="方正楷体简体" w:hAnsi="方正楷体简体" w:eastAsia="方正楷体简体" w:cs="方正楷体简体"/>
          <w:sz w:val="32"/>
          <w:szCs w:val="32"/>
        </w:rPr>
        <w:t>（二）</w:t>
      </w:r>
      <w:r>
        <w:rPr>
          <w:rStyle w:val="7"/>
          <w:rFonts w:hint="eastAsia" w:ascii="方正楷体简体" w:hAnsi="方正楷体简体" w:eastAsia="方正楷体简体" w:cs="方正楷体简体"/>
          <w:sz w:val="32"/>
          <w:szCs w:val="32"/>
          <w:lang w:val="en-US" w:eastAsia="zh-CN"/>
        </w:rPr>
        <w:t>完善办理机制，提高答复质量</w:t>
      </w:r>
    </w:p>
    <w:p>
      <w:pPr>
        <w:widowControl/>
        <w:autoSpaceDE w:val="0"/>
        <w:spacing w:line="560" w:lineRule="exact"/>
        <w:ind w:firstLine="642" w:firstLineChars="200"/>
        <w:jc w:val="left"/>
        <w:rPr>
          <w:rFonts w:ascii="方正仿宋简体" w:eastAsia="方正仿宋简体"/>
          <w:b/>
          <w:bCs/>
          <w:kern w:val="0"/>
          <w:sz w:val="32"/>
          <w:szCs w:val="32"/>
        </w:rPr>
      </w:pPr>
      <w:r>
        <w:rPr>
          <w:rFonts w:hint="eastAsia" w:ascii="方正仿宋简体" w:eastAsia="方正仿宋简体"/>
          <w:b/>
          <w:bCs/>
          <w:kern w:val="0"/>
          <w:sz w:val="32"/>
          <w:szCs w:val="32"/>
        </w:rPr>
        <w:t>健全答复流程，注重与申请人的协调沟通，力争行政争议诉前调解；建立疑难件会商机制和多重审核机制，有效提升依申请公开答复质量。2022年累计受理依申请公开件67件，受理省政府协查函25件，均在法定期限内予以答复，因依申请公开引发行政复议1件，结果维持。</w:t>
      </w:r>
    </w:p>
    <w:p>
      <w:pPr>
        <w:jc w:val="center"/>
        <w:rPr>
          <w:rStyle w:val="7"/>
          <w:rFonts w:ascii="方正楷体简体" w:hAnsi="方正楷体简体" w:eastAsia="方正楷体简体" w:cs="方正楷体简体"/>
          <w:sz w:val="32"/>
          <w:szCs w:val="32"/>
        </w:rPr>
      </w:pPr>
      <w:r>
        <w:rPr>
          <w:rFonts w:ascii="方正仿宋简体" w:eastAsia="方正仿宋简体"/>
          <w:b/>
          <w:bCs/>
          <w:kern w:val="0"/>
          <w:sz w:val="32"/>
          <w:szCs w:val="32"/>
        </w:rPr>
        <w:drawing>
          <wp:inline distT="0" distB="0" distL="0" distR="0">
            <wp:extent cx="4273550" cy="2568575"/>
            <wp:effectExtent l="0" t="0" r="0" b="3175"/>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4281584" cy="2573695"/>
                    </a:xfrm>
                    <a:prstGeom prst="rect">
                      <a:avLst/>
                    </a:prstGeom>
                    <a:noFill/>
                  </pic:spPr>
                </pic:pic>
              </a:graphicData>
            </a:graphic>
          </wp:inline>
        </w:drawing>
      </w:r>
    </w:p>
    <w:p>
      <w:pPr>
        <w:ind w:firstLine="642" w:firstLineChars="200"/>
        <w:rPr>
          <w:rFonts w:hint="eastAsia" w:ascii="方正仿宋简体" w:eastAsia="方正仿宋简体"/>
          <w:b/>
          <w:kern w:val="0"/>
          <w:sz w:val="32"/>
          <w:szCs w:val="32"/>
        </w:rPr>
      </w:pPr>
      <w:r>
        <w:rPr>
          <w:rFonts w:hint="eastAsia" w:ascii="方正仿宋简体" w:eastAsia="方正仿宋简体"/>
          <w:b/>
          <w:kern w:val="0"/>
          <w:sz w:val="32"/>
          <w:szCs w:val="32"/>
        </w:rPr>
        <w:t>从申请人类型看，占比较大的为自然人申请人，累计6</w:t>
      </w:r>
      <w:r>
        <w:rPr>
          <w:rFonts w:ascii="方正仿宋简体" w:eastAsia="方正仿宋简体"/>
          <w:b/>
          <w:kern w:val="0"/>
          <w:sz w:val="32"/>
          <w:szCs w:val="32"/>
        </w:rPr>
        <w:t>1</w:t>
      </w:r>
      <w:r>
        <w:rPr>
          <w:rFonts w:hint="eastAsia" w:ascii="方正仿宋简体" w:eastAsia="方正仿宋简体"/>
          <w:b/>
          <w:kern w:val="0"/>
          <w:sz w:val="32"/>
          <w:szCs w:val="32"/>
        </w:rPr>
        <w:t>件，从答复情况看，因本机关不掌握相关政府信息而无法提供4</w:t>
      </w:r>
      <w:r>
        <w:rPr>
          <w:rFonts w:ascii="方正仿宋简体" w:eastAsia="方正仿宋简体"/>
          <w:b/>
          <w:kern w:val="0"/>
          <w:sz w:val="32"/>
          <w:szCs w:val="32"/>
        </w:rPr>
        <w:t>4</w:t>
      </w:r>
      <w:r>
        <w:rPr>
          <w:rFonts w:hint="eastAsia" w:ascii="方正仿宋简体" w:eastAsia="方正仿宋简体"/>
          <w:b/>
          <w:kern w:val="0"/>
          <w:sz w:val="32"/>
          <w:szCs w:val="32"/>
        </w:rPr>
        <w:t>件，予以公开1</w:t>
      </w:r>
      <w:r>
        <w:rPr>
          <w:rFonts w:ascii="方正仿宋简体" w:eastAsia="方正仿宋简体"/>
          <w:b/>
          <w:kern w:val="0"/>
          <w:sz w:val="32"/>
          <w:szCs w:val="32"/>
        </w:rPr>
        <w:t>0</w:t>
      </w:r>
      <w:r>
        <w:rPr>
          <w:rFonts w:hint="eastAsia" w:ascii="方正仿宋简体" w:eastAsia="方正仿宋简体"/>
          <w:b/>
          <w:kern w:val="0"/>
          <w:sz w:val="32"/>
          <w:szCs w:val="32"/>
        </w:rPr>
        <w:t>件，部分公开8件，不予公开4件，其他处理1件。</w:t>
      </w:r>
    </w:p>
    <w:p>
      <w:pPr>
        <w:ind w:firstLine="420" w:firstLineChars="200"/>
        <w:rPr>
          <w:rFonts w:hint="eastAsia" w:ascii="方正仿宋简体" w:eastAsia="方正仿宋简体"/>
          <w:b/>
          <w:kern w:val="0"/>
          <w:sz w:val="32"/>
          <w:szCs w:val="32"/>
        </w:rPr>
      </w:pPr>
      <w:r>
        <w:drawing>
          <wp:inline distT="0" distB="0" distL="114300" distR="114300">
            <wp:extent cx="4584065" cy="2755265"/>
            <wp:effectExtent l="0" t="0" r="635" b="635"/>
            <wp:docPr id="5"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true"/>
                    </pic:cNvPicPr>
                  </pic:nvPicPr>
                  <pic:blipFill>
                    <a:blip r:embed="rId6"/>
                    <a:stretch>
                      <a:fillRect/>
                    </a:stretch>
                  </pic:blipFill>
                  <pic:spPr>
                    <a:xfrm>
                      <a:off x="0" y="0"/>
                      <a:ext cx="4584065" cy="2755265"/>
                    </a:xfrm>
                    <a:prstGeom prst="rect">
                      <a:avLst/>
                    </a:prstGeom>
                    <a:noFill/>
                    <a:ln>
                      <a:noFill/>
                    </a:ln>
                  </pic:spPr>
                </pic:pic>
              </a:graphicData>
            </a:graphic>
          </wp:inline>
        </w:drawing>
      </w:r>
    </w:p>
    <w:p>
      <w:pPr>
        <w:ind w:firstLine="642" w:firstLineChars="200"/>
        <w:rPr>
          <w:rStyle w:val="7"/>
          <w:rFonts w:hint="default" w:ascii="方正楷体简体" w:hAnsi="方正楷体简体" w:eastAsia="方正楷体简体" w:cs="方正楷体简体"/>
          <w:sz w:val="32"/>
          <w:szCs w:val="32"/>
          <w:lang w:val="en-US" w:eastAsia="zh-CN"/>
        </w:rPr>
      </w:pPr>
      <w:r>
        <w:rPr>
          <w:rStyle w:val="7"/>
          <w:rFonts w:hint="eastAsia" w:ascii="方正楷体简体" w:hAnsi="方正楷体简体" w:eastAsia="方正楷体简体" w:cs="方正楷体简体"/>
          <w:sz w:val="32"/>
          <w:szCs w:val="32"/>
        </w:rPr>
        <w:t>（三）</w:t>
      </w:r>
      <w:r>
        <w:rPr>
          <w:rStyle w:val="7"/>
          <w:rFonts w:hint="eastAsia" w:ascii="方正楷体简体" w:hAnsi="方正楷体简体" w:eastAsia="方正楷体简体" w:cs="方正楷体简体"/>
          <w:sz w:val="32"/>
          <w:szCs w:val="32"/>
          <w:lang w:val="en-US" w:eastAsia="zh-CN"/>
        </w:rPr>
        <w:t>优化信息管理，提升公开质效</w:t>
      </w:r>
    </w:p>
    <w:p>
      <w:pPr>
        <w:autoSpaceDE w:val="0"/>
        <w:ind w:firstLine="618" w:firstLineChars="200"/>
        <w:rPr>
          <w:rFonts w:hint="eastAsia" w:ascii="方正仿宋简体" w:hAnsi="Times New Roman" w:eastAsia="方正仿宋简体"/>
          <w:b/>
          <w:kern w:val="0"/>
          <w:sz w:val="32"/>
          <w:szCs w:val="32"/>
        </w:rPr>
      </w:pPr>
      <w:r>
        <w:rPr>
          <w:rFonts w:hint="eastAsia" w:ascii="方正仿宋简体" w:hAnsi="Times New Roman" w:eastAsia="方正仿宋简体"/>
          <w:b/>
          <w:bCs/>
          <w:spacing w:val="-6"/>
          <w:kern w:val="0"/>
          <w:sz w:val="32"/>
          <w:szCs w:val="32"/>
          <w:shd w:val="clear" w:color="auto" w:fill="FFFFFF"/>
        </w:rPr>
        <w:t>创新打造“济宁市政策咨询综合服务平台”，将群众较为关心、与企业群众密切相关的热点信息，进行“菜单式”集中展示，方便</w:t>
      </w:r>
      <w:r>
        <w:rPr>
          <w:rFonts w:hint="eastAsia" w:ascii="方正仿宋简体" w:hAnsi="Times New Roman" w:eastAsia="方正仿宋简体"/>
          <w:b/>
          <w:bCs/>
          <w:spacing w:val="-6"/>
          <w:kern w:val="0"/>
          <w:sz w:val="32"/>
          <w:szCs w:val="32"/>
          <w:highlight w:val="none"/>
          <w:shd w:val="clear" w:color="auto" w:fill="FFFFFF"/>
        </w:rPr>
        <w:t>群众</w:t>
      </w:r>
      <w:r>
        <w:rPr>
          <w:rFonts w:hint="eastAsia" w:ascii="方正仿宋简体" w:hAnsi="Times New Roman" w:eastAsia="方正仿宋简体"/>
          <w:b/>
          <w:bCs/>
          <w:color w:val="auto"/>
          <w:spacing w:val="-6"/>
          <w:kern w:val="0"/>
          <w:sz w:val="32"/>
          <w:szCs w:val="32"/>
          <w:highlight w:val="none"/>
          <w:shd w:val="clear" w:color="auto" w:fill="FFFFFF"/>
        </w:rPr>
        <w:t>一键</w:t>
      </w:r>
      <w:r>
        <w:rPr>
          <w:rFonts w:hint="eastAsia" w:ascii="方正仿宋简体" w:hAnsi="Times New Roman" w:eastAsia="方正仿宋简体"/>
          <w:b/>
          <w:bCs/>
          <w:color w:val="auto"/>
          <w:spacing w:val="-6"/>
          <w:kern w:val="0"/>
          <w:sz w:val="32"/>
          <w:szCs w:val="32"/>
          <w:highlight w:val="none"/>
          <w:shd w:val="clear" w:color="auto" w:fill="FFFFFF"/>
          <w:lang w:eastAsia="zh-CN"/>
        </w:rPr>
        <w:t>获取</w:t>
      </w:r>
      <w:r>
        <w:rPr>
          <w:rFonts w:hint="eastAsia" w:ascii="方正仿宋简体" w:hAnsi="Times New Roman" w:eastAsia="方正仿宋简体"/>
          <w:b/>
          <w:bCs/>
          <w:spacing w:val="-6"/>
          <w:kern w:val="0"/>
          <w:sz w:val="32"/>
          <w:szCs w:val="32"/>
          <w:highlight w:val="none"/>
          <w:shd w:val="clear" w:color="auto" w:fill="FFFFFF"/>
        </w:rPr>
        <w:t>政策信息；</w:t>
      </w:r>
      <w:r>
        <w:rPr>
          <w:rFonts w:hint="eastAsia" w:ascii="方正仿宋简体" w:eastAsia="方正仿宋简体"/>
          <w:b/>
          <w:kern w:val="0"/>
          <w:sz w:val="32"/>
          <w:szCs w:val="32"/>
          <w:highlight w:val="none"/>
        </w:rPr>
        <w:t>建设“济宁市政府公文库”，打通市、县以及部门之间的数据壁垒，对1979年以后印发的规章、规范性文件和其他政府文件开展全面清理，确保现行有</w:t>
      </w:r>
      <w:r>
        <w:rPr>
          <w:rFonts w:hint="eastAsia" w:ascii="方正仿宋简体" w:eastAsia="方正仿宋简体"/>
          <w:b/>
          <w:kern w:val="0"/>
          <w:sz w:val="32"/>
          <w:szCs w:val="32"/>
          <w:highlight w:val="none"/>
          <w:lang w:eastAsia="zh-CN"/>
        </w:rPr>
        <w:t>效</w:t>
      </w:r>
      <w:r>
        <w:rPr>
          <w:rFonts w:hint="eastAsia" w:ascii="方正仿宋简体" w:eastAsia="方正仿宋简体"/>
          <w:b/>
          <w:kern w:val="0"/>
          <w:sz w:val="32"/>
          <w:szCs w:val="32"/>
          <w:highlight w:val="none"/>
        </w:rPr>
        <w:t>文件</w:t>
      </w:r>
      <w:r>
        <w:rPr>
          <w:rFonts w:hint="eastAsia" w:ascii="方正仿宋简体" w:eastAsia="方正仿宋简体"/>
          <w:b/>
          <w:kern w:val="0"/>
          <w:sz w:val="32"/>
          <w:szCs w:val="32"/>
        </w:rPr>
        <w:t>全部入库。</w:t>
      </w:r>
    </w:p>
    <w:p>
      <w:pPr>
        <w:spacing w:line="560" w:lineRule="exact"/>
        <w:ind w:firstLine="642" w:firstLineChars="200"/>
        <w:rPr>
          <w:rStyle w:val="7"/>
          <w:rFonts w:hint="default" w:ascii="方正楷体简体" w:hAnsi="方正楷体简体" w:eastAsia="方正楷体简体" w:cs="方正楷体简体"/>
          <w:sz w:val="32"/>
          <w:szCs w:val="32"/>
          <w:lang w:val="en-US" w:eastAsia="zh-CN"/>
        </w:rPr>
      </w:pPr>
      <w:r>
        <w:rPr>
          <w:rStyle w:val="7"/>
          <w:rFonts w:hint="eastAsia" w:ascii="方正楷体简体" w:hAnsi="方正楷体简体" w:eastAsia="方正楷体简体" w:cs="方正楷体简体"/>
          <w:sz w:val="32"/>
          <w:szCs w:val="32"/>
        </w:rPr>
        <w:t>（四）</w:t>
      </w:r>
      <w:r>
        <w:rPr>
          <w:rStyle w:val="7"/>
          <w:rFonts w:hint="eastAsia" w:ascii="方正楷体简体" w:hAnsi="方正楷体简体" w:eastAsia="方正楷体简体" w:cs="方正楷体简体"/>
          <w:sz w:val="32"/>
          <w:szCs w:val="32"/>
          <w:lang w:val="en-US" w:eastAsia="zh-CN"/>
        </w:rPr>
        <w:t>强化平台建设</w:t>
      </w:r>
      <w:r>
        <w:rPr>
          <w:rStyle w:val="7"/>
          <w:rFonts w:hint="eastAsia" w:ascii="方正楷体简体" w:hAnsi="方正楷体简体" w:eastAsia="方正楷体简体" w:cs="方正楷体简体"/>
          <w:sz w:val="32"/>
          <w:szCs w:val="32"/>
          <w:lang w:eastAsia="zh-CN"/>
        </w:rPr>
        <w:t>，</w:t>
      </w:r>
      <w:r>
        <w:rPr>
          <w:rStyle w:val="7"/>
          <w:rFonts w:hint="eastAsia" w:ascii="方正楷体简体" w:hAnsi="方正楷体简体" w:eastAsia="方正楷体简体" w:cs="方正楷体简体"/>
          <w:sz w:val="32"/>
          <w:szCs w:val="32"/>
          <w:lang w:val="en-US" w:eastAsia="zh-CN"/>
        </w:rPr>
        <w:t>提升服务质量</w:t>
      </w:r>
    </w:p>
    <w:p>
      <w:pPr>
        <w:ind w:firstLine="642" w:firstLineChars="200"/>
        <w:rPr>
          <w:rFonts w:hint="eastAsia"/>
          <w:szCs w:val="21"/>
        </w:rPr>
      </w:pPr>
      <w:r>
        <w:rPr>
          <w:rFonts w:hint="eastAsia" w:ascii="方正仿宋简体" w:eastAsia="方正仿宋简体"/>
          <w:b/>
          <w:color w:val="000000"/>
          <w:kern w:val="0"/>
          <w:sz w:val="32"/>
          <w:szCs w:val="32"/>
        </w:rPr>
        <w:t>严格按照标准要求对专栏进行调整优化，新增公共企事业单位、济宁市公文库专栏，优化机构职能、政策解读、重大决策、疫情防控等专栏，通过公开目录的标准化实现公开内容的精细化、规范化；</w:t>
      </w:r>
      <w:r>
        <w:rPr>
          <w:rFonts w:hint="eastAsia" w:ascii="方正仿宋简体" w:eastAsia="方正仿宋简体"/>
          <w:b/>
          <w:kern w:val="0"/>
          <w:sz w:val="32"/>
          <w:szCs w:val="32"/>
        </w:rPr>
        <w:t>发布《政务公开专区建设指南》，明确市、县、镇、村政务公开专区建</w:t>
      </w:r>
      <w:r>
        <w:rPr>
          <w:rFonts w:hint="eastAsia" w:ascii="方正仿宋简体" w:eastAsia="方正仿宋简体"/>
          <w:b/>
          <w:color w:val="000000"/>
          <w:kern w:val="0"/>
          <w:sz w:val="32"/>
          <w:szCs w:val="32"/>
        </w:rPr>
        <w:t>设标准，打造集信息公开、申请办理、办事咨询、意见征集等功能于一体的政务公开专区192个，真正实现</w:t>
      </w:r>
      <w:r>
        <w:rPr>
          <w:rFonts w:hint="eastAsia" w:ascii="方正仿宋简体" w:eastAsia="方正仿宋简体"/>
          <w:b/>
          <w:kern w:val="0"/>
          <w:sz w:val="32"/>
          <w:szCs w:val="32"/>
        </w:rPr>
        <w:t>解读面对面、服务零距离；进一步优化政府网站</w:t>
      </w:r>
      <w:r>
        <w:rPr>
          <w:rFonts w:hint="eastAsia" w:ascii="方正仿宋简体" w:hAnsi="Times New Roman" w:eastAsia="方正仿宋简体"/>
          <w:b/>
          <w:sz w:val="32"/>
          <w:szCs w:val="32"/>
        </w:rPr>
        <w:t>智能化水平，提升搜索结果的准确性，并根据关键词聚合相关信息和服务，实现更加精准的“搜索即服务”。</w:t>
      </w:r>
    </w:p>
    <w:p>
      <w:pPr>
        <w:ind w:firstLine="642" w:firstLineChars="200"/>
        <w:rPr>
          <w:rStyle w:val="7"/>
          <w:rFonts w:ascii="方正楷体简体" w:hAnsi="方正楷体简体" w:eastAsia="方正楷体简体" w:cs="方正楷体简体"/>
          <w:sz w:val="32"/>
          <w:szCs w:val="32"/>
        </w:rPr>
      </w:pPr>
      <w:r>
        <w:rPr>
          <w:rStyle w:val="7"/>
          <w:rFonts w:hint="eastAsia" w:ascii="方正楷体简体" w:hAnsi="方正楷体简体" w:eastAsia="方正楷体简体" w:cs="方正楷体简体"/>
          <w:sz w:val="32"/>
          <w:szCs w:val="32"/>
        </w:rPr>
        <w:t>（五）</w:t>
      </w:r>
      <w:r>
        <w:rPr>
          <w:rFonts w:hint="eastAsia" w:ascii="方正楷体简体" w:hAnsi="方正楷体简体" w:eastAsia="方正楷体简体" w:cs="方正楷体简体"/>
          <w:b/>
          <w:bCs/>
          <w:spacing w:val="0"/>
          <w:kern w:val="0"/>
          <w:sz w:val="32"/>
          <w:szCs w:val="32"/>
          <w:lang w:val="en-US" w:eastAsia="zh-CN"/>
        </w:rPr>
        <w:t>加强日常督导，确保任务落实</w:t>
      </w:r>
    </w:p>
    <w:p>
      <w:pPr>
        <w:ind w:firstLine="642" w:firstLineChars="200"/>
        <w:rPr>
          <w:rFonts w:ascii="方正楷体简体" w:hAnsi="方正楷体简体" w:eastAsia="方正楷体简体" w:cs="方正楷体简体"/>
          <w:b/>
          <w:sz w:val="32"/>
          <w:szCs w:val="32"/>
        </w:rPr>
      </w:pPr>
      <w:r>
        <w:rPr>
          <w:rFonts w:hint="eastAsia" w:ascii="方正仿宋简体" w:eastAsia="方正仿宋简体"/>
          <w:b/>
          <w:bCs/>
          <w:kern w:val="0"/>
          <w:sz w:val="32"/>
          <w:szCs w:val="32"/>
        </w:rPr>
        <w:t>积极开展企事业单位信息公开、年度考核、年报撰写等全体人员培训，对基础薄弱单位开展“走出去”专题授课，对新调整单位人员开展“点对点”培训</w:t>
      </w:r>
      <w:r>
        <w:rPr>
          <w:rFonts w:hint="eastAsia" w:ascii="方正仿宋简体" w:eastAsia="方正仿宋简体"/>
          <w:b/>
          <w:kern w:val="0"/>
          <w:sz w:val="32"/>
          <w:szCs w:val="32"/>
        </w:rPr>
        <w:t>，全面提升队伍公开水平；坚持</w:t>
      </w:r>
      <w:r>
        <w:rPr>
          <w:rFonts w:hint="eastAsia" w:ascii="方正仿宋简体" w:eastAsia="方正仿宋简体"/>
          <w:b/>
          <w:bCs/>
          <w:kern w:val="0"/>
          <w:sz w:val="32"/>
          <w:szCs w:val="32"/>
        </w:rPr>
        <w:t>“日常抽查、季度检测、年度评估”相结合，对重点信息公开情况进行不定期检查，每季度定期开展全市政务公开专项检测，对反馈问题建立工作台账，</w:t>
      </w:r>
      <w:r>
        <w:rPr>
          <w:rFonts w:hint="eastAsia" w:ascii="方正仿宋简体" w:eastAsia="方正仿宋简体"/>
          <w:b/>
          <w:bCs/>
          <w:kern w:val="0"/>
          <w:sz w:val="32"/>
          <w:szCs w:val="32"/>
          <w:highlight w:val="none"/>
        </w:rPr>
        <w:t>确保各</w:t>
      </w:r>
      <w:r>
        <w:rPr>
          <w:rFonts w:hint="eastAsia" w:ascii="方正仿宋简体" w:eastAsia="方正仿宋简体"/>
          <w:b/>
          <w:bCs/>
          <w:kern w:val="0"/>
          <w:sz w:val="32"/>
          <w:szCs w:val="32"/>
        </w:rPr>
        <w:t>项指标全面落实到位。</w:t>
      </w:r>
    </w:p>
    <w:p>
      <w:pPr>
        <w:pStyle w:val="4"/>
        <w:widowControl/>
        <w:shd w:val="clear" w:color="auto" w:fill="FFFFFF"/>
        <w:spacing w:before="0" w:beforeAutospacing="0" w:after="0" w:afterAutospacing="0"/>
        <w:ind w:firstLine="642" w:firstLineChars="200"/>
        <w:jc w:val="both"/>
        <w:rPr>
          <w:rFonts w:ascii="黑体" w:hAnsi="黑体" w:eastAsia="黑体" w:cs="黑体"/>
          <w:b/>
          <w:sz w:val="32"/>
          <w:szCs w:val="32"/>
        </w:rPr>
      </w:pPr>
      <w:r>
        <w:rPr>
          <w:rFonts w:hint="eastAsia" w:ascii="黑体" w:hAnsi="黑体" w:eastAsia="黑体" w:cs="黑体"/>
          <w:b/>
          <w:sz w:val="32"/>
          <w:szCs w:val="32"/>
          <w:shd w:val="clear" w:color="auto" w:fill="FFFFFF"/>
        </w:rPr>
        <w:t>二、主动公开政府信息情况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b/>
              </w:rPr>
            </w:pPr>
            <w:r>
              <w:rPr>
                <w:rFonts w:hint="eastAsia" w:ascii="宋体" w:hAnsi="宋体" w:cs="宋体"/>
                <w:b/>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cs="Calibri"/>
                <w:b/>
                <w:kern w:val="0"/>
                <w:szCs w:val="21"/>
                <w:lang w:bidi="ar"/>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　　1</w:t>
            </w:r>
            <w:r>
              <w:rPr>
                <w:rFonts w:ascii="宋体" w:hAnsi="宋体" w:cs="宋体"/>
                <w:b/>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 　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cs="Calibri"/>
                <w:b/>
                <w:kern w:val="0"/>
                <w:szCs w:val="21"/>
                <w:lang w:bidi="ar"/>
              </w:rPr>
              <w:t> 71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b/>
              </w:rPr>
            </w:pPr>
            <w:r>
              <w:rPr>
                <w:rFonts w:hint="eastAsia" w:ascii="宋体" w:hAnsi="宋体" w:cs="宋体"/>
                <w:b/>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cs="Calibri"/>
                <w:b/>
                <w:kern w:val="0"/>
                <w:szCs w:val="21"/>
                <w:lang w:bidi="ar"/>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b/>
              </w:rPr>
            </w:pPr>
            <w:r>
              <w:rPr>
                <w:rFonts w:hint="eastAsia" w:ascii="宋体" w:hAnsi="宋体" w:cs="宋体"/>
                <w:b/>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　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　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b/>
              </w:rPr>
            </w:pPr>
            <w:r>
              <w:rPr>
                <w:rFonts w:hint="eastAsia" w:ascii="宋体" w:hAnsi="宋体" w:cs="宋体"/>
                <w:b/>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ascii="宋体"/>
                <w:b/>
                <w:sz w:val="24"/>
              </w:rPr>
            </w:pPr>
            <w:r>
              <w:rPr>
                <w:rFonts w:hint="eastAsia" w:ascii="宋体"/>
                <w:b/>
                <w:sz w:val="24"/>
              </w:rPr>
              <w:t>0</w:t>
            </w:r>
          </w:p>
        </w:tc>
      </w:tr>
    </w:tbl>
    <w:p>
      <w:pPr>
        <w:pStyle w:val="4"/>
        <w:widowControl/>
        <w:shd w:val="clear" w:color="auto" w:fill="FFFFFF"/>
        <w:spacing w:before="0" w:beforeAutospacing="0" w:after="0" w:afterAutospacing="0"/>
        <w:jc w:val="both"/>
        <w:rPr>
          <w:rFonts w:ascii="黑体" w:hAnsi="黑体" w:eastAsia="黑体" w:cs="黑体"/>
          <w:b/>
          <w:sz w:val="32"/>
          <w:szCs w:val="32"/>
          <w:shd w:val="clear" w:color="auto" w:fill="FFFFFF"/>
        </w:rPr>
      </w:pPr>
    </w:p>
    <w:p>
      <w:pPr>
        <w:pStyle w:val="4"/>
        <w:widowControl/>
        <w:shd w:val="clear" w:color="auto" w:fill="FFFFFF"/>
        <w:spacing w:before="0" w:beforeAutospacing="0" w:after="0" w:afterAutospacing="0"/>
        <w:jc w:val="both"/>
        <w:rPr>
          <w:rFonts w:ascii="黑体" w:hAnsi="黑体" w:eastAsia="黑体" w:cs="黑体"/>
          <w:b/>
          <w:sz w:val="32"/>
          <w:szCs w:val="32"/>
        </w:rPr>
      </w:pPr>
      <w:r>
        <w:rPr>
          <w:rFonts w:hint="eastAsia" w:ascii="黑体" w:hAnsi="黑体" w:eastAsia="黑体" w:cs="黑体"/>
          <w:b/>
          <w:sz w:val="32"/>
          <w:szCs w:val="32"/>
          <w:shd w:val="clear" w:color="auto" w:fill="FFFFFF"/>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18"/>
        <w:gridCol w:w="688"/>
        <w:gridCol w:w="688"/>
        <w:gridCol w:w="688"/>
        <w:gridCol w:w="688"/>
        <w:gridCol w:w="688"/>
        <w:gridCol w:w="688"/>
        <w:gridCol w:w="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left"/>
              <w:rPr>
                <w:b/>
              </w:rPr>
            </w:pPr>
            <w:r>
              <w:rPr>
                <w:rFonts w:ascii="楷体" w:hAnsi="楷体" w:eastAsia="楷体" w:cs="楷体"/>
                <w:b/>
                <w:kern w:val="0"/>
                <w:sz w:val="20"/>
                <w:szCs w:val="20"/>
                <w:lang w:bidi="ar"/>
              </w:rPr>
              <w:t>（本列数据的勾稽关系为：第一项加第二项之和，等于第三项加第四项之和）</w:t>
            </w:r>
          </w:p>
        </w:tc>
        <w:tc>
          <w:tcPr>
            <w:tcW w:w="4820"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b/>
                <w:sz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法人或其他组织</w:t>
            </w:r>
          </w:p>
        </w:tc>
        <w:tc>
          <w:tcPr>
            <w:tcW w:w="692" w:type="dxa"/>
            <w:vMerge w:val="restart"/>
            <w:tcBorders>
              <w:top w:val="single" w:color="auto" w:sz="8" w:space="0"/>
              <w:left w:val="nil"/>
              <w:bottom w:val="outset"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b/>
                <w:sz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b/>
                <w:sz w:val="24"/>
              </w:rPr>
            </w:pP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商业</w:t>
            </w:r>
          </w:p>
          <w:p>
            <w:pPr>
              <w:widowControl/>
              <w:jc w:val="center"/>
              <w:rPr>
                <w:b/>
              </w:rPr>
            </w:pPr>
            <w:r>
              <w:rPr>
                <w:rFonts w:hint="eastAsia" w:ascii="宋体" w:hAnsi="宋体" w:cs="宋体"/>
                <w:b/>
                <w:kern w:val="0"/>
                <w:sz w:val="20"/>
                <w:szCs w:val="20"/>
                <w:lang w:bidi="ar"/>
              </w:rPr>
              <w:t>企业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科研</w:t>
            </w:r>
          </w:p>
          <w:p>
            <w:pPr>
              <w:widowControl/>
              <w:jc w:val="center"/>
              <w:rPr>
                <w:b/>
              </w:rPr>
            </w:pPr>
            <w:r>
              <w:rPr>
                <w:rFonts w:hint="eastAsia" w:ascii="宋体" w:hAnsi="宋体" w:cs="宋体"/>
                <w:b/>
                <w:kern w:val="0"/>
                <w:sz w:val="20"/>
                <w:szCs w:val="20"/>
                <w:lang w:bidi="ar"/>
              </w:rPr>
              <w:t>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b/>
              </w:rPr>
            </w:pPr>
            <w:r>
              <w:rPr>
                <w:rFonts w:hint="eastAsia" w:ascii="宋体" w:hAnsi="宋体" w:cs="宋体"/>
                <w:b/>
                <w:kern w:val="0"/>
                <w:sz w:val="20"/>
                <w:szCs w:val="20"/>
                <w:lang w:bidi="ar"/>
              </w:rPr>
              <w:t>其他</w:t>
            </w:r>
          </w:p>
        </w:tc>
        <w:tc>
          <w:tcPr>
            <w:tcW w:w="692" w:type="dxa"/>
            <w:vMerge w:val="continue"/>
            <w:tcBorders>
              <w:top w:val="single" w:color="auto" w:sz="8" w:space="0"/>
              <w:left w:val="nil"/>
              <w:bottom w:val="outset" w:color="auto" w:sz="8" w:space="0"/>
              <w:right w:val="single" w:color="auto" w:sz="8" w:space="0"/>
            </w:tcBorders>
            <w:tcMar>
              <w:left w:w="57" w:type="dxa"/>
              <w:right w:w="57" w:type="dxa"/>
            </w:tcMar>
            <w:vAlign w:val="center"/>
          </w:tcPr>
          <w:p>
            <w:pPr>
              <w:rPr>
                <w:rFonts w:ascii="宋体"/>
                <w:b/>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7" w:hRule="atLeast"/>
          <w:jc w:val="center"/>
        </w:trPr>
        <w:tc>
          <w:tcPr>
            <w:tcW w:w="4928"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58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6</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b/>
              </w:rPr>
            </w:pPr>
            <w:r>
              <w:rPr>
                <w:rFonts w:hint="eastAsia" w:cs="Calibri"/>
                <w:b/>
                <w:kern w:val="0"/>
                <w:sz w:val="20"/>
                <w:szCs w:val="20"/>
                <w:lang w:bidi="ar"/>
              </w:rPr>
              <w:t>64</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cs="Calibri"/>
                <w:b/>
                <w:kern w:val="0"/>
                <w:sz w:val="20"/>
                <w:szCs w:val="20"/>
                <w:lang w:bidi="ar"/>
              </w:rPr>
              <w:t> </w:t>
            </w:r>
            <w:r>
              <w:rPr>
                <w:rFonts w:hint="eastAsia" w:cs="Calibri"/>
                <w:b/>
                <w:kern w:val="0"/>
                <w:sz w:val="20"/>
                <w:szCs w:val="20"/>
                <w:lang w:bidi="ar"/>
              </w:rPr>
              <w:t>3</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b/>
              </w:rPr>
            </w:pPr>
            <w:r>
              <w:rPr>
                <w:rFonts w:hint="eastAsia" w:cs="Calibri"/>
                <w:b/>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三、本年度办理结果</w:t>
            </w:r>
          </w:p>
        </w:tc>
        <w:tc>
          <w:tcPr>
            <w:tcW w:w="4161"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10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92" w:type="dxa"/>
            <w:tcBorders>
              <w:top w:val="single" w:color="auto" w:sz="8" w:space="0"/>
              <w:left w:val="nil"/>
              <w:bottom w:val="single" w:color="auto" w:sz="8" w:space="0"/>
              <w:right w:val="single" w:color="auto" w:sz="8" w:space="0"/>
            </w:tcBorders>
            <w:tcMar>
              <w:left w:w="57" w:type="dxa"/>
              <w:right w:w="57" w:type="dxa"/>
            </w:tcMar>
          </w:tcPr>
          <w:p>
            <w:pPr>
              <w:widowControl/>
              <w:jc w:val="center"/>
              <w:rPr>
                <w:b/>
              </w:rPr>
            </w:pPr>
            <w:r>
              <w:rPr>
                <w:rFonts w:cs="Calibri"/>
                <w:b/>
                <w:kern w:val="0"/>
                <w:sz w:val="20"/>
                <w:szCs w:val="20"/>
                <w:lang w:bidi="ar"/>
              </w:rPr>
              <w:t> </w:t>
            </w:r>
            <w:r>
              <w:rPr>
                <w:rFonts w:hint="eastAsia" w:cs="Calibri"/>
                <w:b/>
                <w:kern w:val="0"/>
                <w:sz w:val="20"/>
                <w:szCs w:val="20"/>
                <w:lang w:bidi="ar"/>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4161"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（二）部分公开</w:t>
            </w:r>
            <w:r>
              <w:rPr>
                <w:rFonts w:hint="eastAsia" w:ascii="楷体" w:hAnsi="楷体" w:eastAsia="楷体" w:cs="楷体"/>
                <w:b/>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cs="Calibri"/>
                <w:b/>
                <w:kern w:val="0"/>
                <w:sz w:val="20"/>
                <w:szCs w:val="20"/>
                <w:lang w:bidi="ar"/>
              </w:rPr>
              <w:t> </w:t>
            </w:r>
            <w:r>
              <w:rPr>
                <w:rFonts w:hint="eastAsia" w:cs="Calibri"/>
                <w:b/>
                <w:kern w:val="0"/>
                <w:sz w:val="20"/>
                <w:szCs w:val="20"/>
                <w:lang w:bidi="ar"/>
              </w:rPr>
              <w:t>7</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cs="Calibri"/>
                <w:b/>
                <w:kern w:val="0"/>
                <w:sz w:val="20"/>
                <w:szCs w:val="20"/>
                <w:lang w:bidi="ar"/>
              </w:rPr>
              <w:t> </w:t>
            </w:r>
            <w:r>
              <w:rPr>
                <w:rFonts w:hint="eastAsia" w:cs="Calibri"/>
                <w:b/>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（三）不予公开</w:t>
            </w: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5"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b/>
              </w:rPr>
            </w:pPr>
            <w:r>
              <w:rPr>
                <w:rFonts w:cs="Calibri"/>
                <w:b/>
                <w:kern w:val="0"/>
                <w:sz w:val="20"/>
                <w:szCs w:val="20"/>
                <w:lang w:bidi="ar"/>
              </w:rPr>
              <w:t> </w:t>
            </w:r>
            <w:r>
              <w:rPr>
                <w:rFonts w:hint="eastAsia" w:cs="Calibri"/>
                <w:b/>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cs="Calibri"/>
                <w:b/>
                <w:kern w:val="0"/>
                <w:sz w:val="20"/>
                <w:szCs w:val="20"/>
                <w:lang w:bidi="ar"/>
              </w:rPr>
            </w:pPr>
            <w:r>
              <w:rPr>
                <w:rFonts w:cs="Calibri"/>
                <w:b/>
                <w:kern w:val="0"/>
                <w:sz w:val="20"/>
                <w:szCs w:val="20"/>
                <w:lang w:bidi="ar"/>
              </w:rPr>
              <w:t> </w:t>
            </w:r>
            <w:r>
              <w:rPr>
                <w:rFonts w:hint="eastAsia" w:cs="Calibri"/>
                <w:b/>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b/>
              </w:rPr>
            </w:pPr>
            <w:r>
              <w:rPr>
                <w:rFonts w:hint="eastAsia" w:cs="Calibri"/>
                <w:b/>
                <w:kern w:val="0"/>
                <w:sz w:val="20"/>
                <w:szCs w:val="20"/>
                <w:lang w:bidi="ar"/>
              </w:rPr>
              <w:t>1</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cs="Calibri"/>
                <w:b/>
                <w:kern w:val="0"/>
                <w:sz w:val="20"/>
                <w:szCs w:val="20"/>
                <w:lang w:bidi="ar"/>
              </w:rPr>
            </w:pPr>
            <w:r>
              <w:rPr>
                <w:rFonts w:cs="Calibri"/>
                <w:b/>
                <w:kern w:val="0"/>
                <w:sz w:val="20"/>
                <w:szCs w:val="20"/>
                <w:lang w:bidi="ar"/>
              </w:rPr>
              <w:t> </w:t>
            </w:r>
            <w:r>
              <w:rPr>
                <w:rFonts w:hint="eastAsia" w:cs="Calibri"/>
                <w:b/>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4"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b/>
              </w:rPr>
            </w:pPr>
            <w:r>
              <w:rPr>
                <w:rFonts w:cs="Calibri"/>
                <w:b/>
                <w:kern w:val="0"/>
                <w:sz w:val="20"/>
                <w:szCs w:val="20"/>
                <w:lang w:bidi="ar"/>
              </w:rPr>
              <w:t> </w:t>
            </w:r>
            <w:r>
              <w:rPr>
                <w:rFonts w:hint="eastAsia" w:cs="Calibri"/>
                <w:b/>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cs="Calibri"/>
                <w:b/>
                <w:kern w:val="0"/>
                <w:sz w:val="20"/>
                <w:szCs w:val="20"/>
                <w:lang w:bidi="ar"/>
              </w:rPr>
            </w:pPr>
            <w:r>
              <w:rPr>
                <w:rFonts w:hint="eastAsia" w:cs="Calibri"/>
                <w:b/>
                <w:kern w:val="0"/>
                <w:sz w:val="20"/>
                <w:szCs w:val="20"/>
                <w:lang w:bidi="ar"/>
              </w:rPr>
              <w:t>2</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8"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（四）无法提供</w:t>
            </w: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b/>
              </w:rPr>
            </w:pPr>
            <w:r>
              <w:rPr>
                <w:rFonts w:hint="eastAsia" w:cs="Calibri"/>
                <w:b/>
                <w:kern w:val="0"/>
                <w:sz w:val="20"/>
                <w:szCs w:val="20"/>
                <w:lang w:bidi="ar"/>
              </w:rPr>
              <w:t>39</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b/>
              </w:rPr>
            </w:pPr>
            <w:r>
              <w:rPr>
                <w:rFonts w:hint="eastAsia" w:cs="Calibri"/>
                <w:b/>
                <w:kern w:val="0"/>
                <w:sz w:val="20"/>
                <w:szCs w:val="20"/>
                <w:lang w:bidi="ar"/>
              </w:rPr>
              <w:t>5</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cs="Calibri"/>
                <w:b/>
                <w:kern w:val="0"/>
                <w:sz w:val="20"/>
                <w:szCs w:val="20"/>
                <w:lang w:bidi="ar"/>
              </w:rPr>
            </w:pPr>
            <w:r>
              <w:rPr>
                <w:rFonts w:cs="Calibri"/>
                <w:b/>
                <w:kern w:val="0"/>
                <w:sz w:val="20"/>
                <w:szCs w:val="20"/>
                <w:lang w:bidi="ar"/>
              </w:rPr>
              <w:t> </w:t>
            </w:r>
            <w:r>
              <w:rPr>
                <w:rFonts w:hint="eastAsia" w:cs="Calibri"/>
                <w:b/>
                <w:kern w:val="0"/>
                <w:sz w:val="20"/>
                <w:szCs w:val="20"/>
                <w:lang w:bidi="ar"/>
              </w:rPr>
              <w:t>44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（五）不予处理</w:t>
            </w: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tcPr>
          <w:p>
            <w:pPr>
              <w:widowControl/>
              <w:jc w:val="left"/>
              <w:rPr>
                <w:b/>
              </w:rPr>
            </w:pPr>
            <w:r>
              <w:rPr>
                <w:rFonts w:hint="eastAsia" w:ascii="宋体" w:hAnsi="宋体" w:cs="宋体"/>
                <w:b/>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outset" w:color="auto" w:sz="8" w:space="0"/>
              <w:right w:val="single" w:color="auto" w:sz="8" w:space="0"/>
            </w:tcBorders>
            <w:tcMar>
              <w:left w:w="57" w:type="dxa"/>
              <w:right w:w="57" w:type="dxa"/>
            </w:tcMar>
            <w:vAlign w:val="center"/>
          </w:tcPr>
          <w:p>
            <w:pPr>
              <w:widowControl/>
              <w:rPr>
                <w:b/>
              </w:rPr>
            </w:pPr>
            <w:r>
              <w:rPr>
                <w:rFonts w:hint="eastAsia" w:ascii="宋体" w:hAnsi="宋体" w:cs="宋体"/>
                <w:b/>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outset"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（六）其他处理</w:t>
            </w:r>
          </w:p>
        </w:tc>
        <w:tc>
          <w:tcPr>
            <w:tcW w:w="3218" w:type="dxa"/>
            <w:tcBorders>
              <w:top w:val="nil"/>
              <w:left w:val="nil"/>
              <w:bottom w:val="single" w:color="auto" w:sz="8" w:space="0"/>
              <w:right w:val="single" w:color="auto" w:sz="8" w:space="0"/>
            </w:tcBorders>
            <w:tcMar>
              <w:left w:w="57" w:type="dxa"/>
              <w:right w:w="57" w:type="dxa"/>
            </w:tcMar>
            <w:vAlign w:val="center"/>
          </w:tcPr>
          <w:p>
            <w:pPr>
              <w:widowControl/>
              <w:rPr>
                <w:b/>
              </w:rPr>
            </w:pPr>
            <w:r>
              <w:rPr>
                <w:rFonts w:hint="eastAsia" w:ascii="宋体" w:hAnsi="宋体" w:cs="宋体"/>
                <w:b/>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1</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cs="Calibri"/>
                <w:b/>
                <w:kern w:val="0"/>
                <w:sz w:val="20"/>
                <w:szCs w:val="20"/>
                <w:lang w:bidi="ar"/>
              </w:rPr>
            </w:pPr>
            <w:r>
              <w:rPr>
                <w:rFonts w:hint="eastAsia" w:cs="Calibri"/>
                <w:b/>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vAlign w:val="center"/>
          </w:tcPr>
          <w:p>
            <w:pPr>
              <w:widowControl/>
              <w:rPr>
                <w:b/>
              </w:rPr>
            </w:pPr>
            <w:r>
              <w:rPr>
                <w:rFonts w:hint="eastAsia" w:ascii="宋体" w:hAnsi="宋体" w:cs="宋体"/>
                <w:b/>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b/>
                <w:sz w:val="24"/>
              </w:rPr>
            </w:pPr>
          </w:p>
        </w:tc>
        <w:tc>
          <w:tcPr>
            <w:tcW w:w="3218" w:type="dxa"/>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b/>
                <w:sz w:val="24"/>
              </w:rPr>
            </w:pPr>
          </w:p>
        </w:tc>
        <w:tc>
          <w:tcPr>
            <w:tcW w:w="4161"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cs="Calibri"/>
                <w:b/>
                <w:kern w:val="0"/>
                <w:sz w:val="20"/>
                <w:szCs w:val="20"/>
                <w:lang w:bidi="ar"/>
              </w:rPr>
              <w:t> </w:t>
            </w:r>
            <w:r>
              <w:rPr>
                <w:rFonts w:hint="eastAsia" w:cs="Calibri"/>
                <w:b/>
                <w:kern w:val="0"/>
                <w:sz w:val="20"/>
                <w:szCs w:val="20"/>
                <w:lang w:bidi="ar"/>
              </w:rPr>
              <w:t>61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6</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hint="eastAsia" w:cs="Calibri"/>
                <w:b/>
                <w:kern w:val="0"/>
                <w:sz w:val="20"/>
                <w:szCs w:val="20"/>
                <w:lang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cs="Calibri"/>
                <w:b/>
                <w:kern w:val="0"/>
                <w:sz w:val="20"/>
                <w:szCs w:val="20"/>
                <w:lang w:bidi="ar"/>
              </w:rPr>
            </w:pPr>
            <w:r>
              <w:rPr>
                <w:rFonts w:cs="Calibri"/>
                <w:b/>
                <w:kern w:val="0"/>
                <w:sz w:val="20"/>
                <w:szCs w:val="20"/>
                <w:lang w:bidi="ar"/>
              </w:rPr>
              <w:t> </w:t>
            </w:r>
            <w:r>
              <w:rPr>
                <w:rFonts w:hint="eastAsia" w:cs="Calibri"/>
                <w:b/>
                <w:kern w:val="0"/>
                <w:sz w:val="20"/>
                <w:szCs w:val="20"/>
                <w:lang w:bidi="ar"/>
              </w:rPr>
              <w:t>67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b/>
              </w:rPr>
            </w:pPr>
            <w:r>
              <w:rPr>
                <w:rFonts w:hint="eastAsia" w:ascii="宋体" w:hAnsi="宋体" w:cs="宋体"/>
                <w:b/>
                <w:kern w:val="0"/>
                <w:sz w:val="20"/>
                <w:szCs w:val="20"/>
                <w:lang w:bidi="ar"/>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cs="Calibri"/>
                <w:b/>
                <w:kern w:val="0"/>
                <w:sz w:val="20"/>
                <w:szCs w:val="20"/>
                <w:lang w:bidi="ar"/>
              </w:rPr>
              <w:t> </w:t>
            </w: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cs="Calibri"/>
                <w:b/>
                <w:kern w:val="0"/>
                <w:sz w:val="20"/>
                <w:szCs w:val="20"/>
                <w:lang w:bidi="ar"/>
              </w:rPr>
              <w:t> </w:t>
            </w: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hint="eastAsia" w:cs="Calibri"/>
                <w:b/>
                <w:kern w:val="0"/>
                <w:sz w:val="20"/>
                <w:szCs w:val="20"/>
                <w:lang w:bidi="ar"/>
              </w:rPr>
              <w:t>0</w:t>
            </w:r>
            <w:r>
              <w:rPr>
                <w:rFonts w:cs="Calibri"/>
                <w:b/>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cs="Calibri"/>
                <w:b/>
                <w:kern w:val="0"/>
                <w:sz w:val="20"/>
                <w:szCs w:val="20"/>
                <w:lang w:bidi="ar"/>
              </w:rPr>
              <w:t> </w:t>
            </w: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b/>
              </w:rPr>
            </w:pPr>
            <w:r>
              <w:rPr>
                <w:rFonts w:cs="Calibri"/>
                <w:b/>
                <w:kern w:val="0"/>
                <w:sz w:val="20"/>
                <w:szCs w:val="20"/>
                <w:lang w:bidi="ar"/>
              </w:rPr>
              <w:t> </w:t>
            </w:r>
            <w:r>
              <w:rPr>
                <w:rFonts w:hint="eastAsia" w:cs="Calibri"/>
                <w:b/>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cs="Calibri"/>
                <w:b/>
                <w:kern w:val="0"/>
                <w:sz w:val="20"/>
                <w:szCs w:val="20"/>
                <w:lang w:bidi="ar"/>
              </w:rPr>
            </w:pPr>
            <w:r>
              <w:rPr>
                <w:rFonts w:cs="Calibri"/>
                <w:b/>
                <w:kern w:val="0"/>
                <w:sz w:val="20"/>
                <w:szCs w:val="20"/>
                <w:lang w:bidi="ar"/>
              </w:rPr>
              <w:t> </w:t>
            </w:r>
            <w:r>
              <w:rPr>
                <w:rFonts w:hint="eastAsia" w:cs="Calibri"/>
                <w:b/>
                <w:kern w:val="0"/>
                <w:sz w:val="20"/>
                <w:szCs w:val="20"/>
                <w:lang w:bidi="ar"/>
              </w:rPr>
              <w:t>0</w:t>
            </w:r>
          </w:p>
        </w:tc>
        <w:tc>
          <w:tcPr>
            <w:tcW w:w="692" w:type="dxa"/>
            <w:tcBorders>
              <w:top w:val="nil"/>
              <w:left w:val="nil"/>
              <w:bottom w:val="single" w:color="auto" w:sz="8" w:space="0"/>
              <w:right w:val="single" w:color="auto" w:sz="8" w:space="0"/>
            </w:tcBorders>
            <w:tcMar>
              <w:left w:w="57" w:type="dxa"/>
              <w:right w:w="57" w:type="dxa"/>
            </w:tcMar>
          </w:tcPr>
          <w:p>
            <w:pPr>
              <w:widowControl/>
              <w:jc w:val="center"/>
              <w:rPr>
                <w:rFonts w:cs="Calibri"/>
                <w:b/>
                <w:kern w:val="0"/>
                <w:sz w:val="20"/>
                <w:szCs w:val="20"/>
                <w:lang w:bidi="ar"/>
              </w:rPr>
            </w:pPr>
            <w:r>
              <w:rPr>
                <w:rFonts w:hint="eastAsia" w:cs="Calibri"/>
                <w:b/>
                <w:kern w:val="0"/>
                <w:sz w:val="20"/>
                <w:szCs w:val="20"/>
                <w:lang w:bidi="ar"/>
              </w:rPr>
              <w:t>0</w:t>
            </w:r>
          </w:p>
        </w:tc>
      </w:tr>
    </w:tbl>
    <w:p>
      <w:pPr>
        <w:pStyle w:val="4"/>
        <w:widowControl/>
        <w:shd w:val="clear" w:color="auto" w:fill="FFFFFF"/>
        <w:spacing w:before="0" w:beforeAutospacing="0" w:after="0" w:afterAutospacing="0"/>
        <w:ind w:firstLine="642" w:firstLineChars="200"/>
        <w:jc w:val="both"/>
        <w:rPr>
          <w:rFonts w:ascii="黑体" w:hAnsi="黑体" w:eastAsia="黑体" w:cs="黑体"/>
          <w:b/>
          <w:sz w:val="32"/>
          <w:szCs w:val="32"/>
          <w:shd w:val="clear" w:color="auto" w:fill="FFFFFF"/>
        </w:rPr>
      </w:pPr>
    </w:p>
    <w:p>
      <w:pPr>
        <w:pStyle w:val="4"/>
        <w:widowControl/>
        <w:shd w:val="clear" w:color="auto" w:fill="FFFFFF"/>
        <w:spacing w:before="0" w:beforeAutospacing="0" w:after="0" w:afterAutospacing="0"/>
        <w:ind w:firstLine="642" w:firstLineChars="200"/>
        <w:jc w:val="both"/>
        <w:rPr>
          <w:rFonts w:ascii="黑体" w:hAnsi="黑体" w:eastAsia="黑体" w:cs="黑体"/>
          <w:b/>
          <w:sz w:val="32"/>
          <w:szCs w:val="32"/>
        </w:rPr>
      </w:pPr>
      <w:r>
        <w:rPr>
          <w:rFonts w:hint="eastAsia" w:ascii="黑体" w:hAnsi="黑体" w:eastAsia="黑体" w:cs="黑体"/>
          <w:b/>
          <w:sz w:val="32"/>
          <w:szCs w:val="32"/>
          <w:shd w:val="clear" w:color="auto" w:fill="FFFFFF"/>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其他</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尚未</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b/>
                <w:sz w:val="24"/>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b/>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b/>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b/>
                <w:sz w:val="24"/>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b/>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其他</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尚未</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结果</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其他</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尚未</w:t>
            </w:r>
            <w:r>
              <w:rPr>
                <w:rFonts w:hint="eastAsia" w:ascii="宋体" w:hAnsi="宋体" w:cs="宋体"/>
                <w:b/>
                <w:kern w:val="0"/>
                <w:sz w:val="20"/>
                <w:szCs w:val="20"/>
                <w:lang w:bidi="ar"/>
              </w:rPr>
              <w:br w:type="textWrapping"/>
            </w:r>
            <w:r>
              <w:rPr>
                <w:rFonts w:hint="eastAsia" w:ascii="宋体" w:hAnsi="宋体" w:cs="宋体"/>
                <w:b/>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黑体" w:hAnsi="宋体" w:eastAsia="黑体"/>
                <w:b/>
                <w:kern w:val="0"/>
                <w:sz w:val="20"/>
                <w:szCs w:val="20"/>
              </w:rPr>
              <w:t> </w:t>
            </w:r>
            <w:r>
              <w:rPr>
                <w:rFonts w:hint="eastAsia" w:ascii="黑体" w:hAnsi="黑体" w:eastAsia="黑体"/>
                <w:b/>
                <w:kern w:val="0"/>
                <w:sz w:val="20"/>
                <w:szCs w:val="20"/>
              </w:rPr>
              <w:t>1</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 </w:t>
            </w:r>
            <w:r>
              <w:rPr>
                <w:rFonts w:hint="eastAsia" w:ascii="黑体" w:hAnsi="黑体" w:eastAsia="黑体"/>
                <w:b/>
                <w:kern w:val="0"/>
                <w:sz w:val="20"/>
                <w:szCs w:val="20"/>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b/>
              </w:rPr>
            </w:pPr>
            <w:r>
              <w:rPr>
                <w:rFonts w:hint="eastAsia" w:ascii="宋体" w:hAnsi="宋体"/>
                <w:b/>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b/>
                <w:sz w:val="24"/>
              </w:rPr>
            </w:pPr>
            <w:r>
              <w:rPr>
                <w:rFonts w:hint="eastAsia" w:ascii="宋体" w:hAnsi="宋体"/>
                <w:b/>
                <w:kern w:val="0"/>
                <w:sz w:val="20"/>
                <w:szCs w:val="20"/>
              </w:rPr>
              <w:t>0</w:t>
            </w:r>
          </w:p>
        </w:tc>
      </w:tr>
    </w:tbl>
    <w:p>
      <w:pPr>
        <w:widowControl/>
        <w:jc w:val="left"/>
        <w:rPr>
          <w:b/>
        </w:rPr>
      </w:pPr>
    </w:p>
    <w:p>
      <w:pPr>
        <w:pStyle w:val="4"/>
        <w:widowControl/>
        <w:shd w:val="clear" w:color="auto" w:fill="FFFFFF"/>
        <w:spacing w:before="0" w:beforeAutospacing="0" w:after="0" w:afterAutospacing="0" w:line="560" w:lineRule="exact"/>
        <w:ind w:firstLine="642" w:firstLineChars="200"/>
        <w:jc w:val="both"/>
        <w:rPr>
          <w:rFonts w:ascii="黑体" w:hAnsi="黑体" w:eastAsia="黑体" w:cs="黑体"/>
          <w:b/>
          <w:sz w:val="32"/>
          <w:szCs w:val="32"/>
        </w:rPr>
      </w:pPr>
      <w:r>
        <w:rPr>
          <w:rFonts w:hint="eastAsia" w:ascii="黑体" w:hAnsi="黑体" w:eastAsia="黑体" w:cs="黑体"/>
          <w:b/>
          <w:sz w:val="32"/>
          <w:szCs w:val="32"/>
          <w:shd w:val="clear" w:color="auto" w:fill="FFFFFF"/>
        </w:rPr>
        <w:t>五、存在的主要问题及改进情况</w:t>
      </w:r>
    </w:p>
    <w:p>
      <w:pPr>
        <w:pStyle w:val="4"/>
        <w:widowControl/>
        <w:shd w:val="clear" w:color="auto" w:fill="FFFFFF"/>
        <w:spacing w:before="0" w:beforeAutospacing="0" w:after="0" w:afterAutospacing="0" w:line="560" w:lineRule="exact"/>
        <w:ind w:firstLine="642" w:firstLineChars="200"/>
        <w:jc w:val="both"/>
        <w:rPr>
          <w:rFonts w:hint="eastAsia" w:ascii="方正仿宋简体" w:hAnsi="方正仿宋简体" w:eastAsia="方正仿宋简体" w:cs="方正仿宋简体"/>
          <w:b/>
          <w:kern w:val="2"/>
          <w:sz w:val="32"/>
          <w:szCs w:val="32"/>
        </w:rPr>
      </w:pPr>
      <w:r>
        <w:rPr>
          <w:rFonts w:hint="eastAsia" w:ascii="方正仿宋简体" w:hAnsi="方正仿宋简体" w:eastAsia="方正仿宋简体" w:cs="方正仿宋简体"/>
          <w:b/>
          <w:kern w:val="2"/>
          <w:sz w:val="32"/>
          <w:szCs w:val="32"/>
        </w:rPr>
        <w:t>一是重视程度需进一步提高，对政务公开工作的重要性认识不足，为迎评而公开的“应试”倾向严重；二是解读质量需进一步提升，部分政策解读材料流于表面，未达到解读效果；三是部分指标公开不规范，如公开时间滞后，部分信息缺失等。</w:t>
      </w:r>
    </w:p>
    <w:p>
      <w:pPr>
        <w:pStyle w:val="4"/>
        <w:widowControl/>
        <w:shd w:val="clear" w:color="auto" w:fill="FFFFFF"/>
        <w:spacing w:before="0" w:beforeAutospacing="0" w:after="0" w:afterAutospacing="0" w:line="560" w:lineRule="exact"/>
        <w:ind w:firstLine="642" w:firstLineChars="200"/>
        <w:rPr>
          <w:rFonts w:hint="eastAsia" w:ascii="方正仿宋简体" w:hAnsi="方正仿宋简体" w:eastAsia="方正仿宋简体" w:cs="方正仿宋简体"/>
          <w:b/>
          <w:kern w:val="2"/>
          <w:sz w:val="32"/>
          <w:szCs w:val="32"/>
        </w:rPr>
      </w:pPr>
      <w:r>
        <w:rPr>
          <w:rFonts w:hint="eastAsia" w:ascii="方正仿宋简体" w:hAnsi="方正仿宋简体" w:eastAsia="方正仿宋简体" w:cs="方正仿宋简体"/>
          <w:b/>
          <w:kern w:val="2"/>
          <w:sz w:val="32"/>
          <w:szCs w:val="32"/>
        </w:rPr>
        <w:t>针对上述问题，下一步将重点抓好以下工作：一是强化日常督导，制定详细的政务公开工作计划表，明确全年工作目标，细化每月、每周具体任务，按照时间节点进行定期督导、检查，确保工作有章可循，有序推进。二是提高政策解读水平，指导起草部门着重对新旧政策差异、特色亮点以及惠民利民举措等进行详细解读，对重要政策必须采取主要负责人、新闻发布会、专家、媒体等两种以上方式进行解读，切实提高解读质量；三是突出做好规范性文件、“双随机一公开”、行政执法信息、重点任务承诺、住房教育等重点信息的及时更新，避免年底“突击式”发布，真正保障群众的知情权、参与权、监督权和表达权。</w:t>
      </w:r>
    </w:p>
    <w:p>
      <w:pPr>
        <w:pStyle w:val="4"/>
        <w:widowControl/>
        <w:shd w:val="clear" w:color="auto" w:fill="FFFFFF"/>
        <w:spacing w:before="0" w:beforeAutospacing="0" w:after="0" w:afterAutospacing="0" w:line="560" w:lineRule="exact"/>
        <w:ind w:firstLine="642" w:firstLineChars="200"/>
        <w:jc w:val="both"/>
        <w:rPr>
          <w:rFonts w:ascii="黑体" w:hAnsi="黑体" w:eastAsia="黑体" w:cs="黑体"/>
          <w:b/>
          <w:sz w:val="32"/>
          <w:szCs w:val="32"/>
        </w:rPr>
      </w:pPr>
      <w:r>
        <w:rPr>
          <w:rFonts w:hint="eastAsia" w:ascii="黑体" w:hAnsi="黑体" w:eastAsia="黑体" w:cs="黑体"/>
          <w:b/>
          <w:sz w:val="32"/>
          <w:szCs w:val="32"/>
          <w:shd w:val="clear" w:color="auto" w:fill="FFFFFF"/>
        </w:rPr>
        <w:t>六、其他需要报告的事项</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ascii="方正楷体简体" w:hAnsi="方正楷体简体" w:eastAsia="方正楷体简体" w:cs="方正楷体简体"/>
          <w:b/>
          <w:bCs w:val="0"/>
          <w:color w:val="auto"/>
          <w:sz w:val="32"/>
          <w:szCs w:val="32"/>
        </w:rPr>
      </w:pPr>
      <w:r>
        <w:rPr>
          <w:rFonts w:hint="eastAsia" w:ascii="方正楷体简体" w:hAnsi="方正楷体简体" w:eastAsia="方正楷体简体" w:cs="方正楷体简体"/>
          <w:b/>
          <w:bCs w:val="0"/>
          <w:color w:val="auto"/>
          <w:sz w:val="32"/>
          <w:szCs w:val="32"/>
          <w:lang w:eastAsia="zh-CN"/>
        </w:rPr>
        <w:t>（一）</w:t>
      </w:r>
      <w:r>
        <w:rPr>
          <w:rFonts w:hint="eastAsia" w:ascii="方正楷体简体" w:hAnsi="方正楷体简体" w:eastAsia="方正楷体简体" w:cs="方正楷体简体"/>
          <w:b/>
          <w:bCs w:val="0"/>
          <w:color w:val="auto"/>
          <w:sz w:val="32"/>
          <w:szCs w:val="32"/>
        </w:rPr>
        <w:t>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b/>
          <w:sz w:val="32"/>
          <w:szCs w:val="32"/>
          <w:highlight w:val="none"/>
          <w:lang w:eastAsia="zh-CN"/>
        </w:rPr>
      </w:pPr>
      <w:r>
        <w:rPr>
          <w:rFonts w:hint="eastAsia" w:ascii="方正仿宋简体" w:hAnsi="方正仿宋简体" w:eastAsia="方正仿宋简体" w:cs="方正仿宋简体"/>
          <w:b/>
          <w:sz w:val="32"/>
          <w:szCs w:val="32"/>
        </w:rPr>
        <w:t>2022年</w:t>
      </w:r>
      <w:r>
        <w:rPr>
          <w:rFonts w:hint="eastAsia" w:ascii="方正仿宋简体" w:hAnsi="方正仿宋简体" w:eastAsia="方正仿宋简体" w:cs="方正仿宋简体"/>
          <w:b/>
          <w:sz w:val="32"/>
          <w:szCs w:val="32"/>
          <w:highlight w:val="none"/>
        </w:rPr>
        <w:t>度，本机关依据《政府信息公开信息处理费管理办法》未收取信息处理费</w:t>
      </w:r>
      <w:r>
        <w:rPr>
          <w:rFonts w:hint="eastAsia" w:ascii="方正仿宋简体" w:hAnsi="方正仿宋简体" w:eastAsia="方正仿宋简体" w:cs="方正仿宋简体"/>
          <w:b/>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方正楷体简体" w:hAnsi="方正楷体简体" w:eastAsia="方正楷体简体" w:cs="方正楷体简体"/>
          <w:b/>
          <w:bCs w:val="0"/>
          <w:color w:val="auto"/>
          <w:sz w:val="32"/>
          <w:szCs w:val="32"/>
        </w:rPr>
      </w:pPr>
      <w:r>
        <w:rPr>
          <w:rFonts w:hint="eastAsia" w:ascii="方正楷体简体" w:hAnsi="方正楷体简体" w:eastAsia="方正楷体简体" w:cs="方正楷体简体"/>
          <w:b/>
          <w:bCs w:val="0"/>
          <w:color w:val="auto"/>
          <w:sz w:val="32"/>
          <w:szCs w:val="32"/>
          <w:lang w:eastAsia="zh-CN"/>
        </w:rPr>
        <w:t>（</w:t>
      </w:r>
      <w:r>
        <w:rPr>
          <w:rFonts w:hint="eastAsia" w:ascii="方正楷体简体" w:hAnsi="方正楷体简体" w:eastAsia="方正楷体简体" w:cs="方正楷体简体"/>
          <w:b/>
          <w:bCs w:val="0"/>
          <w:color w:val="auto"/>
          <w:sz w:val="32"/>
          <w:szCs w:val="32"/>
          <w:lang w:val="en-US" w:eastAsia="zh-CN"/>
        </w:rPr>
        <w:t>二</w:t>
      </w:r>
      <w:r>
        <w:rPr>
          <w:rFonts w:hint="eastAsia" w:ascii="方正楷体简体" w:hAnsi="方正楷体简体" w:eastAsia="方正楷体简体" w:cs="方正楷体简体"/>
          <w:b/>
          <w:bCs w:val="0"/>
          <w:color w:val="auto"/>
          <w:sz w:val="32"/>
          <w:szCs w:val="32"/>
          <w:lang w:eastAsia="zh-CN"/>
        </w:rPr>
        <w:t>）</w:t>
      </w:r>
      <w:r>
        <w:rPr>
          <w:rFonts w:hint="eastAsia" w:ascii="方正楷体简体" w:hAnsi="方正楷体简体" w:eastAsia="方正楷体简体" w:cs="方正楷体简体"/>
          <w:b/>
          <w:bCs w:val="0"/>
          <w:color w:val="auto"/>
          <w:sz w:val="32"/>
          <w:szCs w:val="32"/>
        </w:rPr>
        <w:t>本行政机关落实上级年度政务公开工作要点情况</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val="en-US" w:eastAsia="zh-CN"/>
        </w:rPr>
        <w:t>我办</w:t>
      </w:r>
      <w:r>
        <w:rPr>
          <w:rFonts w:hint="eastAsia" w:ascii="方正仿宋简体" w:hAnsi="方正仿宋简体" w:eastAsia="方正仿宋简体" w:cs="方正仿宋简体"/>
          <w:b/>
          <w:bCs w:val="0"/>
          <w:color w:val="auto"/>
          <w:sz w:val="32"/>
          <w:szCs w:val="32"/>
        </w:rPr>
        <w:t>根据《落实国家&lt;2022年政务公开工作要点&gt;工作台账》《山东省政务公开工作要点》《2022年山东省政务公开重点任务分解表》，结合我市实际，印发《济宁市2022年政务公开工作任务分解表》，聚焦重点任务、明确责任部门、细化公开标准，将国家、省、市政务公开要点进行细化分解，</w:t>
      </w:r>
      <w:r>
        <w:rPr>
          <w:rFonts w:hint="eastAsia" w:ascii="方正仿宋简体" w:hAnsi="方正仿宋简体" w:eastAsia="方正仿宋简体" w:cs="方正仿宋简体"/>
          <w:b/>
          <w:bCs w:val="0"/>
          <w:color w:val="auto"/>
          <w:sz w:val="32"/>
          <w:szCs w:val="32"/>
          <w:lang w:val="en-US" w:eastAsia="zh-CN"/>
        </w:rPr>
        <w:t>对任务分解表完成情况进行定期检查、通报，并计入年底总成绩，确保国家、省、市</w:t>
      </w:r>
      <w:r>
        <w:rPr>
          <w:rFonts w:hint="eastAsia" w:ascii="方正仿宋简体" w:hAnsi="方正仿宋简体" w:eastAsia="方正仿宋简体" w:cs="方正仿宋简体"/>
          <w:b/>
          <w:bCs w:val="0"/>
          <w:color w:val="auto"/>
          <w:sz w:val="32"/>
          <w:szCs w:val="32"/>
        </w:rPr>
        <w:t>2022年政务公开工作要点</w:t>
      </w:r>
      <w:r>
        <w:rPr>
          <w:rFonts w:hint="eastAsia" w:ascii="方正仿宋简体" w:hAnsi="方正仿宋简体" w:eastAsia="方正仿宋简体" w:cs="方正仿宋简体"/>
          <w:b/>
          <w:bCs w:val="0"/>
          <w:color w:val="auto"/>
          <w:sz w:val="32"/>
          <w:szCs w:val="32"/>
          <w:lang w:val="en-US" w:eastAsia="zh-CN"/>
        </w:rPr>
        <w:t>全部</w:t>
      </w:r>
      <w:r>
        <w:rPr>
          <w:rFonts w:hint="eastAsia" w:ascii="方正仿宋简体" w:hAnsi="方正仿宋简体" w:eastAsia="方正仿宋简体" w:cs="方正仿宋简体"/>
          <w:b/>
          <w:bCs w:val="0"/>
          <w:color w:val="auto"/>
          <w:sz w:val="32"/>
          <w:szCs w:val="32"/>
        </w:rPr>
        <w:t>落实</w:t>
      </w:r>
      <w:r>
        <w:rPr>
          <w:rFonts w:hint="eastAsia" w:ascii="方正仿宋简体" w:hAnsi="方正仿宋简体" w:eastAsia="方正仿宋简体" w:cs="方正仿宋简体"/>
          <w:b/>
          <w:bCs w:val="0"/>
          <w:color w:val="auto"/>
          <w:sz w:val="32"/>
          <w:szCs w:val="32"/>
          <w:lang w:val="en-US" w:eastAsia="zh-CN"/>
        </w:rPr>
        <w:t>到位</w:t>
      </w:r>
      <w:r>
        <w:rPr>
          <w:rFonts w:hint="eastAsia" w:ascii="方正仿宋简体" w:hAnsi="方正仿宋简体" w:eastAsia="方正仿宋简体" w:cs="方正仿宋简体"/>
          <w:b/>
          <w:bCs w:val="0"/>
          <w:color w:val="auto"/>
          <w:sz w:val="32"/>
          <w:szCs w:val="32"/>
        </w:rPr>
        <w:t>。</w:t>
      </w:r>
    </w:p>
    <w:p>
      <w:pPr>
        <w:keepNext w:val="0"/>
        <w:keepLines w:val="0"/>
        <w:pageBreakBefore w:val="0"/>
        <w:widowControl w:val="0"/>
        <w:kinsoku/>
        <w:wordWrap/>
        <w:overflowPunct/>
        <w:topLinePunct w:val="0"/>
        <w:autoSpaceDE/>
        <w:autoSpaceDN/>
        <w:bidi w:val="0"/>
        <w:adjustRightInd/>
        <w:snapToGrid/>
        <w:ind w:firstLine="722" w:firstLineChars="200"/>
        <w:textAlignment w:val="auto"/>
        <w:rPr>
          <w:rFonts w:hint="eastAsia" w:ascii="方正楷体简体" w:hAnsi="方正楷体简体" w:eastAsia="方正楷体简体" w:cs="方正楷体简体"/>
          <w:b/>
          <w:bCs w:val="0"/>
          <w:color w:val="auto"/>
          <w:sz w:val="36"/>
          <w:szCs w:val="36"/>
        </w:rPr>
      </w:pPr>
      <w:r>
        <w:rPr>
          <w:rFonts w:hint="eastAsia" w:ascii="方正楷体简体" w:hAnsi="方正楷体简体" w:eastAsia="方正楷体简体" w:cs="方正楷体简体"/>
          <w:b/>
          <w:bCs w:val="0"/>
          <w:color w:val="auto"/>
          <w:sz w:val="36"/>
          <w:szCs w:val="36"/>
          <w:lang w:eastAsia="zh-CN"/>
        </w:rPr>
        <w:t>（三）</w:t>
      </w:r>
      <w:r>
        <w:rPr>
          <w:rFonts w:hint="eastAsia" w:ascii="方正楷体简体" w:hAnsi="方正楷体简体" w:eastAsia="方正楷体简体" w:cs="方正楷体简体"/>
          <w:b/>
          <w:bCs w:val="0"/>
          <w:color w:val="auto"/>
          <w:sz w:val="36"/>
          <w:szCs w:val="36"/>
        </w:rPr>
        <w:t>本行政机关人大代表建议和政协提案办理结果公开情况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济宁市政府共承办人大代表建议241件，政协提案393件，其中济宁市人民政府办公室未收到人大建议和政协提案。</w:t>
      </w:r>
    </w:p>
    <w:p>
      <w:pPr>
        <w:keepNext w:val="0"/>
        <w:keepLines w:val="0"/>
        <w:pageBreakBefore w:val="0"/>
        <w:widowControl w:val="0"/>
        <w:numPr>
          <w:ilvl w:val="0"/>
          <w:numId w:val="0"/>
        </w:numPr>
        <w:kinsoku/>
        <w:wordWrap/>
        <w:overflowPunct/>
        <w:topLinePunct w:val="0"/>
        <w:autoSpaceDE/>
        <w:autoSpaceDN/>
        <w:bidi w:val="0"/>
        <w:adjustRightInd/>
        <w:snapToGrid/>
        <w:ind w:firstLine="722" w:firstLineChars="200"/>
        <w:textAlignment w:val="auto"/>
        <w:rPr>
          <w:rFonts w:hint="eastAsia" w:ascii="方正楷体简体" w:hAnsi="方正楷体简体" w:eastAsia="方正楷体简体" w:cs="方正楷体简体"/>
          <w:b/>
          <w:bCs w:val="0"/>
          <w:color w:val="auto"/>
          <w:sz w:val="36"/>
          <w:szCs w:val="36"/>
        </w:rPr>
      </w:pPr>
      <w:r>
        <w:rPr>
          <w:rFonts w:hint="eastAsia" w:ascii="方正楷体简体" w:hAnsi="方正楷体简体" w:eastAsia="方正楷体简体" w:cs="方正楷体简体"/>
          <w:b/>
          <w:bCs w:val="0"/>
          <w:color w:val="auto"/>
          <w:sz w:val="36"/>
          <w:szCs w:val="36"/>
          <w:lang w:eastAsia="zh-CN"/>
        </w:rPr>
        <w:t>（</w:t>
      </w:r>
      <w:r>
        <w:rPr>
          <w:rFonts w:hint="eastAsia" w:ascii="方正楷体简体" w:hAnsi="方正楷体简体" w:eastAsia="方正楷体简体" w:cs="方正楷体简体"/>
          <w:b/>
          <w:bCs w:val="0"/>
          <w:color w:val="auto"/>
          <w:sz w:val="36"/>
          <w:szCs w:val="36"/>
          <w:lang w:val="en-US" w:eastAsia="zh-CN"/>
        </w:rPr>
        <w:t>四</w:t>
      </w:r>
      <w:r>
        <w:rPr>
          <w:rFonts w:hint="eastAsia" w:ascii="方正楷体简体" w:hAnsi="方正楷体简体" w:eastAsia="方正楷体简体" w:cs="方正楷体简体"/>
          <w:b/>
          <w:bCs w:val="0"/>
          <w:color w:val="auto"/>
          <w:sz w:val="36"/>
          <w:szCs w:val="36"/>
          <w:lang w:eastAsia="zh-CN"/>
        </w:rPr>
        <w:t>）</w:t>
      </w:r>
      <w:r>
        <w:rPr>
          <w:rFonts w:hint="eastAsia" w:ascii="方正楷体简体" w:hAnsi="方正楷体简体" w:eastAsia="方正楷体简体" w:cs="方正楷体简体"/>
          <w:b/>
          <w:bCs w:val="0"/>
          <w:color w:val="auto"/>
          <w:sz w:val="36"/>
          <w:szCs w:val="36"/>
        </w:rPr>
        <w:t>本行政机关年度政务公开工作创新情况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98" w:firstLineChars="200"/>
        <w:jc w:val="left"/>
        <w:textAlignment w:val="auto"/>
        <w:rPr>
          <w:rFonts w:hint="eastAsia" w:ascii="方正仿宋简体" w:hAnsi="方正仿宋简体" w:eastAsia="方正仿宋简体" w:cs="方正仿宋简体"/>
          <w:b/>
          <w:kern w:val="0"/>
          <w:sz w:val="32"/>
          <w:szCs w:val="32"/>
        </w:rPr>
      </w:pPr>
      <w:r>
        <w:rPr>
          <w:rFonts w:hint="eastAsia" w:ascii="方正仿宋简体" w:hAnsi="方正仿宋简体" w:eastAsia="方正仿宋简体" w:cs="方正仿宋简体"/>
          <w:b/>
          <w:bCs/>
          <w:spacing w:val="-11"/>
          <w:sz w:val="32"/>
          <w:szCs w:val="32"/>
          <w:lang w:val="en-US" w:eastAsia="zh-CN"/>
        </w:rPr>
        <w:t>1、创新编制</w:t>
      </w:r>
      <w:r>
        <w:rPr>
          <w:rFonts w:hint="eastAsia" w:ascii="方正仿宋简体" w:hAnsi="方正仿宋简体" w:eastAsia="方正仿宋简体" w:cs="方正仿宋简体"/>
          <w:b/>
          <w:bCs/>
          <w:spacing w:val="-11"/>
          <w:sz w:val="32"/>
          <w:szCs w:val="32"/>
        </w:rPr>
        <w:t>“一册”“一编”助力提升政务公开工作水平</w:t>
      </w:r>
      <w:r>
        <w:rPr>
          <w:rFonts w:hint="eastAsia" w:ascii="方正仿宋简体" w:hAnsi="方正仿宋简体" w:eastAsia="方正仿宋简体" w:cs="方正仿宋简体"/>
          <w:b/>
          <w:bCs/>
          <w:spacing w:val="-11"/>
          <w:sz w:val="32"/>
          <w:szCs w:val="32"/>
          <w:lang w:eastAsia="zh-CN"/>
        </w:rPr>
        <w:t>。</w:t>
      </w:r>
      <w:r>
        <w:rPr>
          <w:rFonts w:hint="eastAsia" w:ascii="方正仿宋简体" w:hAnsi="方正仿宋简体" w:eastAsia="方正仿宋简体" w:cs="方正仿宋简体"/>
          <w:b/>
          <w:color w:val="000000"/>
          <w:sz w:val="32"/>
          <w:szCs w:val="32"/>
        </w:rPr>
        <w:t>2022年，济宁市</w:t>
      </w:r>
      <w:r>
        <w:rPr>
          <w:rFonts w:hint="eastAsia" w:ascii="方正仿宋简体" w:hAnsi="方正仿宋简体" w:eastAsia="方正仿宋简体" w:cs="方正仿宋简体"/>
          <w:b/>
          <w:kern w:val="0"/>
          <w:sz w:val="32"/>
          <w:szCs w:val="32"/>
        </w:rPr>
        <w:t>针对工作人员因不熟练平台规则容易出现的问题，在学习借鉴外地先进经验的基础上，一方面优化信息发布流程。编制完成《政务公开</w:t>
      </w:r>
      <w:r>
        <w:rPr>
          <w:rFonts w:hint="eastAsia" w:ascii="方正仿宋简体" w:hAnsi="方正仿宋简体" w:eastAsia="方正仿宋简体" w:cs="方正仿宋简体"/>
          <w:b/>
          <w:color w:val="000000"/>
          <w:kern w:val="0"/>
          <w:sz w:val="32"/>
          <w:szCs w:val="32"/>
        </w:rPr>
        <w:t>后台信息</w:t>
      </w:r>
      <w:r>
        <w:rPr>
          <w:rFonts w:hint="eastAsia" w:ascii="方正仿宋简体" w:hAnsi="方正仿宋简体" w:eastAsia="方正仿宋简体" w:cs="方正仿宋简体"/>
          <w:b/>
          <w:kern w:val="0"/>
          <w:sz w:val="32"/>
          <w:szCs w:val="32"/>
        </w:rPr>
        <w:t>发布手册》，从简单到复杂，逐一讲解基本信息发布、常用按钮功能、辅助工具使用以及信息撤稿、删除、排序、呈送等程序，帮助各单位政务公开工作人员实现快速入门。另一方面，规范信息发布形式，制定《政务公开信息发布模板汇编》，编制重点承诺事项、政府工作报告、民生实事、政协提案办理、政府信息公开指南等事项公开模板，实现了信息发布格式统一、内容规范。</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598" w:firstLineChars="200"/>
        <w:jc w:val="left"/>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pacing w:val="-11"/>
          <w:sz w:val="32"/>
          <w:szCs w:val="32"/>
          <w:lang w:val="en-US" w:eastAsia="zh-CN"/>
        </w:rPr>
        <w:t>2、</w:t>
      </w:r>
      <w:r>
        <w:rPr>
          <w:rFonts w:hint="eastAsia" w:ascii="方正仿宋简体" w:hAnsi="方正仿宋简体" w:eastAsia="方正仿宋简体" w:cs="方正仿宋简体"/>
          <w:b/>
          <w:bCs/>
          <w:spacing w:val="-11"/>
          <w:sz w:val="32"/>
          <w:szCs w:val="32"/>
        </w:rPr>
        <w:t>多措并举深入推进公共企事业单位信息公开</w:t>
      </w:r>
      <w:r>
        <w:rPr>
          <w:rFonts w:hint="eastAsia" w:ascii="方正仿宋简体" w:hAnsi="方正仿宋简体" w:eastAsia="方正仿宋简体" w:cs="方正仿宋简体"/>
          <w:b/>
          <w:bCs/>
          <w:spacing w:val="-11"/>
          <w:sz w:val="32"/>
          <w:szCs w:val="32"/>
          <w:lang w:eastAsia="zh-CN"/>
        </w:rPr>
        <w:t>。</w:t>
      </w:r>
      <w:r>
        <w:rPr>
          <w:rFonts w:hint="eastAsia" w:ascii="方正仿宋简体" w:hAnsi="方正仿宋简体" w:eastAsia="方正仿宋简体" w:cs="方正仿宋简体"/>
          <w:b/>
          <w:bCs/>
          <w:sz w:val="32"/>
          <w:szCs w:val="32"/>
        </w:rPr>
        <w:t>一是条块联动，形成工作合力。建设完成全市统一的企事业单位信息公开平台，囊括教育、医疗、交通、水电气暖共计482家企事业单位，涵盖各领域领域所有具有市场支配地位、公共属性较强、需要重点监管的企事业单位。二是以点带面，明确公开标准。采取化整为零、以点带面的工作方式，一方面联合行业主管部门逐个领域进行点对点调研，制定公开标准15条，制定公开模板180个。另一方面进行“一对一”信息填报，根据企事业单位实际情况确定多样化填报标准，为全市其他单位提供公开样板。三是三重审核，确保规范公开。对县级企事业单位公开信息，县级行业主管部门、县政府办公室分别审核后，市政府办公室再进行抽样复查</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bCs/>
          <w:sz w:val="32"/>
          <w:szCs w:val="32"/>
        </w:rPr>
        <w:t>对市级企事业单位公开信息，由市级主管部门进行全面审核后，市政府办公室进行全面复查，确保应公开信息尽公开、应公开信息尽规范。</w:t>
      </w:r>
      <w:r>
        <w:rPr>
          <w:rFonts w:hint="eastAsia" w:ascii="方正仿宋简体" w:hAnsi="方正仿宋简体" w:eastAsia="方正仿宋简体" w:cs="方正仿宋简体"/>
          <w:b/>
          <w:bCs/>
          <w:sz w:val="32"/>
          <w:szCs w:val="32"/>
          <w:highlight w:val="none"/>
        </w:rPr>
        <w:t>截</w:t>
      </w:r>
      <w:r>
        <w:rPr>
          <w:rFonts w:hint="eastAsia" w:ascii="方正仿宋简体" w:hAnsi="方正仿宋简体" w:eastAsia="方正仿宋简体" w:cs="方正仿宋简体"/>
          <w:b/>
          <w:bCs/>
          <w:sz w:val="32"/>
          <w:szCs w:val="32"/>
          <w:highlight w:val="none"/>
          <w:lang w:eastAsia="zh-CN"/>
        </w:rPr>
        <w:t>至</w:t>
      </w:r>
      <w:r>
        <w:rPr>
          <w:rFonts w:hint="eastAsia" w:ascii="方正仿宋简体" w:hAnsi="方正仿宋简体" w:eastAsia="方正仿宋简体" w:cs="方正仿宋简体"/>
          <w:b/>
          <w:bCs/>
          <w:sz w:val="32"/>
          <w:szCs w:val="32"/>
        </w:rPr>
        <w:t>目前，我市已规范发布公共企事业单位信息5926条。</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2" w:firstLineChars="200"/>
        <w:jc w:val="left"/>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五</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本行政机关政府信息公开工作年度报告数据统计需要说明的事项</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2" w:firstLineChars="200"/>
        <w:jc w:val="left"/>
        <w:textAlignment w:val="auto"/>
        <w:rPr>
          <w:rFonts w:hint="default"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2" w:firstLineChars="200"/>
        <w:jc w:val="left"/>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六</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本行政机关认为需要报告的其他事项</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2" w:firstLineChars="200"/>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2" w:firstLineChars="200"/>
        <w:jc w:val="left"/>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七</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before="156" w:beforeLines="50" w:line="560" w:lineRule="exact"/>
        <w:ind w:left="0" w:leftChars="0" w:firstLine="642" w:firstLineChars="200"/>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xYzdmOGMxNzg2ZDdhNTE5MTA5Nzk1MDkwMGJkOWUifQ=="/>
  </w:docVars>
  <w:rsids>
    <w:rsidRoot w:val="00D5331B"/>
    <w:rsid w:val="000171FB"/>
    <w:rsid w:val="00066965"/>
    <w:rsid w:val="001652CC"/>
    <w:rsid w:val="002A1AA2"/>
    <w:rsid w:val="002F5E99"/>
    <w:rsid w:val="00343FB0"/>
    <w:rsid w:val="00363A97"/>
    <w:rsid w:val="00436B27"/>
    <w:rsid w:val="00464DB6"/>
    <w:rsid w:val="00500788"/>
    <w:rsid w:val="005F2053"/>
    <w:rsid w:val="006609DB"/>
    <w:rsid w:val="007662F2"/>
    <w:rsid w:val="00900306"/>
    <w:rsid w:val="00A703EB"/>
    <w:rsid w:val="00A86BF7"/>
    <w:rsid w:val="00B1344E"/>
    <w:rsid w:val="00B91BB6"/>
    <w:rsid w:val="00CE56E6"/>
    <w:rsid w:val="00D5331B"/>
    <w:rsid w:val="00DD7F75"/>
    <w:rsid w:val="00E36CD0"/>
    <w:rsid w:val="00FA480F"/>
    <w:rsid w:val="01A35820"/>
    <w:rsid w:val="10C766D0"/>
    <w:rsid w:val="5C175789"/>
    <w:rsid w:val="75F37ECE"/>
    <w:rsid w:val="77DF9279"/>
    <w:rsid w:val="B7EB7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3"/>
    <w:basedOn w:val="1"/>
    <w:link w:val="10"/>
    <w:unhideWhenUsed/>
    <w:qFormat/>
    <w:uiPriority w:val="99"/>
    <w:pPr>
      <w:spacing w:before="100" w:beforeAutospacing="1" w:after="120"/>
      <w:ind w:left="420" w:leftChars="200"/>
    </w:pPr>
    <w:rPr>
      <w:rFonts w:ascii="Times New Roman" w:hAnsi="Times New Roman" w:cs="Calibri"/>
      <w:sz w:val="16"/>
      <w:szCs w:val="16"/>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Strong"/>
    <w:basedOn w:val="6"/>
    <w:qFormat/>
    <w:uiPriority w:val="22"/>
    <w:rPr>
      <w:b/>
    </w:rPr>
  </w:style>
  <w:style w:type="character" w:styleId="8">
    <w:name w:val="Hyperlink"/>
    <w:basedOn w:val="6"/>
    <w:unhideWhenUsed/>
    <w:qFormat/>
    <w:uiPriority w:val="99"/>
    <w:rPr>
      <w:color w:val="0000FF"/>
      <w:u w:val="single"/>
    </w:rPr>
  </w:style>
  <w:style w:type="paragraph" w:styleId="9">
    <w:name w:val="List Paragraph"/>
    <w:basedOn w:val="1"/>
    <w:qFormat/>
    <w:uiPriority w:val="99"/>
    <w:pPr>
      <w:ind w:firstLine="420" w:firstLineChars="200"/>
    </w:pPr>
  </w:style>
  <w:style w:type="character" w:customStyle="1" w:styleId="10">
    <w:name w:val="正文文本缩进 3 字符"/>
    <w:basedOn w:val="6"/>
    <w:link w:val="3"/>
    <w:qFormat/>
    <w:uiPriority w:val="99"/>
    <w:rPr>
      <w:rFonts w:ascii="Times New Roman" w:hAnsi="Times New Roman" w:eastAsia="宋体" w:cs="Calibri"/>
      <w:kern w:val="2"/>
      <w:sz w:val="16"/>
      <w:szCs w:val="16"/>
    </w:rPr>
  </w:style>
  <w:style w:type="character" w:customStyle="1" w:styleId="11">
    <w:name w:val="share1"/>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512</Words>
  <Characters>2924</Characters>
  <Lines>24</Lines>
  <Paragraphs>6</Paragraphs>
  <TotalTime>3</TotalTime>
  <ScaleCrop>false</ScaleCrop>
  <LinksUpToDate>false</LinksUpToDate>
  <CharactersWithSpaces>3430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2023-01-26T05:18:00Z</dcterms:created>
  <dc:creator>笑梅</dc:creator>
  <cp:lastModifiedBy>user</cp:lastModifiedBy>
  <dcterms:modified xsi:type="dcterms:W3CDTF">2023-03-17T10:32:25Z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6E499D6EDC444E5AB382BAE2851B8F46</vt:lpwstr>
  </property>
</Properties>
</file>