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500" w:lineRule="exact"/>
        <w:jc w:val="center"/>
        <w:rPr>
          <w:rFonts w:eastAsia="方正仿宋简体"/>
          <w:b/>
          <w:color w:val="000000"/>
        </w:rPr>
      </w:pPr>
    </w:p>
    <w:p>
      <w:pPr>
        <w:spacing w:line="500" w:lineRule="exact"/>
        <w:jc w:val="center"/>
        <w:rPr>
          <w:rFonts w:eastAsia="方正仿宋简体"/>
          <w:b/>
          <w:color w:val="000000"/>
        </w:rPr>
      </w:pPr>
    </w:p>
    <w:p>
      <w:pPr>
        <w:spacing w:line="500" w:lineRule="exact"/>
        <w:jc w:val="center"/>
        <w:rPr>
          <w:rFonts w:eastAsia="方正仿宋简体"/>
          <w:b/>
          <w:color w:val="000000"/>
        </w:rPr>
      </w:pPr>
    </w:p>
    <w:p>
      <w:pPr>
        <w:spacing w:line="500" w:lineRule="exact"/>
        <w:jc w:val="center"/>
        <w:rPr>
          <w:rFonts w:eastAsia="方正仿宋简体"/>
          <w:b/>
          <w:color w:val="000000"/>
        </w:rPr>
      </w:pPr>
    </w:p>
    <w:p>
      <w:pPr>
        <w:jc w:val="center"/>
        <w:rPr>
          <w:rFonts w:eastAsia="方正仿宋简体"/>
          <w:b/>
          <w:color w:val="000000"/>
        </w:rPr>
      </w:pPr>
      <w:r>
        <w:rPr>
          <w:rFonts w:eastAsia="方正仿宋简体"/>
          <w:b/>
          <w:color w:val="000000"/>
        </w:rPr>
        <w:t>济环字〔2023〕44号</w:t>
      </w:r>
    </w:p>
    <w:p>
      <w:pPr>
        <w:spacing w:line="400" w:lineRule="exact"/>
        <w:jc w:val="center"/>
        <w:rPr>
          <w:rFonts w:eastAsia="方正仿宋简体"/>
          <w:b/>
          <w:color w:val="000000"/>
          <w:sz w:val="44"/>
          <w:szCs w:val="44"/>
        </w:rPr>
      </w:pPr>
    </w:p>
    <w:p>
      <w:pPr>
        <w:spacing w:line="600" w:lineRule="exact"/>
        <w:ind w:firstLine="624" w:firstLineChars="200"/>
        <w:rPr>
          <w:rFonts w:eastAsia="方正仿宋简体"/>
          <w:b/>
        </w:rPr>
      </w:pPr>
    </w:p>
    <w:p>
      <w:pPr>
        <w:overflowPunct w:val="0"/>
        <w:spacing w:line="620" w:lineRule="exact"/>
        <w:jc w:val="center"/>
        <w:rPr>
          <w:b/>
          <w:bCs/>
          <w:sz w:val="44"/>
          <w:szCs w:val="44"/>
        </w:rPr>
      </w:pPr>
      <w:r>
        <w:rPr>
          <w:b/>
          <w:bCs/>
          <w:sz w:val="44"/>
          <w:szCs w:val="44"/>
        </w:rPr>
        <w:t>关于加强工业企业环保设备设施</w:t>
      </w:r>
    </w:p>
    <w:p>
      <w:pPr>
        <w:overflowPunct w:val="0"/>
        <w:spacing w:line="620" w:lineRule="exact"/>
        <w:jc w:val="center"/>
        <w:rPr>
          <w:b/>
          <w:bCs/>
          <w:sz w:val="44"/>
          <w:szCs w:val="44"/>
        </w:rPr>
      </w:pPr>
      <w:r>
        <w:rPr>
          <w:b/>
          <w:bCs/>
          <w:sz w:val="44"/>
          <w:szCs w:val="44"/>
        </w:rPr>
        <w:t>安全生产工作的意见</w:t>
      </w:r>
    </w:p>
    <w:p>
      <w:pPr>
        <w:overflowPunct w:val="0"/>
        <w:spacing w:line="620" w:lineRule="exact"/>
        <w:rPr>
          <w:b/>
          <w:bCs/>
          <w:sz w:val="44"/>
          <w:szCs w:val="44"/>
        </w:rPr>
      </w:pPr>
    </w:p>
    <w:p>
      <w:pPr>
        <w:overflowPunct w:val="0"/>
        <w:spacing w:line="620" w:lineRule="exact"/>
        <w:rPr>
          <w:rFonts w:eastAsia="方正仿宋简体"/>
          <w:b/>
          <w:bCs/>
          <w:spacing w:val="-4"/>
        </w:rPr>
      </w:pPr>
      <w:bookmarkStart w:id="0" w:name="_GoBack"/>
      <w:r>
        <w:rPr>
          <w:rFonts w:eastAsia="方正仿宋简体"/>
          <w:b/>
          <w:bCs/>
          <w:spacing w:val="-4"/>
        </w:rPr>
        <w:t>各县（市、区）生态环境分局</w:t>
      </w:r>
      <w:r>
        <w:rPr>
          <w:rFonts w:hint="eastAsia" w:eastAsia="方正仿宋简体"/>
          <w:b/>
          <w:bCs/>
          <w:spacing w:val="-4"/>
          <w:lang w:eastAsia="zh-CN"/>
        </w:rPr>
        <w:t>、</w:t>
      </w:r>
      <w:r>
        <w:rPr>
          <w:rFonts w:eastAsia="方正仿宋简体"/>
          <w:b/>
          <w:bCs/>
          <w:spacing w:val="-4"/>
        </w:rPr>
        <w:t>应急管理局：</w:t>
      </w:r>
    </w:p>
    <w:p>
      <w:pPr>
        <w:pStyle w:val="7"/>
        <w:overflowPunct w:val="0"/>
        <w:topLinePunct/>
        <w:spacing w:after="0" w:line="620" w:lineRule="exact"/>
        <w:ind w:left="0" w:leftChars="0" w:firstLine="610"/>
        <w:rPr>
          <w:rFonts w:eastAsia="方正仿宋简体"/>
          <w:b/>
          <w:bCs/>
          <w:spacing w:val="-4"/>
        </w:rPr>
      </w:pPr>
      <w:r>
        <w:rPr>
          <w:rFonts w:eastAsia="方正仿宋简体"/>
          <w:b/>
          <w:bCs/>
          <w:spacing w:val="-4"/>
        </w:rPr>
        <w:t>为认真贯彻《国务院安委会办公室 生态环境部 应急管理部关于进一步加强环保设备设施安全生产工作的通知》《山东省安全生产行政责任制规定》等要求，切实落实市委市政府关于全市化工行业安全生产整治提升专项行动安排部署，全面加强工业企业脱硫脱硝、挥发性有机物回收、污水处理、粉尘治理、蓄热式焚烧炉等重点环保设备设施安全管理，预防和减少安全事故发生，保障从业人员生命安全，根据《环境保护法》《安全生产法》等法律规定，现提出如下意见，请认真遵照执行。</w:t>
      </w:r>
    </w:p>
    <w:p>
      <w:pPr>
        <w:pStyle w:val="7"/>
        <w:overflowPunct w:val="0"/>
        <w:topLinePunct/>
        <w:spacing w:after="0" w:line="600" w:lineRule="exact"/>
        <w:ind w:left="0" w:leftChars="0" w:firstLine="610"/>
        <w:rPr>
          <w:rFonts w:eastAsia="方正黑体简体"/>
          <w:b/>
          <w:bCs/>
          <w:spacing w:val="-4"/>
        </w:rPr>
      </w:pPr>
      <w:r>
        <w:rPr>
          <w:rFonts w:eastAsia="方正黑体简体"/>
          <w:b/>
          <w:bCs/>
          <w:spacing w:val="-4"/>
        </w:rPr>
        <w:t>一、加强环保设备设施监督管理</w:t>
      </w:r>
    </w:p>
    <w:p>
      <w:pPr>
        <w:pStyle w:val="7"/>
        <w:overflowPunct w:val="0"/>
        <w:topLinePunct/>
        <w:spacing w:after="0" w:line="600" w:lineRule="exact"/>
        <w:ind w:left="0" w:leftChars="0" w:firstLine="610"/>
        <w:rPr>
          <w:rFonts w:eastAsia="方正仿宋简体"/>
          <w:b/>
          <w:bCs/>
          <w:spacing w:val="-4"/>
        </w:rPr>
      </w:pPr>
      <w:r>
        <w:rPr>
          <w:rFonts w:eastAsia="方正仿宋简体"/>
          <w:b/>
          <w:bCs/>
          <w:spacing w:val="-4"/>
        </w:rPr>
        <w:t>工业企业新、改、扩建重点环保设备设施应纳入建设项目管理，充分考虑安全风险，确保风险可控后方可施工和投入生产、使用。</w:t>
      </w:r>
    </w:p>
    <w:p>
      <w:pPr>
        <w:pStyle w:val="7"/>
        <w:overflowPunct w:val="0"/>
        <w:topLinePunct/>
        <w:spacing w:after="0" w:line="600" w:lineRule="exact"/>
        <w:ind w:left="0" w:leftChars="0" w:firstLine="757" w:firstLineChars="249"/>
        <w:rPr>
          <w:rFonts w:eastAsia="方正仿宋简体"/>
          <w:b/>
          <w:bCs/>
          <w:spacing w:val="-4"/>
        </w:rPr>
      </w:pPr>
      <w:r>
        <w:rPr>
          <w:rFonts w:eastAsia="方正楷体简体"/>
          <w:b/>
          <w:bCs/>
          <w:spacing w:val="-4"/>
        </w:rPr>
        <w:t>（一）立项设计。</w:t>
      </w:r>
      <w:r>
        <w:rPr>
          <w:rFonts w:eastAsia="方正仿宋简体"/>
          <w:b/>
          <w:bCs/>
          <w:spacing w:val="-4"/>
        </w:rPr>
        <w:t>工业企业应当委托具备相应资质（建设部门核发的综合、行业专项等设计资质）的设计单位对建设项目（含环保设备设施）进行设计，落实安全生产相关技术要求，自行开展或组织环保和安全专家参与设计审查，出具审查报告，并按审查意见进行修改完善。</w:t>
      </w:r>
    </w:p>
    <w:p>
      <w:pPr>
        <w:pStyle w:val="7"/>
        <w:overflowPunct w:val="0"/>
        <w:topLinePunct/>
        <w:spacing w:after="0" w:line="600" w:lineRule="exact"/>
        <w:ind w:left="0" w:leftChars="0" w:firstLine="757" w:firstLineChars="249"/>
        <w:rPr>
          <w:rFonts w:eastAsia="方正仿宋简体"/>
          <w:b/>
          <w:bCs/>
        </w:rPr>
      </w:pPr>
      <w:r>
        <w:rPr>
          <w:rFonts w:eastAsia="方正楷体简体"/>
          <w:b/>
          <w:bCs/>
          <w:spacing w:val="-4"/>
        </w:rPr>
        <w:t>（二）环评审批。</w:t>
      </w:r>
      <w:r>
        <w:rPr>
          <w:rFonts w:eastAsia="方正仿宋简体"/>
          <w:b/>
          <w:bCs/>
          <w:spacing w:val="-4"/>
        </w:rPr>
        <w:t>工业企业应当依法依规对建设项目开展环境影响评价，不得采用国家、地方淘汰的设备、产品和工艺。在</w:t>
      </w:r>
      <w:r>
        <w:rPr>
          <w:rFonts w:eastAsia="方正仿宋简体"/>
          <w:b/>
          <w:bCs/>
        </w:rPr>
        <w:t>建设项目环评批复中，提醒建设单位开展</w:t>
      </w:r>
      <w:r>
        <w:rPr>
          <w:rFonts w:eastAsia="方正仿宋简体"/>
          <w:b/>
          <w:bCs/>
          <w:spacing w:val="-4"/>
        </w:rPr>
        <w:t>环境隐患排查治理和安全风险评估</w:t>
      </w:r>
      <w:r>
        <w:rPr>
          <w:rFonts w:eastAsia="方正仿宋简体"/>
          <w:b/>
          <w:bCs/>
        </w:rPr>
        <w:t>等要求，并抄送同级应急管理部门。</w:t>
      </w:r>
    </w:p>
    <w:p>
      <w:pPr>
        <w:pStyle w:val="7"/>
        <w:overflowPunct w:val="0"/>
        <w:topLinePunct/>
        <w:spacing w:after="0" w:line="600" w:lineRule="exact"/>
        <w:ind w:left="0" w:leftChars="0" w:firstLine="757" w:firstLineChars="249"/>
        <w:rPr>
          <w:rFonts w:eastAsia="方正仿宋简体"/>
          <w:b/>
          <w:bCs/>
          <w:spacing w:val="-4"/>
        </w:rPr>
      </w:pPr>
      <w:r>
        <w:rPr>
          <w:rFonts w:eastAsia="方正楷体简体"/>
          <w:b/>
          <w:bCs/>
          <w:spacing w:val="-4"/>
        </w:rPr>
        <w:t>（三）建设验收。</w:t>
      </w:r>
      <w:r>
        <w:rPr>
          <w:rFonts w:eastAsia="方正仿宋简体"/>
          <w:b/>
          <w:bCs/>
          <w:spacing w:val="-4"/>
        </w:rPr>
        <w:t>施工单位应严格按照设计方案和相关施工技术标准、规范施工。建设项目竣工后，建设单位应当按照法律、法规规定的标准和程序，对环保设备设施进行验收，确保环保设备设施符合环境保护和安全生产要求，并形成书面报告。</w:t>
      </w:r>
    </w:p>
    <w:p>
      <w:pPr>
        <w:pStyle w:val="7"/>
        <w:overflowPunct w:val="0"/>
        <w:topLinePunct/>
        <w:spacing w:after="0" w:line="600" w:lineRule="exact"/>
        <w:ind w:left="0" w:leftChars="0" w:firstLine="757" w:firstLineChars="249"/>
        <w:rPr>
          <w:rFonts w:eastAsia="方正仿宋简体"/>
          <w:b/>
          <w:bCs/>
          <w:spacing w:val="-4"/>
        </w:rPr>
      </w:pPr>
      <w:r>
        <w:rPr>
          <w:rFonts w:eastAsia="方正楷体简体"/>
          <w:b/>
          <w:bCs/>
          <w:spacing w:val="-4"/>
        </w:rPr>
        <w:t>（四）评估整改。</w:t>
      </w:r>
      <w:r>
        <w:rPr>
          <w:rFonts w:eastAsia="方正仿宋简体"/>
          <w:b/>
          <w:bCs/>
          <w:spacing w:val="-4"/>
        </w:rPr>
        <w:t>已建成的重点环保设备设施且未进行正规设计的，应委托有相应资质的设计单位开展设计诊断，并组织专家评审。根据诊断结果，对不符合环境保护和安全生产要求的，制定并落实整改措施，实行销号闭环管理。</w:t>
      </w:r>
    </w:p>
    <w:p>
      <w:pPr>
        <w:pStyle w:val="7"/>
        <w:overflowPunct w:val="0"/>
        <w:topLinePunct/>
        <w:spacing w:after="0" w:line="600" w:lineRule="exact"/>
        <w:ind w:left="0" w:leftChars="0" w:firstLine="610"/>
        <w:rPr>
          <w:rFonts w:eastAsia="方正黑体简体"/>
          <w:b/>
          <w:bCs/>
          <w:spacing w:val="-4"/>
        </w:rPr>
      </w:pPr>
      <w:r>
        <w:rPr>
          <w:rFonts w:eastAsia="方正黑体简体"/>
          <w:b/>
          <w:bCs/>
          <w:spacing w:val="-4"/>
        </w:rPr>
        <w:t>二、严格落实各方安全管理责任</w:t>
      </w:r>
    </w:p>
    <w:p>
      <w:pPr>
        <w:pStyle w:val="7"/>
        <w:overflowPunct w:val="0"/>
        <w:topLinePunct/>
        <w:spacing w:after="0" w:line="600" w:lineRule="exact"/>
        <w:ind w:left="0" w:leftChars="0" w:firstLine="757" w:firstLineChars="249"/>
        <w:rPr>
          <w:rFonts w:eastAsia="方正仿宋简体"/>
          <w:b/>
          <w:bCs/>
          <w:spacing w:val="-4"/>
        </w:rPr>
      </w:pPr>
      <w:r>
        <w:rPr>
          <w:rFonts w:eastAsia="方正楷体简体"/>
          <w:b/>
          <w:bCs/>
          <w:spacing w:val="-4"/>
        </w:rPr>
        <w:t>（一）严格落实企业主体责任。</w:t>
      </w:r>
      <w:r>
        <w:rPr>
          <w:rFonts w:eastAsia="方正仿宋简体"/>
          <w:b/>
          <w:bCs/>
          <w:spacing w:val="-4"/>
        </w:rPr>
        <w:t>工业企业应将环保设备设施纳入安全评价范围，严格执行吊装、动火、登高、有限空间、检维修等危险作业审批制度，落实安全隔离措施，实施现场安全监护，配齐应急处置装备。要健全制度建设，制定隐患排查治理责任制和年度计划两个制度方案。要规范档案台账，形成问题隐患排查和整改落实两个清单，确保整改闭环管理。要加强能力提升，按计划开展技能培训和应急演练，健全两套档案。要规范评估报告，每半年至少开展一次环保设备设施安全隐患排查评估，形成一个评估报告。</w:t>
      </w:r>
    </w:p>
    <w:p>
      <w:pPr>
        <w:pStyle w:val="7"/>
        <w:overflowPunct w:val="0"/>
        <w:topLinePunct/>
        <w:spacing w:after="0" w:line="600" w:lineRule="exact"/>
        <w:ind w:left="0" w:leftChars="0" w:firstLine="757" w:firstLineChars="249"/>
        <w:rPr>
          <w:rFonts w:eastAsia="方正仿宋简体"/>
          <w:b/>
          <w:bCs/>
          <w:spacing w:val="-4"/>
        </w:rPr>
      </w:pPr>
      <w:r>
        <w:rPr>
          <w:rFonts w:eastAsia="方正楷体简体"/>
          <w:b/>
          <w:bCs/>
          <w:spacing w:val="-4"/>
        </w:rPr>
        <w:t>（二）严格落实部门监管责任。</w:t>
      </w:r>
      <w:r>
        <w:rPr>
          <w:rFonts w:eastAsia="方正仿宋简体"/>
          <w:b/>
          <w:bCs/>
          <w:spacing w:val="-4"/>
        </w:rPr>
        <w:t>生态环境、应急管理部门要跨前一步，加强配合，齐抓共管，对建设项目环保设备设施设计、施工、验收、投入生产及使用情况进行监督检查，筑牢工业企业环保设备设施安全防线。</w:t>
      </w:r>
    </w:p>
    <w:p>
      <w:pPr>
        <w:pStyle w:val="7"/>
        <w:overflowPunct w:val="0"/>
        <w:topLinePunct/>
        <w:spacing w:after="0" w:line="600" w:lineRule="exact"/>
        <w:ind w:left="0" w:leftChars="0" w:firstLine="610"/>
        <w:rPr>
          <w:rFonts w:eastAsia="方正仿宋简体"/>
          <w:b/>
          <w:bCs/>
          <w:spacing w:val="-4"/>
        </w:rPr>
      </w:pPr>
      <w:r>
        <w:rPr>
          <w:rFonts w:eastAsia="方正仿宋简体"/>
          <w:b/>
          <w:bCs/>
          <w:spacing w:val="-4"/>
        </w:rPr>
        <w:t>生态环境部门要督促工业企业认真开展环境隐患排查和安全风险评估，建立健全环保设备设施安全生产规章制度和操作规程。在环评批复中提醒企业落实环保设备设施安全生产工作要求。依据生态环境法律法规，加强对第三方环保服务机构的监督管理，对工业企业重点环保设备设施未经验收即投入生产和使用等违法违规行为进行处理。</w:t>
      </w:r>
    </w:p>
    <w:p>
      <w:pPr>
        <w:pStyle w:val="7"/>
        <w:overflowPunct w:val="0"/>
        <w:topLinePunct/>
        <w:spacing w:after="0" w:line="600" w:lineRule="exact"/>
        <w:ind w:left="0" w:leftChars="0" w:firstLine="610"/>
      </w:pPr>
      <w:r>
        <w:rPr>
          <w:rFonts w:eastAsia="方正仿宋简体"/>
          <w:b/>
          <w:bCs/>
          <w:spacing w:val="-4"/>
        </w:rPr>
        <w:t>应急管理部门要将工业企业环保设备设施的运行安全纳入监管范围。要求企业委托有相应资质的设计单位对建设项目重点环保设备设施进行安全设计，督促企业加强安全生产管理，落实全员安全生产责任制，改善安全生产条件，贯彻落实相关安全生产标准规范，组织建立并落实安全风险分级管控和隐患排查治理双重预防工作机制，健全风险防范化解机制，加强对从业人员安全生产教育和培训，组织制定并实施生产安全事故应急救援预案，强化事故应急救援处置。</w:t>
      </w:r>
    </w:p>
    <w:p>
      <w:pPr>
        <w:pStyle w:val="7"/>
        <w:overflowPunct w:val="0"/>
        <w:topLinePunct/>
        <w:spacing w:after="0" w:line="600" w:lineRule="exact"/>
        <w:ind w:left="0" w:leftChars="0" w:firstLine="757" w:firstLineChars="249"/>
        <w:rPr>
          <w:rFonts w:eastAsia="方正仿宋简体"/>
          <w:b/>
          <w:bCs/>
          <w:spacing w:val="-4"/>
        </w:rPr>
      </w:pPr>
      <w:r>
        <w:rPr>
          <w:rFonts w:eastAsia="方正楷体简体"/>
          <w:b/>
          <w:bCs/>
          <w:spacing w:val="-4"/>
        </w:rPr>
        <w:t>（三）规范第三方单位专业技术服务。</w:t>
      </w:r>
      <w:r>
        <w:rPr>
          <w:rFonts w:eastAsia="方正仿宋简体"/>
          <w:b/>
          <w:bCs/>
          <w:spacing w:val="-4"/>
        </w:rPr>
        <w:t>鼓励环境保护和安全生产中介机构加强工作合作，提升服务能力。</w:t>
      </w:r>
    </w:p>
    <w:p>
      <w:pPr>
        <w:pStyle w:val="7"/>
        <w:overflowPunct w:val="0"/>
        <w:topLinePunct/>
        <w:spacing w:after="0" w:line="600" w:lineRule="exact"/>
        <w:ind w:left="0" w:leftChars="0" w:firstLine="610"/>
        <w:rPr>
          <w:rFonts w:eastAsia="方正仿宋简体"/>
          <w:b/>
          <w:bCs/>
          <w:spacing w:val="-4"/>
        </w:rPr>
      </w:pPr>
      <w:r>
        <w:rPr>
          <w:rFonts w:eastAsia="方正仿宋简体"/>
          <w:b/>
          <w:bCs/>
          <w:spacing w:val="-4"/>
        </w:rPr>
        <w:t>环境影响评价机构受工业企业委托开展环境影响评价文件编制时，要按照国家和省相关规定开展环境风险评价、提出相应的环境风险防范要求。在辅助工业企业开展环境保护管理过程中，要提醒工业企业同步落实安全风险辨识和隐患排查治理要求。</w:t>
      </w:r>
    </w:p>
    <w:p>
      <w:pPr>
        <w:pStyle w:val="7"/>
        <w:overflowPunct w:val="0"/>
        <w:topLinePunct/>
        <w:spacing w:after="0" w:line="600" w:lineRule="exact"/>
        <w:ind w:left="0" w:leftChars="0" w:firstLine="610"/>
        <w:rPr>
          <w:rFonts w:eastAsia="方正仿宋简体"/>
          <w:b/>
          <w:bCs/>
          <w:spacing w:val="-4"/>
        </w:rPr>
      </w:pPr>
      <w:r>
        <w:rPr>
          <w:rFonts w:eastAsia="方正仿宋简体"/>
          <w:b/>
          <w:bCs/>
          <w:spacing w:val="-4"/>
        </w:rPr>
        <w:t>设计单位、安全评价单位要严格按照法律法规和国家标准、行业标准等要求开展设计和评价工作，对设计和评价结果负责。安全生产社会化服务机构要积极辅助工业企业落实环保设备设施安全管理各项要求。</w:t>
      </w:r>
    </w:p>
    <w:p>
      <w:pPr>
        <w:pStyle w:val="7"/>
        <w:overflowPunct w:val="0"/>
        <w:topLinePunct/>
        <w:spacing w:after="0" w:line="600" w:lineRule="exact"/>
        <w:ind w:left="0" w:leftChars="0" w:firstLine="610"/>
        <w:rPr>
          <w:rFonts w:eastAsia="方正黑体简体"/>
          <w:b/>
          <w:bCs/>
          <w:spacing w:val="-4"/>
        </w:rPr>
      </w:pPr>
      <w:r>
        <w:rPr>
          <w:rFonts w:eastAsia="方正黑体简体"/>
          <w:b/>
          <w:bCs/>
          <w:spacing w:val="-4"/>
        </w:rPr>
        <w:t>三、建立环保、应急部门联动机制</w:t>
      </w:r>
    </w:p>
    <w:p>
      <w:pPr>
        <w:pStyle w:val="7"/>
        <w:overflowPunct w:val="0"/>
        <w:topLinePunct/>
        <w:spacing w:after="0" w:line="600" w:lineRule="exact"/>
        <w:ind w:left="0" w:leftChars="0" w:firstLine="757" w:firstLineChars="249"/>
        <w:rPr>
          <w:rFonts w:eastAsia="方正仿宋简体"/>
          <w:b/>
          <w:bCs/>
          <w:spacing w:val="-4"/>
        </w:rPr>
      </w:pPr>
      <w:r>
        <w:rPr>
          <w:rFonts w:eastAsia="方正楷体简体"/>
          <w:b/>
          <w:bCs/>
          <w:spacing w:val="-4"/>
        </w:rPr>
        <w:t>（一）建立安全信息共享机制。</w:t>
      </w:r>
      <w:r>
        <w:rPr>
          <w:rFonts w:eastAsia="方正仿宋简体"/>
          <w:b/>
          <w:bCs/>
          <w:spacing w:val="-4"/>
        </w:rPr>
        <w:t>生态环境、应急管理部门要定期共享环保设备设施审批、监管执法、隐患排查等数据信息。依据工业企业建设项目申请、审批情况，相互通报项目环保和安全信息，协同督促工业企业开展环保、安全风险辨识，必要时针对危险化学品类建设项目开展联合审查，提高审批效率，形成监管合力。</w:t>
      </w:r>
    </w:p>
    <w:p>
      <w:pPr>
        <w:pStyle w:val="7"/>
        <w:overflowPunct w:val="0"/>
        <w:topLinePunct/>
        <w:spacing w:after="0" w:line="600" w:lineRule="exact"/>
        <w:ind w:left="0" w:leftChars="0" w:firstLine="757" w:firstLineChars="249"/>
        <w:rPr>
          <w:rFonts w:eastAsia="方正仿宋简体"/>
          <w:b/>
          <w:bCs/>
          <w:spacing w:val="-4"/>
        </w:rPr>
      </w:pPr>
      <w:r>
        <w:rPr>
          <w:rFonts w:eastAsia="方正楷体简体"/>
          <w:b/>
          <w:bCs/>
          <w:spacing w:val="-4"/>
        </w:rPr>
        <w:t>（二）建立隐患排查联动机制。</w:t>
      </w:r>
      <w:r>
        <w:rPr>
          <w:rFonts w:eastAsia="方正仿宋简体"/>
          <w:b/>
          <w:bCs/>
          <w:spacing w:val="-4"/>
        </w:rPr>
        <w:t>生态环境、应急管理部门联合督促工业企业对五大类环保设备设施开展安全风险辨识管控，健全环保设备设施稳定运行和管理责任制度，严格依据标准规范建设环保设备设施。生态环境部门要及时向同级应急管理、工业企业所属行业主管部门通报隐患排查情况，确保问题隐患完成整改。</w:t>
      </w:r>
    </w:p>
    <w:p>
      <w:pPr>
        <w:pStyle w:val="7"/>
        <w:overflowPunct w:val="0"/>
        <w:topLinePunct/>
        <w:spacing w:after="0" w:line="600" w:lineRule="exact"/>
        <w:ind w:left="0" w:leftChars="0" w:firstLine="757" w:firstLineChars="249"/>
        <w:rPr>
          <w:rFonts w:eastAsia="方正仿宋简体"/>
          <w:b/>
          <w:bCs/>
          <w:spacing w:val="-4"/>
        </w:rPr>
      </w:pPr>
      <w:r>
        <w:rPr>
          <w:rFonts w:eastAsia="方正楷体简体"/>
          <w:b/>
          <w:bCs/>
          <w:spacing w:val="-4"/>
        </w:rPr>
        <w:t>（三）建立联合执法惩戒机制。</w:t>
      </w:r>
      <w:r>
        <w:rPr>
          <w:rFonts w:eastAsia="方正仿宋简体"/>
          <w:b/>
          <w:bCs/>
          <w:spacing w:val="-4"/>
        </w:rPr>
        <w:t>生态环境、应急管理部门定期组织相关部门开展环保设备设施安全联合检查，督促相关部门依法依规进行查处，严格实施整改销号、闭环管理制度，确保工业企业环保、安全隐患整改到位，严厉打击违反环境保护和安全生产法律法规的行为。深化工业企业环保治理和安全生产行为的信用评价体系，强化结果运用，实施联合惩戒。</w:t>
      </w:r>
    </w:p>
    <w:p>
      <w:pPr>
        <w:pStyle w:val="7"/>
        <w:overflowPunct w:val="0"/>
        <w:topLinePunct/>
        <w:spacing w:after="0" w:line="600" w:lineRule="exact"/>
        <w:ind w:left="0" w:leftChars="0" w:firstLine="757" w:firstLineChars="249"/>
        <w:rPr>
          <w:rFonts w:eastAsia="方正仿宋简体"/>
          <w:b/>
          <w:bCs/>
          <w:spacing w:val="-4"/>
        </w:rPr>
      </w:pPr>
      <w:r>
        <w:rPr>
          <w:rFonts w:eastAsia="方正楷体简体"/>
          <w:b/>
          <w:bCs/>
          <w:spacing w:val="-4"/>
        </w:rPr>
        <w:t>（四）完善部门联动长效机制。</w:t>
      </w:r>
      <w:r>
        <w:rPr>
          <w:rFonts w:eastAsia="方正仿宋简体"/>
          <w:b/>
          <w:bCs/>
          <w:spacing w:val="-4"/>
        </w:rPr>
        <w:t>生态环境、应急管理部门要会同相关部门，建立完善工业企业环保设备设施安全生产、应急处置等监管长效机制，定期组织会商或召开联席会议，共同研究解决重点难点问题，合力推进工作落实。加大对环保设备设施安全生产事故典型案例的宣传力度，普及危害认知，提升事故防控能力。</w:t>
      </w:r>
    </w:p>
    <w:p>
      <w:pPr>
        <w:spacing w:line="600" w:lineRule="exact"/>
        <w:rPr>
          <w:rFonts w:eastAsia="方正仿宋简体"/>
          <w:b/>
          <w:bCs/>
          <w:spacing w:val="-4"/>
        </w:rPr>
      </w:pPr>
    </w:p>
    <w:p>
      <w:pPr>
        <w:spacing w:line="600" w:lineRule="exact"/>
        <w:rPr>
          <w:rFonts w:eastAsia="方正仿宋简体"/>
          <w:b/>
          <w:bCs/>
          <w:spacing w:val="-4"/>
        </w:rPr>
      </w:pPr>
    </w:p>
    <w:p>
      <w:pPr>
        <w:spacing w:line="600" w:lineRule="exact"/>
        <w:rPr>
          <w:rFonts w:eastAsia="方正仿宋简体"/>
          <w:b/>
          <w:bCs/>
          <w:spacing w:val="-4"/>
        </w:rPr>
      </w:pPr>
    </w:p>
    <w:p>
      <w:pPr>
        <w:pStyle w:val="7"/>
        <w:overflowPunct w:val="0"/>
        <w:topLinePunct/>
        <w:spacing w:after="0" w:line="600" w:lineRule="exact"/>
        <w:ind w:left="0" w:leftChars="0" w:firstLine="0" w:firstLineChars="0"/>
        <w:jc w:val="center"/>
        <w:rPr>
          <w:rFonts w:eastAsia="方正仿宋简体"/>
          <w:b/>
          <w:bCs/>
          <w:spacing w:val="-4"/>
        </w:rPr>
      </w:pPr>
      <w:r>
        <w:rPr>
          <w:rFonts w:eastAsia="方正仿宋简体"/>
          <w:b/>
          <w:bCs/>
          <w:spacing w:val="-4"/>
        </w:rPr>
        <w:t>济宁市生态环境局            济宁市应急管理局</w:t>
      </w:r>
    </w:p>
    <w:p>
      <w:pPr>
        <w:pStyle w:val="7"/>
        <w:overflowPunct w:val="0"/>
        <w:topLinePunct/>
        <w:spacing w:after="0" w:line="600" w:lineRule="exact"/>
        <w:ind w:left="0" w:leftChars="0" w:right="118" w:rightChars="38" w:firstLine="5411" w:firstLineChars="1780"/>
        <w:rPr>
          <w:rFonts w:eastAsia="方正仿宋简体"/>
          <w:b/>
          <w:bCs/>
          <w:spacing w:val="-4"/>
        </w:rPr>
      </w:pPr>
      <w:r>
        <w:rPr>
          <w:rFonts w:eastAsia="方正仿宋简体"/>
          <w:b/>
          <w:bCs/>
          <w:spacing w:val="-4"/>
        </w:rPr>
        <w:t>2023年10月16日</w:t>
      </w:r>
    </w:p>
    <w:p>
      <w:pPr>
        <w:pStyle w:val="7"/>
        <w:overflowPunct w:val="0"/>
        <w:topLinePunct/>
        <w:spacing w:after="0" w:line="600" w:lineRule="exact"/>
        <w:ind w:left="0" w:leftChars="0" w:right="118" w:rightChars="38" w:firstLine="5411" w:firstLineChars="1780"/>
        <w:rPr>
          <w:rFonts w:eastAsia="方正仿宋简体"/>
          <w:b/>
          <w:bCs/>
          <w:spacing w:val="-4"/>
        </w:rPr>
      </w:pPr>
    </w:p>
    <w:p>
      <w:pPr>
        <w:pStyle w:val="7"/>
        <w:overflowPunct w:val="0"/>
        <w:topLinePunct/>
        <w:spacing w:after="0" w:line="600" w:lineRule="exact"/>
        <w:ind w:left="0" w:leftChars="0" w:right="118" w:rightChars="38" w:firstLine="5411" w:firstLineChars="1780"/>
        <w:rPr>
          <w:rFonts w:eastAsia="方正仿宋简体"/>
          <w:b/>
          <w:bCs/>
          <w:spacing w:val="-4"/>
        </w:rPr>
      </w:pPr>
    </w:p>
    <w:p>
      <w:pPr>
        <w:pStyle w:val="7"/>
        <w:keepNext w:val="0"/>
        <w:keepLines w:val="0"/>
        <w:pageBreakBefore w:val="0"/>
        <w:widowControl w:val="0"/>
        <w:kinsoku/>
        <w:wordWrap/>
        <w:overflowPunct w:val="0"/>
        <w:topLinePunct/>
        <w:autoSpaceDE/>
        <w:autoSpaceDN/>
        <w:bidi w:val="0"/>
        <w:adjustRightInd w:val="0"/>
        <w:snapToGrid/>
        <w:spacing w:after="0" w:line="600" w:lineRule="exact"/>
        <w:ind w:left="0" w:leftChars="0" w:right="0" w:rightChars="0" w:firstLine="608" w:firstLineChars="200"/>
        <w:textAlignment w:val="auto"/>
        <w:rPr>
          <w:rFonts w:hint="eastAsia" w:eastAsia="方正仿宋简体"/>
          <w:b/>
          <w:bCs/>
          <w:spacing w:val="-4"/>
          <w:lang w:eastAsia="zh-CN"/>
        </w:rPr>
      </w:pPr>
      <w:r>
        <w:rPr>
          <w:rFonts w:hint="eastAsia" w:eastAsia="方正仿宋简体"/>
          <w:b/>
          <w:bCs/>
          <w:spacing w:val="-4"/>
          <w:lang w:eastAsia="zh-CN"/>
        </w:rPr>
        <w:t>（此件公开发布）</w:t>
      </w:r>
    </w:p>
    <w:bookmarkEnd w:id="0"/>
    <w:p>
      <w:pPr>
        <w:pStyle w:val="21"/>
        <w:ind w:firstLine="404"/>
        <w:rPr>
          <w:rFonts w:ascii="Times New Roman" w:hAnsi="Times New Roman" w:eastAsia="方正仿宋简体" w:cs="Times New Roman"/>
          <w:color w:val="auto"/>
        </w:rPr>
      </w:pPr>
    </w:p>
    <w:sectPr>
      <w:headerReference r:id="rId3" w:type="default"/>
      <w:footerReference r:id="rId5" w:type="default"/>
      <w:headerReference r:id="rId4" w:type="even"/>
      <w:footerReference r:id="rId6" w:type="even"/>
      <w:pgSz w:w="11906" w:h="16838"/>
      <w:pgMar w:top="1418" w:right="1588" w:bottom="1418" w:left="1588" w:header="851" w:footer="1701"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script"/>
    <w:pitch w:val="default"/>
    <w:sig w:usb0="00000001" w:usb1="0800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8118673"/>
      <w:docPartObj>
        <w:docPartGallery w:val="autotext"/>
      </w:docPartObj>
    </w:sdtPr>
    <w:sdtEndPr>
      <w:rPr>
        <w:rFonts w:asciiTheme="minorEastAsia" w:hAnsiTheme="minorEastAsia" w:eastAsiaTheme="minorEastAsia"/>
        <w:b/>
        <w:sz w:val="28"/>
        <w:szCs w:val="28"/>
      </w:rPr>
    </w:sdtEndPr>
    <w:sdtContent>
      <w:p>
        <w:pPr>
          <w:pStyle w:val="4"/>
          <w:jc w:val="right"/>
          <w:rPr>
            <w:rFonts w:asciiTheme="minorEastAsia" w:hAnsiTheme="minorEastAsia" w:eastAsiaTheme="minorEastAsia"/>
            <w:b/>
            <w:sz w:val="28"/>
            <w:szCs w:val="28"/>
          </w:rPr>
        </w:pPr>
        <w:r>
          <w:rPr>
            <w:rFonts w:asciiTheme="minorEastAsia" w:hAnsiTheme="minorEastAsia" w:eastAsiaTheme="minorEastAsia"/>
            <w:b/>
            <w:sz w:val="28"/>
            <w:szCs w:val="28"/>
          </w:rPr>
          <w:fldChar w:fldCharType="begin"/>
        </w:r>
        <w:r>
          <w:rPr>
            <w:rFonts w:asciiTheme="minorEastAsia" w:hAnsiTheme="minorEastAsia" w:eastAsiaTheme="minorEastAsia"/>
            <w:b/>
            <w:sz w:val="28"/>
            <w:szCs w:val="28"/>
          </w:rPr>
          <w:instrText xml:space="preserve">PAGE   \* MERGEFORMAT</w:instrText>
        </w:r>
        <w:r>
          <w:rPr>
            <w:rFonts w:asciiTheme="minorEastAsia" w:hAnsiTheme="minorEastAsia" w:eastAsiaTheme="minorEastAsia"/>
            <w:b/>
            <w:sz w:val="28"/>
            <w:szCs w:val="28"/>
          </w:rPr>
          <w:fldChar w:fldCharType="separate"/>
        </w:r>
        <w:r>
          <w:rPr>
            <w:rFonts w:asciiTheme="minorEastAsia" w:hAnsiTheme="minorEastAsia" w:eastAsiaTheme="minorEastAsia"/>
            <w:b/>
            <w:sz w:val="28"/>
            <w:szCs w:val="28"/>
            <w:lang w:val="zh-CN"/>
          </w:rPr>
          <w:t>-</w:t>
        </w:r>
        <w:r>
          <w:rPr>
            <w:rFonts w:asciiTheme="minorEastAsia" w:hAnsiTheme="minorEastAsia" w:eastAsiaTheme="minorEastAsia"/>
            <w:b/>
            <w:sz w:val="28"/>
            <w:szCs w:val="28"/>
          </w:rPr>
          <w:t xml:space="preserve"> 5 -</w:t>
        </w:r>
        <w:r>
          <w:rPr>
            <w:rFonts w:asciiTheme="minorEastAsia" w:hAnsiTheme="minorEastAsia" w:eastAsia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8516650"/>
      <w:docPartObj>
        <w:docPartGallery w:val="autotext"/>
      </w:docPartObj>
    </w:sdtPr>
    <w:sdtEndPr>
      <w:rPr>
        <w:rFonts w:asciiTheme="minorEastAsia" w:hAnsiTheme="minorEastAsia" w:eastAsiaTheme="minorEastAsia"/>
        <w:b/>
        <w:sz w:val="28"/>
        <w:szCs w:val="28"/>
      </w:rPr>
    </w:sdtEndPr>
    <w:sdtContent>
      <w:p>
        <w:pPr>
          <w:pStyle w:val="4"/>
          <w:rPr>
            <w:rFonts w:asciiTheme="minorEastAsia" w:hAnsiTheme="minorEastAsia" w:eastAsiaTheme="minorEastAsia"/>
            <w:b/>
            <w:sz w:val="28"/>
            <w:szCs w:val="28"/>
          </w:rPr>
        </w:pPr>
        <w:r>
          <w:rPr>
            <w:rFonts w:asciiTheme="minorEastAsia" w:hAnsiTheme="minorEastAsia" w:eastAsiaTheme="minorEastAsia"/>
            <w:b/>
            <w:sz w:val="28"/>
            <w:szCs w:val="28"/>
          </w:rPr>
          <w:fldChar w:fldCharType="begin"/>
        </w:r>
        <w:r>
          <w:rPr>
            <w:rFonts w:asciiTheme="minorEastAsia" w:hAnsiTheme="minorEastAsia" w:eastAsiaTheme="minorEastAsia"/>
            <w:b/>
            <w:sz w:val="28"/>
            <w:szCs w:val="28"/>
          </w:rPr>
          <w:instrText xml:space="preserve">PAGE   \* MERGEFORMAT</w:instrText>
        </w:r>
        <w:r>
          <w:rPr>
            <w:rFonts w:asciiTheme="minorEastAsia" w:hAnsiTheme="minorEastAsia" w:eastAsiaTheme="minorEastAsia"/>
            <w:b/>
            <w:sz w:val="28"/>
            <w:szCs w:val="28"/>
          </w:rPr>
          <w:fldChar w:fldCharType="separate"/>
        </w:r>
        <w:r>
          <w:rPr>
            <w:rFonts w:asciiTheme="minorEastAsia" w:hAnsiTheme="minorEastAsia" w:eastAsiaTheme="minorEastAsia"/>
            <w:b/>
            <w:sz w:val="28"/>
            <w:szCs w:val="28"/>
            <w:lang w:val="zh-CN"/>
          </w:rPr>
          <w:t>-</w:t>
        </w:r>
        <w:r>
          <w:rPr>
            <w:rFonts w:asciiTheme="minorEastAsia" w:hAnsiTheme="minorEastAsia" w:eastAsiaTheme="minorEastAsia"/>
            <w:b/>
            <w:sz w:val="28"/>
            <w:szCs w:val="28"/>
          </w:rPr>
          <w:t xml:space="preserve"> 6 -</w:t>
        </w:r>
        <w:r>
          <w:rPr>
            <w:rFonts w:asciiTheme="minorEastAsia" w:hAnsiTheme="minorEastAsia" w:eastAsiaTheme="minorEastAsia"/>
            <w:b/>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val="true"/>
  <w:drawingGridHorizontalSpacing w:val="156"/>
  <w:drawingGridVerticalSpacing w:val="31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5BC"/>
    <w:rsid w:val="000020D0"/>
    <w:rsid w:val="00003091"/>
    <w:rsid w:val="00023E64"/>
    <w:rsid w:val="00041CC9"/>
    <w:rsid w:val="00046101"/>
    <w:rsid w:val="00046F0F"/>
    <w:rsid w:val="00055746"/>
    <w:rsid w:val="0005787F"/>
    <w:rsid w:val="000628F9"/>
    <w:rsid w:val="00065C1B"/>
    <w:rsid w:val="0007271D"/>
    <w:rsid w:val="00074BBE"/>
    <w:rsid w:val="000777F2"/>
    <w:rsid w:val="000835C4"/>
    <w:rsid w:val="00084C61"/>
    <w:rsid w:val="0008620F"/>
    <w:rsid w:val="00091E58"/>
    <w:rsid w:val="000B7B8E"/>
    <w:rsid w:val="000C0FAC"/>
    <w:rsid w:val="000C1659"/>
    <w:rsid w:val="000E0621"/>
    <w:rsid w:val="000E0A06"/>
    <w:rsid w:val="000F0BA1"/>
    <w:rsid w:val="0010414A"/>
    <w:rsid w:val="00112D19"/>
    <w:rsid w:val="001208DA"/>
    <w:rsid w:val="0012470C"/>
    <w:rsid w:val="001370A3"/>
    <w:rsid w:val="001375D5"/>
    <w:rsid w:val="00141AE9"/>
    <w:rsid w:val="001465F7"/>
    <w:rsid w:val="001546E3"/>
    <w:rsid w:val="00160647"/>
    <w:rsid w:val="00166C8F"/>
    <w:rsid w:val="00166D26"/>
    <w:rsid w:val="001719B6"/>
    <w:rsid w:val="001733B3"/>
    <w:rsid w:val="00180562"/>
    <w:rsid w:val="001812FE"/>
    <w:rsid w:val="001851A9"/>
    <w:rsid w:val="00185385"/>
    <w:rsid w:val="0018777B"/>
    <w:rsid w:val="001952E9"/>
    <w:rsid w:val="001A16CD"/>
    <w:rsid w:val="001A2FA8"/>
    <w:rsid w:val="001A5F25"/>
    <w:rsid w:val="001D4CFB"/>
    <w:rsid w:val="001D6645"/>
    <w:rsid w:val="001E4054"/>
    <w:rsid w:val="001F644D"/>
    <w:rsid w:val="002071F7"/>
    <w:rsid w:val="0021735C"/>
    <w:rsid w:val="002225E6"/>
    <w:rsid w:val="00231511"/>
    <w:rsid w:val="0023328A"/>
    <w:rsid w:val="002379A6"/>
    <w:rsid w:val="00240EF4"/>
    <w:rsid w:val="00244FB4"/>
    <w:rsid w:val="0025235E"/>
    <w:rsid w:val="00253301"/>
    <w:rsid w:val="00256DF2"/>
    <w:rsid w:val="00260B28"/>
    <w:rsid w:val="00261A74"/>
    <w:rsid w:val="0026409E"/>
    <w:rsid w:val="00264469"/>
    <w:rsid w:val="0028265E"/>
    <w:rsid w:val="002869C3"/>
    <w:rsid w:val="002941F1"/>
    <w:rsid w:val="002C1A13"/>
    <w:rsid w:val="002C25E1"/>
    <w:rsid w:val="002C4C68"/>
    <w:rsid w:val="002D162F"/>
    <w:rsid w:val="002D1949"/>
    <w:rsid w:val="002D4B8E"/>
    <w:rsid w:val="002D65B3"/>
    <w:rsid w:val="002D6F4E"/>
    <w:rsid w:val="002E7DEF"/>
    <w:rsid w:val="002F189C"/>
    <w:rsid w:val="002F4499"/>
    <w:rsid w:val="00303181"/>
    <w:rsid w:val="003038BE"/>
    <w:rsid w:val="00310AA8"/>
    <w:rsid w:val="00322F63"/>
    <w:rsid w:val="00326908"/>
    <w:rsid w:val="00331BBE"/>
    <w:rsid w:val="00340E12"/>
    <w:rsid w:val="00341D64"/>
    <w:rsid w:val="00350E16"/>
    <w:rsid w:val="00355B06"/>
    <w:rsid w:val="00382182"/>
    <w:rsid w:val="00392013"/>
    <w:rsid w:val="003A34B4"/>
    <w:rsid w:val="003A75AF"/>
    <w:rsid w:val="003B1A68"/>
    <w:rsid w:val="003C7685"/>
    <w:rsid w:val="003D5BC4"/>
    <w:rsid w:val="003E32E8"/>
    <w:rsid w:val="003F180D"/>
    <w:rsid w:val="003F4A1A"/>
    <w:rsid w:val="004013F2"/>
    <w:rsid w:val="0040771E"/>
    <w:rsid w:val="00413EE5"/>
    <w:rsid w:val="00415B15"/>
    <w:rsid w:val="00420A5D"/>
    <w:rsid w:val="00425976"/>
    <w:rsid w:val="004348DA"/>
    <w:rsid w:val="00437504"/>
    <w:rsid w:val="00444998"/>
    <w:rsid w:val="00457E27"/>
    <w:rsid w:val="0046298B"/>
    <w:rsid w:val="004652DE"/>
    <w:rsid w:val="0047587A"/>
    <w:rsid w:val="00487D35"/>
    <w:rsid w:val="004A2ABD"/>
    <w:rsid w:val="004A3BD0"/>
    <w:rsid w:val="004B3413"/>
    <w:rsid w:val="004C1A9B"/>
    <w:rsid w:val="004D09AA"/>
    <w:rsid w:val="004D7E5D"/>
    <w:rsid w:val="004F55D2"/>
    <w:rsid w:val="00500C43"/>
    <w:rsid w:val="00513290"/>
    <w:rsid w:val="00514D2F"/>
    <w:rsid w:val="00520BC4"/>
    <w:rsid w:val="00534C61"/>
    <w:rsid w:val="005528BF"/>
    <w:rsid w:val="00552FC2"/>
    <w:rsid w:val="00555357"/>
    <w:rsid w:val="00556081"/>
    <w:rsid w:val="0056376F"/>
    <w:rsid w:val="00566437"/>
    <w:rsid w:val="00574E4E"/>
    <w:rsid w:val="00586433"/>
    <w:rsid w:val="005947DC"/>
    <w:rsid w:val="005B4F0F"/>
    <w:rsid w:val="005B5AC1"/>
    <w:rsid w:val="005C149F"/>
    <w:rsid w:val="005C3107"/>
    <w:rsid w:val="005D03D8"/>
    <w:rsid w:val="005D58AC"/>
    <w:rsid w:val="005E46DE"/>
    <w:rsid w:val="005F2AE5"/>
    <w:rsid w:val="00601693"/>
    <w:rsid w:val="0060229C"/>
    <w:rsid w:val="00603355"/>
    <w:rsid w:val="0060382E"/>
    <w:rsid w:val="00606F8D"/>
    <w:rsid w:val="00624010"/>
    <w:rsid w:val="00626408"/>
    <w:rsid w:val="00631C89"/>
    <w:rsid w:val="00634DEA"/>
    <w:rsid w:val="0064072A"/>
    <w:rsid w:val="0065156B"/>
    <w:rsid w:val="00661254"/>
    <w:rsid w:val="0066152A"/>
    <w:rsid w:val="006627B8"/>
    <w:rsid w:val="00663A1F"/>
    <w:rsid w:val="00673B13"/>
    <w:rsid w:val="006754D9"/>
    <w:rsid w:val="00685B92"/>
    <w:rsid w:val="00690920"/>
    <w:rsid w:val="00697B31"/>
    <w:rsid w:val="006B0D88"/>
    <w:rsid w:val="006D2BF5"/>
    <w:rsid w:val="006E303E"/>
    <w:rsid w:val="006E7346"/>
    <w:rsid w:val="006F1511"/>
    <w:rsid w:val="006F5431"/>
    <w:rsid w:val="006F6186"/>
    <w:rsid w:val="00701718"/>
    <w:rsid w:val="00722DA7"/>
    <w:rsid w:val="007252C0"/>
    <w:rsid w:val="00744F2F"/>
    <w:rsid w:val="00754B1A"/>
    <w:rsid w:val="00760474"/>
    <w:rsid w:val="007614B7"/>
    <w:rsid w:val="007651F2"/>
    <w:rsid w:val="007654CE"/>
    <w:rsid w:val="00772C7D"/>
    <w:rsid w:val="00777614"/>
    <w:rsid w:val="00781F91"/>
    <w:rsid w:val="007948C1"/>
    <w:rsid w:val="007A02BF"/>
    <w:rsid w:val="007B15DF"/>
    <w:rsid w:val="007B6F59"/>
    <w:rsid w:val="007C2663"/>
    <w:rsid w:val="007E5C95"/>
    <w:rsid w:val="007E703E"/>
    <w:rsid w:val="007E73AB"/>
    <w:rsid w:val="007F371B"/>
    <w:rsid w:val="007F5262"/>
    <w:rsid w:val="007F68D4"/>
    <w:rsid w:val="00815253"/>
    <w:rsid w:val="00845A30"/>
    <w:rsid w:val="008519E7"/>
    <w:rsid w:val="008547D9"/>
    <w:rsid w:val="008623ED"/>
    <w:rsid w:val="0087028B"/>
    <w:rsid w:val="008757EA"/>
    <w:rsid w:val="00875DD2"/>
    <w:rsid w:val="008841E6"/>
    <w:rsid w:val="00893458"/>
    <w:rsid w:val="008940DB"/>
    <w:rsid w:val="00896B47"/>
    <w:rsid w:val="008A3655"/>
    <w:rsid w:val="008A4396"/>
    <w:rsid w:val="008C5F3A"/>
    <w:rsid w:val="008D1BC2"/>
    <w:rsid w:val="008D4E38"/>
    <w:rsid w:val="008E3041"/>
    <w:rsid w:val="008E45BA"/>
    <w:rsid w:val="008E7EA4"/>
    <w:rsid w:val="008F177B"/>
    <w:rsid w:val="008F1E57"/>
    <w:rsid w:val="008F2C7F"/>
    <w:rsid w:val="008F43CE"/>
    <w:rsid w:val="009130DA"/>
    <w:rsid w:val="00916C0E"/>
    <w:rsid w:val="00923201"/>
    <w:rsid w:val="00923A83"/>
    <w:rsid w:val="009326DD"/>
    <w:rsid w:val="00933016"/>
    <w:rsid w:val="00933523"/>
    <w:rsid w:val="009467AD"/>
    <w:rsid w:val="00965788"/>
    <w:rsid w:val="0098366E"/>
    <w:rsid w:val="009840FD"/>
    <w:rsid w:val="00985AD2"/>
    <w:rsid w:val="009871EC"/>
    <w:rsid w:val="009A7C90"/>
    <w:rsid w:val="009B34D7"/>
    <w:rsid w:val="009C669A"/>
    <w:rsid w:val="009C6D4A"/>
    <w:rsid w:val="009D3CF9"/>
    <w:rsid w:val="009D4D48"/>
    <w:rsid w:val="009D6DDE"/>
    <w:rsid w:val="009E326A"/>
    <w:rsid w:val="00A0008A"/>
    <w:rsid w:val="00A07824"/>
    <w:rsid w:val="00A11B74"/>
    <w:rsid w:val="00A240E4"/>
    <w:rsid w:val="00A26111"/>
    <w:rsid w:val="00A32E0C"/>
    <w:rsid w:val="00A345BF"/>
    <w:rsid w:val="00A403DC"/>
    <w:rsid w:val="00A4145A"/>
    <w:rsid w:val="00A41529"/>
    <w:rsid w:val="00A42BAC"/>
    <w:rsid w:val="00A474EF"/>
    <w:rsid w:val="00A8220A"/>
    <w:rsid w:val="00A825EA"/>
    <w:rsid w:val="00A826A6"/>
    <w:rsid w:val="00A833ED"/>
    <w:rsid w:val="00A90D02"/>
    <w:rsid w:val="00AA07F4"/>
    <w:rsid w:val="00AA0916"/>
    <w:rsid w:val="00AA1124"/>
    <w:rsid w:val="00AB1C72"/>
    <w:rsid w:val="00AB3FB2"/>
    <w:rsid w:val="00AB5AD4"/>
    <w:rsid w:val="00AC1AC7"/>
    <w:rsid w:val="00AD536F"/>
    <w:rsid w:val="00AD75EA"/>
    <w:rsid w:val="00AE34B4"/>
    <w:rsid w:val="00AE621E"/>
    <w:rsid w:val="00B041DD"/>
    <w:rsid w:val="00B14C75"/>
    <w:rsid w:val="00B15FEC"/>
    <w:rsid w:val="00B25C2B"/>
    <w:rsid w:val="00B348DF"/>
    <w:rsid w:val="00B364DF"/>
    <w:rsid w:val="00B6049D"/>
    <w:rsid w:val="00B6184B"/>
    <w:rsid w:val="00B62199"/>
    <w:rsid w:val="00B643F6"/>
    <w:rsid w:val="00B73CF0"/>
    <w:rsid w:val="00B81944"/>
    <w:rsid w:val="00B85DC0"/>
    <w:rsid w:val="00B85E74"/>
    <w:rsid w:val="00B87AC3"/>
    <w:rsid w:val="00B9064C"/>
    <w:rsid w:val="00B92FCE"/>
    <w:rsid w:val="00BB70FD"/>
    <w:rsid w:val="00BD3A12"/>
    <w:rsid w:val="00BD6091"/>
    <w:rsid w:val="00BE5D29"/>
    <w:rsid w:val="00BF4E9E"/>
    <w:rsid w:val="00C113D7"/>
    <w:rsid w:val="00C213BF"/>
    <w:rsid w:val="00C268C4"/>
    <w:rsid w:val="00C331E7"/>
    <w:rsid w:val="00C355A6"/>
    <w:rsid w:val="00C406B3"/>
    <w:rsid w:val="00C414E8"/>
    <w:rsid w:val="00C514A7"/>
    <w:rsid w:val="00C65ADE"/>
    <w:rsid w:val="00C75020"/>
    <w:rsid w:val="00C81DCE"/>
    <w:rsid w:val="00C851CB"/>
    <w:rsid w:val="00C867AA"/>
    <w:rsid w:val="00C874B9"/>
    <w:rsid w:val="00C92464"/>
    <w:rsid w:val="00CA20C5"/>
    <w:rsid w:val="00CA4E51"/>
    <w:rsid w:val="00CB35BC"/>
    <w:rsid w:val="00CD35C2"/>
    <w:rsid w:val="00CE7AA4"/>
    <w:rsid w:val="00CF0657"/>
    <w:rsid w:val="00D015B3"/>
    <w:rsid w:val="00D17998"/>
    <w:rsid w:val="00D22E76"/>
    <w:rsid w:val="00D22FC8"/>
    <w:rsid w:val="00D362C2"/>
    <w:rsid w:val="00D40A26"/>
    <w:rsid w:val="00D41ED8"/>
    <w:rsid w:val="00D446A0"/>
    <w:rsid w:val="00D5056D"/>
    <w:rsid w:val="00D5213B"/>
    <w:rsid w:val="00D52CE2"/>
    <w:rsid w:val="00D5329A"/>
    <w:rsid w:val="00D56B7F"/>
    <w:rsid w:val="00D64197"/>
    <w:rsid w:val="00D67C8C"/>
    <w:rsid w:val="00D84B04"/>
    <w:rsid w:val="00D85C83"/>
    <w:rsid w:val="00D90073"/>
    <w:rsid w:val="00D930D2"/>
    <w:rsid w:val="00D96570"/>
    <w:rsid w:val="00DA080D"/>
    <w:rsid w:val="00DA2797"/>
    <w:rsid w:val="00DA3211"/>
    <w:rsid w:val="00DA74DE"/>
    <w:rsid w:val="00DB554A"/>
    <w:rsid w:val="00DC2622"/>
    <w:rsid w:val="00DD5CC4"/>
    <w:rsid w:val="00DE0B7A"/>
    <w:rsid w:val="00DE319F"/>
    <w:rsid w:val="00DE3FF7"/>
    <w:rsid w:val="00DF1A4B"/>
    <w:rsid w:val="00DF24E8"/>
    <w:rsid w:val="00E1661E"/>
    <w:rsid w:val="00E3259D"/>
    <w:rsid w:val="00E41F89"/>
    <w:rsid w:val="00E50A3C"/>
    <w:rsid w:val="00E5115B"/>
    <w:rsid w:val="00E52954"/>
    <w:rsid w:val="00E535B4"/>
    <w:rsid w:val="00E57D25"/>
    <w:rsid w:val="00E66517"/>
    <w:rsid w:val="00E66EF2"/>
    <w:rsid w:val="00E8620B"/>
    <w:rsid w:val="00E86938"/>
    <w:rsid w:val="00E90504"/>
    <w:rsid w:val="00EA230F"/>
    <w:rsid w:val="00EB7BCD"/>
    <w:rsid w:val="00EC443F"/>
    <w:rsid w:val="00ED0A20"/>
    <w:rsid w:val="00ED2104"/>
    <w:rsid w:val="00EE3CE9"/>
    <w:rsid w:val="00EF1B67"/>
    <w:rsid w:val="00EF5E51"/>
    <w:rsid w:val="00F00CBA"/>
    <w:rsid w:val="00F061C1"/>
    <w:rsid w:val="00F27D8F"/>
    <w:rsid w:val="00F31760"/>
    <w:rsid w:val="00F402BB"/>
    <w:rsid w:val="00F40F04"/>
    <w:rsid w:val="00F43BD9"/>
    <w:rsid w:val="00F46552"/>
    <w:rsid w:val="00F52D77"/>
    <w:rsid w:val="00F557F3"/>
    <w:rsid w:val="00F612DB"/>
    <w:rsid w:val="00F66AC9"/>
    <w:rsid w:val="00F67699"/>
    <w:rsid w:val="00F74E0D"/>
    <w:rsid w:val="00F769A2"/>
    <w:rsid w:val="00F85A60"/>
    <w:rsid w:val="00F871B5"/>
    <w:rsid w:val="00F92E06"/>
    <w:rsid w:val="00FB1180"/>
    <w:rsid w:val="00FB511E"/>
    <w:rsid w:val="00FC20B5"/>
    <w:rsid w:val="00FC6199"/>
    <w:rsid w:val="00FC6673"/>
    <w:rsid w:val="00FC6FA5"/>
    <w:rsid w:val="00FD5F44"/>
    <w:rsid w:val="00FE24E0"/>
    <w:rsid w:val="53B43BA2"/>
    <w:rsid w:val="771F049F"/>
    <w:rsid w:val="7BDC0576"/>
    <w:rsid w:val="7DFFD58E"/>
    <w:rsid w:val="7EFBB846"/>
    <w:rsid w:val="F5C94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小标宋简体" w:cs="Times New Roman"/>
      <w:kern w:val="2"/>
      <w:sz w:val="32"/>
      <w:szCs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qFormat/>
    <w:uiPriority w:val="0"/>
    <w:pPr>
      <w:ind w:right="26" w:firstLine="640" w:firstLineChars="200"/>
    </w:pPr>
    <w:rPr>
      <w:rFonts w:ascii="仿宋_GB2312" w:eastAsia="仿宋_GB2312"/>
    </w:rPr>
  </w:style>
  <w:style w:type="paragraph" w:styleId="3">
    <w:name w:val="Balloon Text"/>
    <w:basedOn w:val="1"/>
    <w:link w:val="14"/>
    <w:qFormat/>
    <w:uiPriority w:val="0"/>
    <w:rPr>
      <w:sz w:val="18"/>
      <w:szCs w:val="18"/>
    </w:r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2"/>
    <w:link w:val="20"/>
    <w:unhideWhenUsed/>
    <w:qFormat/>
    <w:uiPriority w:val="0"/>
    <w:pPr>
      <w:spacing w:after="120"/>
      <w:ind w:left="420" w:leftChars="200" w:right="0" w:firstLine="420"/>
    </w:pPr>
    <w:rPr>
      <w:rFonts w:ascii="Times New Roman" w:eastAsia="方正小标宋简体"/>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bCs/>
    </w:rPr>
  </w:style>
  <w:style w:type="character" w:styleId="12">
    <w:name w:val="page number"/>
    <w:basedOn w:val="10"/>
    <w:qFormat/>
    <w:uiPriority w:val="0"/>
  </w:style>
  <w:style w:type="paragraph" w:customStyle="1" w:styleId="13">
    <w:name w:val="Char Char"/>
    <w:basedOn w:val="1"/>
    <w:semiHidden/>
    <w:qFormat/>
    <w:uiPriority w:val="0"/>
    <w:rPr>
      <w:rFonts w:eastAsia="宋体"/>
      <w:sz w:val="30"/>
      <w:szCs w:val="30"/>
    </w:rPr>
  </w:style>
  <w:style w:type="character" w:customStyle="1" w:styleId="14">
    <w:name w:val="批注框文本 Char"/>
    <w:link w:val="3"/>
    <w:qFormat/>
    <w:uiPriority w:val="0"/>
    <w:rPr>
      <w:rFonts w:eastAsia="方正小标宋简体"/>
      <w:kern w:val="2"/>
      <w:sz w:val="18"/>
      <w:szCs w:val="18"/>
    </w:rPr>
  </w:style>
  <w:style w:type="character" w:customStyle="1" w:styleId="15">
    <w:name w:val="正文文本缩进 Char"/>
    <w:link w:val="2"/>
    <w:qFormat/>
    <w:uiPriority w:val="0"/>
    <w:rPr>
      <w:rFonts w:ascii="仿宋_GB2312" w:eastAsia="仿宋_GB2312"/>
      <w:kern w:val="2"/>
      <w:sz w:val="32"/>
      <w:szCs w:val="32"/>
    </w:rPr>
  </w:style>
  <w:style w:type="character" w:customStyle="1" w:styleId="16">
    <w:name w:val="页脚 Char"/>
    <w:link w:val="4"/>
    <w:qFormat/>
    <w:uiPriority w:val="99"/>
    <w:rPr>
      <w:rFonts w:eastAsia="方正小标宋简体"/>
      <w:kern w:val="2"/>
      <w:sz w:val="18"/>
      <w:szCs w:val="18"/>
    </w:rPr>
  </w:style>
  <w:style w:type="character" w:customStyle="1" w:styleId="17">
    <w:name w:val="font61"/>
    <w:basedOn w:val="10"/>
    <w:qFormat/>
    <w:uiPriority w:val="0"/>
    <w:rPr>
      <w:rFonts w:hint="eastAsia" w:ascii="宋体" w:hAnsi="宋体" w:eastAsia="宋体" w:cs="宋体"/>
      <w:color w:val="000000"/>
      <w:sz w:val="28"/>
      <w:szCs w:val="28"/>
      <w:u w:val="none"/>
    </w:rPr>
  </w:style>
  <w:style w:type="character" w:customStyle="1" w:styleId="18">
    <w:name w:val="font71"/>
    <w:basedOn w:val="10"/>
    <w:qFormat/>
    <w:uiPriority w:val="0"/>
    <w:rPr>
      <w:rFonts w:hint="eastAsia" w:ascii="宋体" w:hAnsi="宋体" w:eastAsia="宋体" w:cs="宋体"/>
      <w:color w:val="000000"/>
      <w:sz w:val="21"/>
      <w:szCs w:val="21"/>
      <w:u w:val="none"/>
    </w:rPr>
  </w:style>
  <w:style w:type="character" w:customStyle="1" w:styleId="19">
    <w:name w:val="font51"/>
    <w:qFormat/>
    <w:uiPriority w:val="0"/>
    <w:rPr>
      <w:rFonts w:hint="default" w:ascii="Times New Roman" w:hAnsi="Times New Roman" w:cs="Times New Roman"/>
      <w:color w:val="000000"/>
      <w:sz w:val="28"/>
      <w:szCs w:val="28"/>
      <w:u w:val="none"/>
    </w:rPr>
  </w:style>
  <w:style w:type="character" w:customStyle="1" w:styleId="20">
    <w:name w:val="正文首行缩进 2 Char"/>
    <w:basedOn w:val="15"/>
    <w:link w:val="7"/>
    <w:qFormat/>
    <w:uiPriority w:val="0"/>
    <w:rPr>
      <w:rFonts w:ascii="仿宋_GB2312" w:eastAsia="方正小标宋简体"/>
      <w:kern w:val="2"/>
      <w:sz w:val="32"/>
      <w:szCs w:val="32"/>
    </w:rPr>
  </w:style>
  <w:style w:type="paragraph" w:customStyle="1" w:styleId="21">
    <w:name w:val="样式 样式 左侧:  2 字符 + 左侧:  0.85 厘米 首行缩进:  2 字符1"/>
    <w:basedOn w:val="1"/>
    <w:qFormat/>
    <w:uiPriority w:val="0"/>
    <w:pPr>
      <w:widowControl/>
      <w:kinsoku w:val="0"/>
      <w:autoSpaceDE w:val="0"/>
      <w:autoSpaceDN w:val="0"/>
      <w:adjustRightInd w:val="0"/>
      <w:snapToGrid w:val="0"/>
      <w:ind w:left="482" w:firstLine="200" w:firstLineChars="200"/>
      <w:jc w:val="left"/>
      <w:textAlignment w:val="baseline"/>
    </w:pPr>
    <w:rPr>
      <w:rFonts w:ascii="Arial" w:hAnsi="Arial" w:eastAsia="Arial" w:cs="宋体"/>
      <w:snapToGrid w:val="0"/>
      <w:color w:val="000000"/>
      <w:kern w:val="0"/>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2334</Words>
  <Characters>2343</Characters>
  <Lines>17</Lines>
  <Paragraphs>4</Paragraphs>
  <TotalTime>38</TotalTime>
  <ScaleCrop>false</ScaleCrop>
  <LinksUpToDate>false</LinksUpToDate>
  <CharactersWithSpaces>2357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2023-10-21T02:29:00Z</dcterms:created>
  <dc:creator>赵志</dc:creator>
  <cp:lastModifiedBy>thth</cp:lastModifiedBy>
  <cp:lastPrinted>2022-05-11T17:14:00Z</cp:lastPrinted>
  <dcterms:modified xsi:type="dcterms:W3CDTF">2024-01-04T15:23:07Z</dcterms:modified>
  <dc:title>济宁市第十五届人民政府</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D052E7CC8C7B4C8CA0D176FB2AB6657A</vt:lpwstr>
  </property>
</Properties>
</file>