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5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38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Lek9hNUBAADPAwAADgAA AGRycy9lMm9Eb2MueG1srVNNb9swDL0P2H8QdG/sBO2yGXF6aJZdii3Auh+gSLQtQF8Q1Tj596Pk NNm6Sw7zQaYk8pHvkVo9Hq1hB4iovWv5fFZzBk56pV3f8l8v27vPnGESTgnjHbT8BMgf1x8/rMbQ wMIP3iiIjEAcNmNo+ZBSaKoK5QBW4MwHcHTZ+WhFom3sKxXFSOjWVIu6/lSNPqoQvQREOt1Ml/yM GG8B9F2nJWy8fLXg0oQawYhElHDQAfm6VNt1INOPrkNIzLScmKayUhKy93mt1ivR9FGEQctzCeKW Et5xskI7SnqB2ogk2GvU/0BZLaNH36WZ9LaaiBRFiMW8fqfNz0EEKFxIagwX0fH/wcrvh11kWrWc 2u6EpYY/awdsXqQZAzbk8eR2kYTKOwy7mHkeu2jznxiwY5HzdJETjolJOny4X86XXx44k2931TUw REzfwFuWjZYbSloEFIdnTJSMXN9cch7j2EjTuljW1DkpaO466jeZNlDt6PoSjN5otdXG5BCM/f7J RHYQ1PvttqYvt5uA/3LLWTYCh8mvXE1TMYBQX51i6RRIFUePgecaLCjODNDbyVaZnyS0ucWTUhtH FVyFzNbeq1PRt5xTn0uN55nMg/TnvkRf3+H6N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9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49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49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关于山东中武化工有限公司“7·15”一般</w:t>
      </w:r>
    </w:p>
    <w:p>
      <w:pPr>
        <w:spacing w:line="49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火灾事故调查报告的批复</w:t>
      </w:r>
      <w:bookmarkEnd w:id="2"/>
    </w:p>
    <w:p>
      <w:pPr>
        <w:spacing w:line="49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pStyle w:val="4"/>
        <w:spacing w:beforeAutospacing="0" w:afterAutospacing="0" w:line="490" w:lineRule="exact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市应急局：</w:t>
      </w:r>
    </w:p>
    <w:p>
      <w:pPr>
        <w:pStyle w:val="4"/>
        <w:spacing w:beforeAutospacing="0" w:afterAutospacing="0" w:line="490" w:lineRule="exact"/>
        <w:ind w:firstLine="624" w:firstLineChars="200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你局《关于对〈山东中武化工有限公司“7</w:t>
      </w:r>
      <w:r>
        <w:rPr>
          <w:rFonts w:ascii="方正仿宋简体" w:eastAsia="方正仿宋简体" w:cs="宋体"/>
          <w:b/>
          <w:color w:val="000000"/>
          <w:sz w:val="32"/>
          <w:szCs w:val="32"/>
        </w:rPr>
        <w:t>·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15”一般火灾事故调查报告〉作出批复的请示》（济应急字〔2023〕57号）收悉。经研究，市政府同意山东中武化工有限公司“7</w:t>
      </w:r>
      <w:r>
        <w:rPr>
          <w:rFonts w:ascii="方正仿宋简体" w:eastAsia="方正仿宋简体" w:cs="宋体"/>
          <w:b/>
          <w:color w:val="000000"/>
          <w:sz w:val="32"/>
          <w:szCs w:val="32"/>
        </w:rPr>
        <w:t>·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15”一般火灾事故调查组（以下简称事故调查组）提交的《山东中武化工有限公司“7</w:t>
      </w:r>
      <w:r>
        <w:rPr>
          <w:rFonts w:ascii="方正仿宋简体" w:eastAsia="方正仿宋简体" w:cs="宋体"/>
          <w:b/>
          <w:color w:val="000000"/>
          <w:sz w:val="32"/>
          <w:szCs w:val="32"/>
        </w:rPr>
        <w:t>·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15”一般火灾事故调查报告》（以下简称《调查报告》）。现批复如下：</w:t>
      </w:r>
    </w:p>
    <w:p>
      <w:pPr>
        <w:pStyle w:val="4"/>
        <w:spacing w:beforeAutospacing="0" w:afterAutospacing="0" w:line="490" w:lineRule="exact"/>
        <w:ind w:firstLine="624" w:firstLineChars="200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一、事故调查组的组成和工作程序符合《生产安全事故报告和调查处理条例》（国务院令第493号）、《山东省生产安全事故报告和调查处理办法》（省政府令第342号）等有关规定。事故调查组坚持“科学严谨、依法依规、实事求是、注重实效”原则和“四不放过”要求，查明了事故发生的经过、原因、人员伤亡和直接经济损失情况，认定了事故性质和责任，提出了对事故责任单位和责任人的处理建议，总结了事故教训，提出了防范和整改措施。事故调查组工作客观、公正、实事求是。</w:t>
      </w:r>
    </w:p>
    <w:p>
      <w:pPr>
        <w:pStyle w:val="4"/>
        <w:spacing w:beforeAutospacing="0" w:afterAutospacing="0" w:line="490" w:lineRule="exact"/>
        <w:ind w:firstLine="624" w:firstLineChars="200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二、同意事故调查组对事故的原因分析和责任认定。经调查认定，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</w:rPr>
        <w:t>该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eastAsia="zh-CN"/>
        </w:rPr>
        <w:t>起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</w:rPr>
        <w:t>事故是一起因违规存放气雾剂导致的一般火灾生产安全责任事故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。</w:t>
      </w:r>
    </w:p>
    <w:p>
      <w:pPr>
        <w:pStyle w:val="4"/>
        <w:spacing w:beforeAutospacing="0" w:afterAutospacing="0" w:line="490" w:lineRule="exact"/>
        <w:ind w:firstLine="624" w:firstLineChars="200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三、同意事故调查组对有关责任单位以及有关责任人的处理建议。要依照法律法规规定、权限及程序，抓好对有关责任单位和责任人处理意见的落实。</w:t>
      </w:r>
    </w:p>
    <w:p>
      <w:pPr>
        <w:pStyle w:val="4"/>
        <w:spacing w:beforeAutospacing="0" w:afterAutospacing="0" w:line="490" w:lineRule="exact"/>
        <w:ind w:firstLine="624" w:firstLineChars="200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四、同意事故调查组提出的事故防范和整改措施。各相关单位要认真吸取事故教训，严格落实《调查报告》中提出的各项防范和整改措施，并举一反三，不断加强安全管理，严防此类事故再次发生，确保全市安全生产形势稳定。</w:t>
      </w:r>
    </w:p>
    <w:p>
      <w:pPr>
        <w:pStyle w:val="4"/>
        <w:spacing w:beforeAutospacing="0" w:afterAutospacing="0" w:line="490" w:lineRule="exact"/>
        <w:ind w:firstLine="624" w:firstLineChars="200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五、有关单位要认真落实《调查报告》的处理意见，并将落实情况于本批复下达之日起10日内报市纪委监委和市安委会办公室备案。</w:t>
      </w:r>
    </w:p>
    <w:p>
      <w:pPr>
        <w:pStyle w:val="4"/>
        <w:spacing w:beforeAutospacing="0" w:afterAutospacing="0" w:line="490" w:lineRule="exact"/>
        <w:ind w:firstLine="624" w:firstLineChars="200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spacing w:beforeAutospacing="0" w:afterAutospacing="0" w:line="490" w:lineRule="exact"/>
        <w:ind w:firstLine="624" w:firstLineChars="200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spacing w:beforeAutospacing="0" w:afterAutospacing="0" w:line="490" w:lineRule="exact"/>
        <w:ind w:firstLine="624" w:firstLineChars="200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spacing w:beforeAutospacing="0" w:afterAutospacing="0" w:line="600" w:lineRule="exact"/>
        <w:ind w:right="161" w:rightChars="84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                         济宁市人民政府 </w:t>
      </w:r>
    </w:p>
    <w:p>
      <w:pPr>
        <w:pStyle w:val="4"/>
        <w:wordWrap w:val="0"/>
        <w:spacing w:beforeAutospacing="0" w:afterAutospacing="0" w:line="600" w:lineRule="exact"/>
        <w:ind w:right="161" w:rightChars="84"/>
        <w:jc w:val="right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2023年9月12日       </w:t>
      </w:r>
    </w:p>
    <w:p>
      <w:pPr>
        <w:pStyle w:val="4"/>
        <w:widowControl w:val="0"/>
        <w:spacing w:beforeAutospacing="0" w:afterAutospacing="0" w:line="600" w:lineRule="exact"/>
        <w:ind w:firstLine="612" w:firstLineChars="196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（此件公开发布） </w:t>
      </w: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0" b="0"/>
                <wp:wrapNone/>
                <wp:docPr id="1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AMpLNJ0AEAAM8DAAAO AAAAZHJzL2Uyb0RvYy54bWytU01v2zAMvQ/YfxB0b+wG7TYYcXpo2l2KLcC2H6BIlC1AXxDVOPn3 o+Q02bpLDvNBpiTyke+RWj0cnGV7SGiC7/ntouUMvAzK+KHnv34+33zhDLPwStjgoedHQP6w/vhh NcUOlmEMVkFiBOKxm2LPx5xj1zQoR3ACFyGCp0sdkhOZtmloVBIToTvbLNv2UzOFpGIKEhDpdDNf 8hNiugYwaG0kbIJ8deDzjJrAikyUcDQR+bpWqzXI/F1rhMxsz4lprislIXtX1ma9Et2QRByNPJUg rinhHScnjKekZ6iNyIK9JvMPlDMyBQw6L2RwzUykKkIsbtt32vwYRYTKhaTGeBYd/x+s/LbfJmYU TQJnXjhq+IvxwJZVmiliRx6PfptIqLLDuE2F50EnV/7EgB2qnMeznHDITNLh/f3dXduS0vLtrrkE xoT5KwTHitFzS0mrgGL/gpmSkeubS8ljPZuoxuXniido7jT1m6BdpNrRDzUYgzXq2VhbQjANu0eb 2F6U3tevtJuA/3IrWTYCx9mvXs1TMYJQT16xfIykiqfHwEsNDhRnFujtFKvOTxbGXuNJqa2nCi5C FmsX1LHqW8+pz7XG00yWQfpzX6Mv73D9G1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EYf4NXWAAAA BgEAAA8AAAAAAAAAAQAgAAAAOAAAAGRycy9kb3ducmV2LnhtbFBLAQIUABQAAAAIAIdO4kAMpLNJ 0AEAAM8DAAAOAAAAAAAAAAEAIAAAADsBAABkcnMvZTJvRG9jLnhtbFBLBQYAAAAABgAGAFkBAAB9 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ind w:firstLine="267" w:firstLineChars="98"/>
        <w:rPr>
          <w:rFonts w:ascii="方正仿宋简体" w:hAnsi="文星仿宋" w:eastAsia="方正仿宋简体" w:cs="方正仿宋简体"/>
          <w:b/>
          <w:spacing w:val="-6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抄送：市纪委监委，</w:t>
      </w:r>
      <w:r>
        <w:rPr>
          <w:rFonts w:hint="eastAsia" w:ascii="方正仿宋简体" w:hAnsi="文星仿宋" w:eastAsia="方正仿宋简体" w:cs="方正仿宋简体"/>
          <w:b/>
          <w:spacing w:val="-6"/>
          <w:sz w:val="28"/>
          <w:szCs w:val="28"/>
          <w:lang w:bidi="ar"/>
        </w:rPr>
        <w:t>事故调查组成员单位，汶上县人民政府，有关企业。</w:t>
      </w:r>
    </w:p>
    <w:p>
      <w:pPr>
        <w:spacing w:line="740" w:lineRule="exact"/>
        <w:ind w:firstLine="306" w:firstLineChars="98"/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0" b="0"/>
                <wp:wrapNone/>
                <wp:docPr id="2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Pl64GvTAQAAzwMAAA4A AABkcnMvZTJvRG9jLnhtbK1TTW/bMAy9D9h/EHRfnHrLNhhxemjWXYotwLYfwEh0LEBfENU4+fej 5LTduksO80GmJPKR75Fa356cFUdMZILv5c1iKQV6FbTxh17++nn/7rMUlMFrsMFjL89I8nbz9s16 ih22YQxWYxIM4qmbYi/HnGPXNKRGdECLENHz5RCSg8zbdGh0gonRnW3a5fJjM4WkYwoKifh0O1/K C2K6BjAMg1G4DerRoc8zakILmSnRaCLJTa12GFDl78NAmIXtJTPNdeUkbO/L2mzW0B0SxNGoSwlw TQmvODkwnpM+Q20hg3hM5h8oZ1QKFIa8UME1M5GqCLO4Wb7S5scIESsXlpris+j0/2DVt+MuCaN7 2UrhwXHDH4xH0bZFmilSxx53fpcuO4q7VHiehuTKnxmIU5Xz/CwnnrJQfLhafXi/WrHS6umueQmM ifJXDE4Uo5eWk1YB4fhAmZOx65NLyWO9mHha20/Lggc8dwP3m00XuXbyhxpMwRp9b6wtIZQO+zub xBFK7+tXODHwX24lyxZonP3q1TwVI4L+4rXI58iqeH4MstTgUEthkd9OsRgQugzGXuPJqa3nCoqs s5DF2gd9rvrWc+5zrfEyk2WQ/tzX6Jd3uPkN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Pl6 4GvTAQAAzwMAAA4AAAAAAAAAAQAgAAAAOg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_GoBack"/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0" b="0"/>
                <wp:wrapNone/>
                <wp:docPr id="3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KeBr9zTAQAAzwMAAA4A AABkcnMvZTJvRG9jLnhtbK1TTW/bMAy9D9h/EHRf7GTtNhhxemjWXYotwLofoEiULUBfENU4+fej 5DTduksO80GmJPKR75Fa3x2dZQdIaILv+XLRcgZeBmX80PNfTw8fvnCGWXglbPDQ8xMgv9u8f7ee YgerMAarIDEC8dhNsedjzrFrGpQjOIGLEMHTpQ7JiUzbNDQqiYnQnW1WbfupmUJSMQUJiHS6nS/5 GTFdAxi0NhK2QT478HlGTWBFJko4moh8U6vVGmT+oTVCZrbnxDTXlZKQvS9rs1mLbkgijkaeSxDX lPCGkxPGU9IL1FZkwZ6T+QfKGZkCBp0XMrhmJlIVIRbL9o02P0cRoXIhqTFeRMf/Byu/H3aJGdXz j5x54ajhj8YDWy2LNFPEjjzu/S6ddxh3qfA86uTKnxiwY5XzdJETjplJOry9vblpW1Javtw1r4Ex Yf4GwbFi9NxS0iqgODxipmTk+uJS8ljPJprW1eeKJ2juNPWboF2k2tEPNRiDNerBWFtCMA37e5vY QZTe169wIuC/3EqWrcBx9qtX81SMINRXr1g+RVLF02PgpQYHijML9HaKRYCiy8LYazwptfVUQZF1 FrJY+6BOVd96Tn2uNZ5nsgzSn/sa/foON78B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cvOZqtUA AAAGAQAADwAAAAAAAAABACAAAAA4AAAAZHJzL2Rvd25yZXYueG1sUEsBAhQAFAAAAAgAh07iQKeB r9zTAQAAzwMAAA4AAAAAAAAAAQAgAAAAOg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End w:id="3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2023年9月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12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ZghejI1Bm9/Js3/g9YJFaw==" w:hash="zzA89Eby4akdUNoTd9Q3fbjKvbYFCMx/Dkpinsgk+WRbmUBzFFwxNd5mFz1/TVJ8ey793mL9MeJk1XjRDCtIUg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623306"/>
    <w:rsid w:val="00633F78"/>
    <w:rsid w:val="007B3EEF"/>
    <w:rsid w:val="008A2671"/>
    <w:rsid w:val="009C5E24"/>
    <w:rsid w:val="00AA6354"/>
    <w:rsid w:val="00AD082E"/>
    <w:rsid w:val="00AD4F0C"/>
    <w:rsid w:val="00AE5DF7"/>
    <w:rsid w:val="00BF4213"/>
    <w:rsid w:val="00CD750B"/>
    <w:rsid w:val="00E64C4D"/>
    <w:rsid w:val="00EF4394"/>
    <w:rsid w:val="2393304B"/>
    <w:rsid w:val="3E0F042E"/>
    <w:rsid w:val="3FFF43C2"/>
    <w:rsid w:val="4EB9EF87"/>
    <w:rsid w:val="5FDF9ED2"/>
    <w:rsid w:val="63765AC4"/>
    <w:rsid w:val="7FE1777C"/>
    <w:rsid w:val="FBFFE589"/>
    <w:rsid w:val="FF61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"/>
    <w:basedOn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1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Char1"/>
    <w:basedOn w:val="6"/>
    <w:link w:val="2"/>
    <w:qFormat/>
    <w:uiPriority w:val="99"/>
    <w:rPr>
      <w:sz w:val="18"/>
      <w:szCs w:val="18"/>
    </w:rPr>
  </w:style>
  <w:style w:type="paragraph" w:customStyle="1" w:styleId="13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4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5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6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7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8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19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20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1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2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3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5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7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8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40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1">
    <w:name w:val="xl9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3">
    <w:name w:val="xl9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4">
    <w:name w:val="xl9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5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6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7">
    <w:name w:val="xl10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8">
    <w:name w:val="xl10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9">
    <w:name w:val="xl10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50">
    <w:name w:val="xl10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1">
    <w:name w:val="xl10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2">
    <w:name w:val="xl10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4">
    <w:name w:val="xl10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5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6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7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8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9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60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1">
    <w:name w:val="xl11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2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3">
    <w:name w:val="xl11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4">
    <w:name w:val="xl11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5">
    <w:name w:val="xl11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6">
    <w:name w:val="xl12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7">
    <w:name w:val="xl12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8">
    <w:name w:val="xl12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69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70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1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3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4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5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6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7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9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0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1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2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3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769</Words>
  <Characters>129</Characters>
  <Lines>1</Lines>
  <Paragraphs>1</Paragraphs>
  <TotalTime>1</TotalTime>
  <ScaleCrop>false</ScaleCrop>
  <LinksUpToDate>false</LinksUpToDate>
  <CharactersWithSpaces>897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2019-12-21T10:47:00Z</dcterms:created>
  <dc:creator>nizy</dc:creator>
  <cp:lastModifiedBy>user</cp:lastModifiedBy>
  <cp:lastPrinted>2023-09-12T06:52:00Z</cp:lastPrinted>
  <dcterms:modified xsi:type="dcterms:W3CDTF">2023-09-13T10:45:16Z</dcterms:modified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38EEF03D7F684CADB5CF584F5E1A4505</vt:lpwstr>
  </property>
</Properties>
</file>