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-57" w:leftChars="-26" w:right="-92" w:rightChars="-42"/>
        <w:textAlignment w:val="auto"/>
        <w:rPr>
          <w:rFonts w:hint="default" w:ascii="Times New Roman" w:hAnsi="Times New Roman" w:cs="Times New Roman"/>
          <w:b w:val="0"/>
          <w:bCs/>
          <w:color w:val="FF0000"/>
          <w:spacing w:val="-12"/>
          <w:w w:val="75"/>
          <w:sz w:val="150"/>
          <w:szCs w:val="150"/>
        </w:rPr>
      </w:pPr>
      <w:r>
        <w:rPr>
          <w:rFonts w:hint="default" w:ascii="Times New Roman" w:hAnsi="Times New Roman" w:eastAsia="方正大标宋简体" w:cs="Times New Roman"/>
          <w:b w:val="0"/>
          <w:bCs/>
          <w:color w:val="FF0000"/>
          <w:spacing w:val="-11"/>
          <w:w w:val="60"/>
          <w:sz w:val="150"/>
          <w:szCs w:val="150"/>
        </w:rPr>
        <w:t>济宁市农业农村局文件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济农字〔202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b/>
          <w:bCs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0.05pt;height:0pt;width:442.2pt;z-index:251659264;mso-width-relative:page;mso-height-relative:page;" filled="f" stroked="t" coordsize="21600,21600" o:gfxdata="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G0f&#10;b9IAAAADAQAADwAAAAAAAAABACAAAAA4AAAAZHJzL2Rvd25yZXYueG1sUEsBAhQAFAAAAAgAh07i&#10;QHfB2H3ZAQAAmQMAAA4AAAAAAAAAAQAgAAAANw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28"/>
          <w:szCs w:val="28"/>
        </w:rPr>
      </w:pPr>
    </w:p>
    <w:p>
      <w:pPr>
        <w:spacing w:after="0" w:line="560" w:lineRule="exact"/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  <w:lang w:eastAsia="zh-CN"/>
        </w:rPr>
        <w:t>关于印发《济宁市</w:t>
      </w:r>
      <w:r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  <w:u w:val="none"/>
          <w:lang w:val="en-US" w:eastAsia="zh-CN"/>
        </w:rPr>
        <w:t>2023年</w:t>
      </w:r>
      <w:r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</w:rPr>
        <w:t>农业转基因</w:t>
      </w:r>
    </w:p>
    <w:p>
      <w:pPr>
        <w:spacing w:after="0" w:line="560" w:lineRule="exact"/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</w:rPr>
        <w:t>生物监管工作方案</w:t>
      </w:r>
      <w:r>
        <w:rPr>
          <w:rFonts w:hint="default" w:ascii="Times New Roman" w:hAnsi="Times New Roman" w:eastAsia="方正大标宋简体" w:cs="Times New Roman"/>
          <w:b/>
          <w:bCs w:val="0"/>
          <w:sz w:val="44"/>
          <w:szCs w:val="44"/>
          <w:lang w:eastAsia="zh-CN"/>
        </w:rPr>
        <w:t>》的通知</w:t>
      </w:r>
    </w:p>
    <w:p>
      <w:pPr>
        <w:spacing w:after="0" w:line="560" w:lineRule="exact"/>
        <w:jc w:val="left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spacing w:after="0" w:line="560" w:lineRule="exact"/>
        <w:jc w:val="left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各县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农业农村局，济宁市高新区城乡统筹发展局、太白湖新区农业发展服务中心、济宁经济技术开发区农业发展服务中心，局属有关单位：</w:t>
      </w:r>
    </w:p>
    <w:p>
      <w:pPr>
        <w:spacing w:after="0" w:line="560" w:lineRule="exact"/>
        <w:ind w:firstLine="642" w:firstLineChars="200"/>
        <w:jc w:val="left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根据省农业农村厅关于印发《202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年农业转基因生物监管工作方案的通知》（鲁农科教字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号），结合济宁实际，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制定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了《济宁市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农业转基因生物监管工作方案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现印发你们，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请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抓好落实。</w:t>
      </w:r>
    </w:p>
    <w:p>
      <w:pPr>
        <w:pStyle w:val="2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spacing w:after="0" w:line="560" w:lineRule="exact"/>
        <w:ind w:right="1030" w:rightChars="468"/>
        <w:jc w:val="right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济宁市农业农村局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spacing w:after="0" w:line="560" w:lineRule="exact"/>
        <w:ind w:right="1030" w:rightChars="468"/>
        <w:jc w:val="right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日</w:t>
      </w:r>
    </w:p>
    <w:p>
      <w:pPr>
        <w:widowControl w:val="0"/>
        <w:spacing w:after="0" w:line="640" w:lineRule="exact"/>
        <w:jc w:val="center"/>
        <w:textAlignment w:val="center"/>
        <w:rPr>
          <w:rFonts w:ascii="Times New Roman" w:hAnsi="Times New Roman" w:eastAsia="方正大标宋简体" w:cs="Times New Roman"/>
          <w:b/>
          <w:bCs w:val="0"/>
          <w:sz w:val="44"/>
          <w:szCs w:val="44"/>
        </w:rPr>
      </w:pPr>
    </w:p>
    <w:p>
      <w:pPr>
        <w:widowControl w:val="0"/>
        <w:spacing w:after="0" w:line="640" w:lineRule="exact"/>
        <w:jc w:val="center"/>
        <w:textAlignment w:val="center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方正大标宋简体" w:cs="Times New Roman"/>
          <w:b/>
          <w:bCs w:val="0"/>
          <w:sz w:val="40"/>
          <w:szCs w:val="40"/>
          <w:lang w:eastAsia="zh-CN"/>
        </w:rPr>
        <w:t>济宁市</w:t>
      </w:r>
      <w:r>
        <w:rPr>
          <w:rFonts w:hint="eastAsia" w:ascii="Times New Roman" w:hAnsi="Times New Roman" w:eastAsia="方正大标宋简体" w:cs="Times New Roman"/>
          <w:b/>
          <w:bCs w:val="0"/>
          <w:sz w:val="40"/>
          <w:szCs w:val="40"/>
          <w:lang w:val="en-US" w:eastAsia="zh-CN"/>
        </w:rPr>
        <w:t>2023年</w:t>
      </w:r>
      <w:r>
        <w:rPr>
          <w:rFonts w:hint="default" w:ascii="Times New Roman" w:hAnsi="Times New Roman" w:eastAsia="方正大标宋简体" w:cs="Times New Roman"/>
          <w:b/>
          <w:bCs w:val="0"/>
          <w:sz w:val="40"/>
          <w:szCs w:val="40"/>
        </w:rPr>
        <w:t>农业转基因生物监管工作方案</w:t>
      </w:r>
    </w:p>
    <w:p>
      <w:pPr>
        <w:widowControl w:val="0"/>
        <w:spacing w:after="0" w:line="640" w:lineRule="exact"/>
        <w:ind w:firstLine="562" w:firstLineChars="200"/>
        <w:textAlignment w:val="center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</w:pP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为做好全市农业转基因生物安全监管工作，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认真落实习近平总书记关于“三农”工作重要论述，贯彻党中央“尊重科学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严格监管，有序推进生物育种产业化应用”重大部署，落实省市关于农业农村工作系列要求，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确保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农业转基因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生物监管工作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有序开展，结合实际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制定本方案。</w:t>
      </w:r>
    </w:p>
    <w:p>
      <w:pPr>
        <w:widowControl w:val="0"/>
        <w:numPr>
          <w:ilvl w:val="0"/>
          <w:numId w:val="1"/>
        </w:numPr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工作目标</w:t>
      </w:r>
    </w:p>
    <w:p>
      <w:pPr>
        <w:widowControl w:val="0"/>
        <w:numPr>
          <w:ilvl w:val="0"/>
          <w:numId w:val="0"/>
        </w:numPr>
        <w:spacing w:after="0" w:line="640" w:lineRule="exact"/>
        <w:ind w:firstLine="642" w:firstLineChars="200"/>
        <w:jc w:val="both"/>
        <w:textAlignment w:val="center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深入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贯彻落实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党中央关于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加快玉米大豆生物育种产业化步伐的决策部署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积极支持依法依规开展生物育种研发应用。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认真履行《生物安全法》《种子法》《农业转基因生物安全管理条例》等法律法规，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按照属地管理和实施单位主体责任原则，做好监督检查、组织培训、科普宣传、规范实施等工作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严厉打击非法制种、非法种植、非法变更进口转基因生物用途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、农业植物新品种侵权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等违规违法行为，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着力提升监管能力，优化监管措施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为有序推进生物育种产业化应用提供有力保障。加大科普宣传和普法力度，引导公共客观理性地认识转基因。加强督导检查，对辖区内农业转基因加工企业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和申请农业转基因试验的基地定期开展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现场检查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，现场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覆盖率达到100%。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二、重点</w:t>
      </w: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任务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（一）加强研</w:t>
      </w:r>
      <w:r>
        <w:rPr>
          <w:rFonts w:hint="eastAsia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试验环节监管。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农业农村部门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要强化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属地管理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对农业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部批准在本地区开展的中间试验、环境释放、生产性试验等安全评价试验进行全面、动态监管。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指导督促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农业转基因研发单位定期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自检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查，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安全管理小组，健全安全管理制度，建立转基因活动管理档案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和应急机制，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加强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从业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人员培训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对农业转基因试验采取事前核查与事中事后检查相结合方式，做好转基因试验全过程监管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严查中间试验是否依法报告，环境释放和生产性试验是否依法报批，基因编辑等新育种技术研究是否依法开展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加强控制措施、安全制度、隔离措施、残余物处理和收获物保存等方面监督检查。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（二）加强种子环节监管。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加强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种子生产、加工、销售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环节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监管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，加大对种子市场、经营门店的转基因成分抽检力度，严查转基因种子非法加工销售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坚决打击进村入户推销未经审定品种的非法行为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严防非法种植，防止未经安全评价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转基因种子及其产品流入市场。加强对制种基地及疑似种子生产田的排查力度，加大种子下地前、苗期、收获季的检查检测力度，严防非法转基因种子流入市场。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农业农村部门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对在检查中发现的违规问题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及时予以纠正和处理，发现的重大问题应及时向市农业农村局报告。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）加强加工及标识监管。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目前我市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13家企业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具有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农业转基因生物加工许可证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县级农业农村部门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要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属地管理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原则，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加强对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辖区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内从事农业转基因生物生产、加工、经营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的监督检查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和名录动态更新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。对安全控制措施不到位的企业，限期整改，整改不合格的，报市农业农村局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备查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。对未取得加工许可审批的农业转基因生物加工企业，依据有关规定进行处理并责令其限期申请加工许可证。加强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农业转基因生物进口流向管控，严查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运输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、储藏、加工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过程中的安全控制措施落实情况，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核查产品采购、加工、销售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、管理等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过程的档案记录，确保进口农业转基因生物全部用于原料加工，严禁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非法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改变用途。</w:t>
      </w:r>
    </w:p>
    <w:p>
      <w:pPr>
        <w:widowControl w:val="0"/>
        <w:autoSpaceDE w:val="0"/>
        <w:adjustRightInd/>
        <w:snapToGrid/>
        <w:spacing w:after="0" w:line="640" w:lineRule="exact"/>
        <w:ind w:firstLine="642" w:firstLineChars="200"/>
        <w:rPr>
          <w:rFonts w:hint="default" w:ascii="Calibri" w:hAnsi="Calibri" w:eastAsia="微软雅黑" w:cs="Calibri"/>
          <w:b/>
          <w:bCs/>
          <w:sz w:val="20"/>
          <w:szCs w:val="20"/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（四）加强转基因科普宣传培训。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加大农业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转基因生物安全科普宣传力度，面向机关事业单位、高校科研单位、农技推广体系、高素质农民培育体系等广泛开展转基因科普宣传，通过发放宣传资料、制作宣传展板、播放宣传片等形式，加大农业转基因生物安全知识的宣传普及，引导科学理性认识转基因。定期进行农业转基因生物安全知识培训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市县农业农村部门年内至少开展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一次专题学习，提高农业转基因工作人员监管能力水平。针对具备农业转基因生物安全知识企业的管理人员、技术人员，重点学习转基因政策、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法规规章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产业化、安全性等方面内容。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三、</w:t>
      </w: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工作要求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（一）压实主体责任</w:t>
      </w:r>
      <w:r>
        <w:rPr>
          <w:rFonts w:hint="eastAsia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落实属地管理。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县级农业农村部门要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加强组织领导，落实执法监管的属地管理责任，制定切实可行的监管实施方案，责任分解到具体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、落实到人。研发单位要成立农业转基因生物安全小组，单位法定代表人担任组长或授权实际负责人担任组长，负起法定监管责任，落实安全小组审查、监督、检查、报告等职责。种子生产经营单位，要加强对制种亲本的管理，建立健全档案，确保源头和流向可追溯，严禁非法生产经营转基因种子。</w:t>
      </w:r>
    </w:p>
    <w:p>
      <w:pPr>
        <w:widowControl w:val="0"/>
        <w:spacing w:after="0" w:line="640" w:lineRule="exact"/>
        <w:ind w:firstLine="64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</w:rPr>
        <w:t>（二）强化监督检查，严肃案件查办。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农业农村部门要履行好属地管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责任，制定方案，明确责任，强化部署，密切协同，认真抓好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转基因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生物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监管工作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落实。严格按照“双随机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一公开”要求，定期抽查农业转基因生物试验、加工单位，确保辖区内转基因生物试验、加工单位现场检查全覆盖。严格落实监管信息报送制度，关键节点实行监管信息日报，案件查处实行信息月报，重大案件随时报送。组织农业执法人员明察暗访，追根溯源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对非法买卖进口转基因生物、非法制种售种、非法研究试验等行为，深挖源头，严肃处理。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0" w:line="640" w:lineRule="exact"/>
        <w:ind w:firstLine="72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6"/>
          <w:szCs w:val="36"/>
          <w:lang w:val="en-US" w:eastAsia="zh-CN" w:bidi="ar-SA"/>
        </w:rPr>
      </w:pPr>
    </w:p>
    <w:p>
      <w:pPr>
        <w:spacing w:after="0" w:line="640" w:lineRule="exact"/>
        <w:jc w:val="both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spacing w:after="0" w:line="640" w:lineRule="exact"/>
        <w:ind w:firstLine="5461" w:firstLineChars="1700"/>
        <w:jc w:val="both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spacing w:after="0" w:line="640" w:lineRule="exact"/>
        <w:ind w:firstLine="5461" w:firstLineChars="1700"/>
        <w:jc w:val="both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20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widowControl w:val="0"/>
        <w:adjustRightInd/>
        <w:snapToGrid/>
        <w:spacing w:after="0" w:line="640" w:lineRule="exact"/>
        <w:jc w:val="left"/>
        <w:rPr>
          <w:rFonts w:ascii="Times New Roman" w:hAnsi="Times New Roman" w:cs="Times New Roman"/>
          <w:b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81" w:firstLineChars="100"/>
        <w:textAlignment w:val="center"/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sz w:val="28"/>
          <w:szCs w:val="28"/>
          <w:lang w:val="en-US" w:eastAsia="zh-CN" w:bidi="ar-SA"/>
        </w:rPr>
        <w:t>信息公开属性：主动公开</w:t>
      </w:r>
    </w:p>
    <w:p>
      <w:pPr>
        <w:widowControl w:val="0"/>
        <w:adjustRightInd/>
        <w:snapToGrid/>
        <w:spacing w:after="0" w:line="640" w:lineRule="exact"/>
        <w:ind w:firstLine="321" w:firstLineChars="100"/>
        <w:jc w:val="both"/>
        <w:textAlignment w:val="center"/>
        <w:rPr>
          <w:rFonts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378460</wp:posOffset>
                </wp:positionV>
                <wp:extent cx="55441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8pt;height:0pt;width:436.55pt;z-index:251660288;mso-width-relative:page;mso-height-relative:page;" filled="f" stroked="t" coordsize="21600,21600" o:gfxdata="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9AYwj1AAAAAYBAAAPAAAAAAAAAAEAIAAAADgAAABkcnMvZG93bnJldi54bWxQSwEC&#10;FAAUAAAACACHTuJA3U9rFOIBAACnAwAADgAAAAAAAAABACAAAAA5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5441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05pt;height:0pt;width:436.55pt;z-index:251661312;mso-width-relative:page;mso-height-relative:page;" filled="f" stroked="t" coordsize="21600,21600" o:gfxdata="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CmQDwPRAAAAAgEAAA8AAAAAAAAAAQAgAAAAOAAAAGRycy9kb3ducmV2LnhtbFBLAQIUABQA&#10;AAAIAIdO4kAfnFMU4QEAAKcDAAAOAAAAAAAAAAEAIAAAAD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 xml:space="preserve">济宁市农业农村局办公室  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日印发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154" w:right="1588" w:bottom="1984" w:left="1588" w:header="1134" w:footer="158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40" w:rightChars="200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— </w:t>
    </w:r>
    <w:r>
      <w:rPr>
        <w:rStyle w:val="9"/>
        <w:rFonts w:ascii="Times New Roman" w:hAnsi="Times New Roman" w:cs="Times New Roman"/>
        <w:b/>
        <w:bCs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b/>
        <w:bCs/>
        <w:sz w:val="28"/>
        <w:szCs w:val="28"/>
      </w:rPr>
      <w:instrText xml:space="preserve"> PAGE </w:instrText>
    </w:r>
    <w:r>
      <w:rPr>
        <w:rStyle w:val="9"/>
        <w:rFonts w:ascii="Times New Roman" w:hAnsi="Times New Roman" w:cs="Times New Roman"/>
        <w:b/>
        <w:bCs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b/>
        <w:bCs/>
        <w:sz w:val="28"/>
        <w:szCs w:val="28"/>
      </w:rPr>
      <w:t>1</w:t>
    </w:r>
    <w:r>
      <w:rPr>
        <w:rStyle w:val="9"/>
        <w:rFonts w:ascii="Times New Roman" w:hAnsi="Times New Roman" w:cs="Times New Roman"/>
        <w:b/>
        <w:bCs/>
        <w:sz w:val="28"/>
        <w:szCs w:val="28"/>
      </w:rPr>
      <w:fldChar w:fldCharType="end"/>
    </w:r>
    <w:r>
      <w:rPr>
        <w:rStyle w:val="9"/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40" w:leftChars="2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2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8B440"/>
    <w:multiLevelType w:val="singleLevel"/>
    <w:tmpl w:val="09B8B4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720"/>
  <w:evenAndOddHeaders w:val="true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Tc1NTc0OGY1ODI0Yzg3Nzc1ZTFhZGIyY2E2NmMifQ=="/>
  </w:docVars>
  <w:rsids>
    <w:rsidRoot w:val="00D31D50"/>
    <w:rsid w:val="00323B43"/>
    <w:rsid w:val="003D37D8"/>
    <w:rsid w:val="00426133"/>
    <w:rsid w:val="004358AB"/>
    <w:rsid w:val="008B7726"/>
    <w:rsid w:val="00D31D50"/>
    <w:rsid w:val="04505407"/>
    <w:rsid w:val="05E71575"/>
    <w:rsid w:val="0BCA050E"/>
    <w:rsid w:val="12B77207"/>
    <w:rsid w:val="17260BBD"/>
    <w:rsid w:val="1BC3089B"/>
    <w:rsid w:val="27FA92F7"/>
    <w:rsid w:val="2BF7DC52"/>
    <w:rsid w:val="3DB788F4"/>
    <w:rsid w:val="3DD72D3D"/>
    <w:rsid w:val="3EBB5FD4"/>
    <w:rsid w:val="4C650094"/>
    <w:rsid w:val="53B63C7B"/>
    <w:rsid w:val="55E75096"/>
    <w:rsid w:val="5D020236"/>
    <w:rsid w:val="604D1540"/>
    <w:rsid w:val="68C857DA"/>
    <w:rsid w:val="6B81705D"/>
    <w:rsid w:val="6CD15EB9"/>
    <w:rsid w:val="6FEF8876"/>
    <w:rsid w:val="75FFD8FF"/>
    <w:rsid w:val="782053D4"/>
    <w:rsid w:val="7BB34322"/>
    <w:rsid w:val="7DCF4AE3"/>
    <w:rsid w:val="7EFFEDD3"/>
    <w:rsid w:val="7FBFB677"/>
    <w:rsid w:val="7FC84502"/>
    <w:rsid w:val="7FFD6AE7"/>
    <w:rsid w:val="8FFB247A"/>
    <w:rsid w:val="AF7F4EB0"/>
    <w:rsid w:val="B7DF1F7D"/>
    <w:rsid w:val="B9FEE1F6"/>
    <w:rsid w:val="BDFF0BAF"/>
    <w:rsid w:val="DBFF77F9"/>
    <w:rsid w:val="DEEF1C34"/>
    <w:rsid w:val="DF741723"/>
    <w:rsid w:val="E7F77114"/>
    <w:rsid w:val="EFD7FA2A"/>
    <w:rsid w:val="F9DF5B6D"/>
    <w:rsid w:val="F9ED6426"/>
    <w:rsid w:val="FA5C21EF"/>
    <w:rsid w:val="FF37EB99"/>
    <w:rsid w:val="FFBB83AD"/>
    <w:rsid w:val="FFE7A48F"/>
    <w:rsid w:val="FFFEE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2527</Words>
  <Characters>2566</Characters>
  <Lines>1</Lines>
  <Paragraphs>1</Paragraphs>
  <TotalTime>5</TotalTime>
  <ScaleCrop>false</ScaleCrop>
  <LinksUpToDate>false</LinksUpToDate>
  <CharactersWithSpaces>2566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2008-09-18T01:20:00Z</dcterms:created>
  <dc:creator>Administrator</dc:creator>
  <cp:lastModifiedBy>thtf</cp:lastModifiedBy>
  <cp:lastPrinted>2023-02-20T23:07:00Z</cp:lastPrinted>
  <dcterms:modified xsi:type="dcterms:W3CDTF">2023-07-18T14:15:11Z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033E6E322801437F9BE1560D128D71B0_13</vt:lpwstr>
  </property>
</Properties>
</file>