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640" w:firstLineChars="200"/>
        <w:rPr>
          <w:rFonts w:ascii="Times New Roman" w:hAnsi="Times New Roman" w:eastAsia="黑体" w:cs="Times New Roman"/>
          <w:sz w:val="32"/>
          <w:szCs w:val="32"/>
        </w:rPr>
      </w:pP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关于支持制造业高质量发展的</w:t>
      </w:r>
      <w:r>
        <w:rPr>
          <w:rFonts w:hint="eastAsia" w:ascii="Times New Roman" w:hAnsi="Times New Roman" w:eastAsia="方正小标宋简体" w:cs="Times New Roman"/>
          <w:sz w:val="44"/>
          <w:szCs w:val="44"/>
        </w:rPr>
        <w:t>政策措施</w:t>
      </w: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（征求意见稿）</w:t>
      </w:r>
    </w:p>
    <w:p>
      <w:pPr>
        <w:spacing w:line="600" w:lineRule="exact"/>
        <w:ind w:firstLine="640" w:firstLineChars="200"/>
        <w:rPr>
          <w:rFonts w:ascii="Times New Roman" w:hAnsi="Times New Roman" w:eastAsia="黑体" w:cs="Times New Roman"/>
          <w:sz w:val="32"/>
          <w:szCs w:val="32"/>
        </w:rPr>
      </w:pPr>
    </w:p>
    <w:p>
      <w:pPr>
        <w:spacing w:line="600" w:lineRule="exact"/>
        <w:ind w:firstLine="643" w:firstLineChars="200"/>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为深入贯彻落实“制造强市”战略，加快推进“231”产业集群发展，打造高能级现代产业体系，制定本政策</w:t>
      </w:r>
      <w:r>
        <w:rPr>
          <w:rFonts w:hint="eastAsia" w:ascii="Times New Roman" w:hAnsi="Times New Roman" w:eastAsia="方正仿宋简体" w:cs="Times New Roman"/>
          <w:b/>
          <w:bCs/>
          <w:sz w:val="32"/>
          <w:szCs w:val="32"/>
        </w:rPr>
        <w:t>措施</w:t>
      </w:r>
      <w:r>
        <w:rPr>
          <w:rFonts w:ascii="Times New Roman" w:hAnsi="Times New Roman" w:eastAsia="方正仿宋简体" w:cs="Times New Roman"/>
          <w:b/>
          <w:bCs/>
          <w:sz w:val="32"/>
          <w:szCs w:val="32"/>
        </w:rPr>
        <w:t>。</w:t>
      </w:r>
    </w:p>
    <w:p>
      <w:pPr>
        <w:spacing w:line="600" w:lineRule="exact"/>
        <w:ind w:firstLine="643" w:firstLineChars="200"/>
        <w:rPr>
          <w:rFonts w:ascii="Times New Roman" w:hAnsi="Times New Roman" w:eastAsia="黑体" w:cs="Times New Roman"/>
          <w:b/>
          <w:bCs/>
          <w:sz w:val="32"/>
          <w:szCs w:val="32"/>
        </w:rPr>
      </w:pPr>
      <w:r>
        <w:rPr>
          <w:rFonts w:ascii="Times New Roman" w:hAnsi="Times New Roman" w:eastAsia="黑体" w:cs="Times New Roman"/>
          <w:b/>
          <w:bCs/>
          <w:sz w:val="32"/>
          <w:szCs w:val="32"/>
        </w:rPr>
        <w:t>一、加快企业主体培育提升</w:t>
      </w:r>
    </w:p>
    <w:p>
      <w:pPr>
        <w:spacing w:line="600" w:lineRule="exact"/>
        <w:ind w:firstLine="643" w:firstLineChars="200"/>
        <w:rPr>
          <w:rFonts w:ascii="Times New Roman" w:hAnsi="Times New Roman" w:eastAsia="方正仿宋简体" w:cs="Times New Roman"/>
          <w:b/>
          <w:bCs/>
          <w:sz w:val="32"/>
          <w:szCs w:val="32"/>
        </w:rPr>
      </w:pPr>
      <w:r>
        <w:rPr>
          <w:rFonts w:ascii="Times New Roman" w:hAnsi="Times New Roman" w:eastAsia="方正楷体简体" w:cs="Times New Roman"/>
          <w:b/>
          <w:bCs/>
          <w:sz w:val="32"/>
          <w:szCs w:val="32"/>
        </w:rPr>
        <w:t>1.实施企业攀登计划。</w:t>
      </w:r>
      <w:r>
        <w:rPr>
          <w:rFonts w:ascii="Times New Roman" w:hAnsi="Times New Roman" w:eastAsia="方正仿宋简体" w:cs="Times New Roman"/>
          <w:b/>
          <w:bCs/>
          <w:sz w:val="32"/>
          <w:szCs w:val="32"/>
        </w:rPr>
        <w:t>对列入攀登计划的龙头企业、领军企业、骨干企业、高成长性企业，市、县财政最高可按照企业较上年度新增税收地方留成部分（市县两级），全部奖励给企业用于扩大再生产；对营业收入首次突破10亿元、20亿元、30亿元、50亿元、100亿元</w:t>
      </w:r>
      <w:r>
        <w:rPr>
          <w:rFonts w:hint="eastAsia" w:ascii="Times New Roman" w:hAnsi="Times New Roman" w:eastAsia="方正仿宋简体" w:cs="Times New Roman"/>
          <w:b/>
          <w:bCs/>
          <w:sz w:val="32"/>
          <w:szCs w:val="32"/>
          <w:highlight w:val="none"/>
        </w:rPr>
        <w:t>和1</w:t>
      </w:r>
      <w:r>
        <w:rPr>
          <w:rFonts w:ascii="Times New Roman" w:hAnsi="Times New Roman" w:eastAsia="方正仿宋简体" w:cs="Times New Roman"/>
          <w:b/>
          <w:bCs/>
          <w:sz w:val="32"/>
          <w:szCs w:val="32"/>
          <w:highlight w:val="none"/>
        </w:rPr>
        <w:t>00</w:t>
      </w:r>
      <w:r>
        <w:rPr>
          <w:rFonts w:hint="eastAsia" w:ascii="Times New Roman" w:hAnsi="Times New Roman" w:eastAsia="方正仿宋简体" w:cs="Times New Roman"/>
          <w:b/>
          <w:bCs/>
          <w:sz w:val="32"/>
          <w:szCs w:val="32"/>
          <w:highlight w:val="none"/>
        </w:rPr>
        <w:t>亿元以上企业营业收入每新增1</w:t>
      </w:r>
      <w:r>
        <w:rPr>
          <w:rFonts w:ascii="Times New Roman" w:hAnsi="Times New Roman" w:eastAsia="方正仿宋简体" w:cs="Times New Roman"/>
          <w:b/>
          <w:bCs/>
          <w:sz w:val="32"/>
          <w:szCs w:val="32"/>
          <w:highlight w:val="none"/>
        </w:rPr>
        <w:t>00</w:t>
      </w:r>
      <w:r>
        <w:rPr>
          <w:rFonts w:hint="eastAsia" w:ascii="Times New Roman" w:hAnsi="Times New Roman" w:eastAsia="方正仿宋简体" w:cs="Times New Roman"/>
          <w:b/>
          <w:bCs/>
          <w:sz w:val="32"/>
          <w:szCs w:val="32"/>
          <w:highlight w:val="none"/>
        </w:rPr>
        <w:t>亿元的企业</w:t>
      </w:r>
      <w:r>
        <w:rPr>
          <w:rFonts w:hint="eastAsia" w:ascii="Times New Roman" w:hAnsi="Times New Roman" w:eastAsia="方正仿宋简体" w:cs="Times New Roman"/>
          <w:b/>
          <w:bCs/>
          <w:sz w:val="32"/>
          <w:szCs w:val="32"/>
        </w:rPr>
        <w:t>，</w:t>
      </w:r>
      <w:r>
        <w:rPr>
          <w:rFonts w:ascii="Times New Roman" w:hAnsi="Times New Roman" w:eastAsia="方正仿宋简体" w:cs="Times New Roman"/>
          <w:b/>
          <w:bCs/>
          <w:sz w:val="32"/>
          <w:szCs w:val="32"/>
        </w:rPr>
        <w:t>结合营业收入、地方税收、吸纳就业人数等指标增量与增幅，市财政给予一次性奖励，最高500万元；对新进入全国制造业500强的企业、新进入中国民营企业500强的企业，市财政一次性奖励企业领导班子</w:t>
      </w:r>
      <w:r>
        <w:rPr>
          <w:rFonts w:hint="eastAsia" w:ascii="Times New Roman" w:hAnsi="Times New Roman" w:eastAsia="方正仿宋简体" w:cs="Times New Roman"/>
          <w:b/>
          <w:bCs/>
          <w:sz w:val="32"/>
          <w:szCs w:val="32"/>
          <w:lang w:val="en-US" w:eastAsia="zh-CN"/>
        </w:rPr>
        <w:t>2</w:t>
      </w:r>
      <w:r>
        <w:rPr>
          <w:rFonts w:ascii="Times New Roman" w:hAnsi="Times New Roman" w:eastAsia="方正仿宋简体" w:cs="Times New Roman"/>
          <w:b/>
          <w:bCs/>
          <w:sz w:val="32"/>
          <w:szCs w:val="32"/>
        </w:rPr>
        <w:t>00万元，其中法人代表不少于60%</w:t>
      </w:r>
      <w:r>
        <w:rPr>
          <w:rFonts w:hint="eastAsia" w:ascii="Times New Roman" w:hAnsi="Times New Roman" w:eastAsia="方正仿宋简体" w:cs="Times New Roman"/>
          <w:b/>
          <w:bCs/>
          <w:sz w:val="32"/>
          <w:szCs w:val="32"/>
        </w:rPr>
        <w:t>。</w:t>
      </w:r>
      <w:r>
        <w:rPr>
          <w:rFonts w:ascii="Times New Roman" w:hAnsi="Times New Roman" w:eastAsia="方正仿宋简体" w:cs="Times New Roman"/>
          <w:b/>
          <w:bCs/>
          <w:sz w:val="32"/>
          <w:szCs w:val="32"/>
        </w:rPr>
        <w:t>（牵头单位：各县（市、区）政府、管委会，市工信局、市财政局</w:t>
      </w:r>
      <w:r>
        <w:rPr>
          <w:rFonts w:hint="eastAsia" w:ascii="Times New Roman" w:hAnsi="Times New Roman" w:eastAsia="方正仿宋简体" w:cs="Times New Roman"/>
          <w:b/>
          <w:bCs/>
          <w:sz w:val="32"/>
          <w:szCs w:val="32"/>
          <w:lang w:eastAsia="zh-CN"/>
        </w:rPr>
        <w:t>、市税务局</w:t>
      </w:r>
      <w:bookmarkStart w:id="0" w:name="_GoBack"/>
      <w:bookmarkEnd w:id="0"/>
      <w:r>
        <w:rPr>
          <w:rFonts w:ascii="Times New Roman" w:hAnsi="Times New Roman" w:eastAsia="方正仿宋简体" w:cs="Times New Roman"/>
          <w:b/>
          <w:bCs/>
          <w:sz w:val="32"/>
          <w:szCs w:val="32"/>
        </w:rPr>
        <w:t>）</w:t>
      </w:r>
    </w:p>
    <w:p>
      <w:pPr>
        <w:spacing w:line="600" w:lineRule="exact"/>
        <w:ind w:firstLine="643" w:firstLineChars="200"/>
        <w:rPr>
          <w:rFonts w:ascii="Times New Roman" w:hAnsi="Times New Roman" w:eastAsia="方正仿宋简体" w:cs="Times New Roman"/>
          <w:b/>
          <w:bCs/>
          <w:sz w:val="32"/>
          <w:szCs w:val="32"/>
        </w:rPr>
      </w:pPr>
      <w:r>
        <w:rPr>
          <w:rFonts w:ascii="Times New Roman" w:hAnsi="Times New Roman" w:eastAsia="方正楷体简体" w:cs="Times New Roman"/>
          <w:b/>
          <w:bCs/>
          <w:sz w:val="32"/>
          <w:szCs w:val="32"/>
        </w:rPr>
        <w:t>2.实施高成长性企业培育总额奖补。</w:t>
      </w:r>
      <w:r>
        <w:rPr>
          <w:rFonts w:ascii="Times New Roman" w:hAnsi="Times New Roman" w:eastAsia="方正仿宋简体" w:cs="Times New Roman"/>
          <w:b/>
          <w:bCs/>
          <w:sz w:val="32"/>
          <w:szCs w:val="32"/>
        </w:rPr>
        <w:t>每年按照升规纳统（制造业、服务业）、瞪羚、专精特新、单项冠军、</w:t>
      </w:r>
      <w:r>
        <w:rPr>
          <w:rFonts w:ascii="Times New Roman" w:hAnsi="Times New Roman" w:eastAsia="方正仿宋简体" w:cs="Times New Roman"/>
          <w:b/>
          <w:bCs/>
          <w:sz w:val="32"/>
          <w:szCs w:val="32"/>
          <w:highlight w:val="none"/>
        </w:rPr>
        <w:t>技术创新示范、智能制造示范</w:t>
      </w:r>
      <w:r>
        <w:rPr>
          <w:rFonts w:ascii="Times New Roman" w:hAnsi="Times New Roman" w:eastAsia="方正仿宋简体" w:cs="Times New Roman"/>
          <w:b/>
          <w:bCs/>
          <w:sz w:val="32"/>
          <w:szCs w:val="32"/>
        </w:rPr>
        <w:t>等企业培育数量，以及公共服务示范平台数量、质量等，按照增幅占比等因素，对县（市、区）实施综合评价，市财政对排名前3名的县（市、区）分别给予500万元、300万元、100万元的奖励。（牵头单位：</w:t>
      </w:r>
      <w:r>
        <w:rPr>
          <w:rFonts w:hint="eastAsia" w:ascii="Times New Roman" w:hAnsi="Times New Roman" w:eastAsia="方正仿宋简体" w:cs="Times New Roman"/>
          <w:b/>
          <w:bCs/>
          <w:sz w:val="32"/>
          <w:szCs w:val="32"/>
          <w:lang w:eastAsia="zh-CN"/>
        </w:rPr>
        <w:t>市发改委、</w:t>
      </w:r>
      <w:r>
        <w:rPr>
          <w:rFonts w:ascii="Times New Roman" w:hAnsi="Times New Roman" w:eastAsia="方正仿宋简体" w:cs="Times New Roman"/>
          <w:b/>
          <w:bCs/>
          <w:sz w:val="32"/>
          <w:szCs w:val="32"/>
        </w:rPr>
        <w:t>市工信局、市财政局）</w:t>
      </w:r>
    </w:p>
    <w:p>
      <w:pPr>
        <w:spacing w:line="600" w:lineRule="exact"/>
        <w:ind w:firstLine="643" w:firstLineChars="200"/>
        <w:rPr>
          <w:rFonts w:ascii="Times New Roman" w:hAnsi="Times New Roman" w:eastAsia="方正仿宋简体" w:cs="Times New Roman"/>
          <w:b/>
          <w:bCs/>
          <w:sz w:val="32"/>
          <w:szCs w:val="32"/>
        </w:rPr>
      </w:pPr>
      <w:r>
        <w:rPr>
          <w:rFonts w:ascii="Times New Roman" w:hAnsi="Times New Roman" w:eastAsia="方正楷体简体" w:cs="Times New Roman"/>
          <w:b/>
          <w:bCs/>
          <w:sz w:val="32"/>
          <w:szCs w:val="32"/>
        </w:rPr>
        <w:t>3.鼓励</w:t>
      </w:r>
      <w:r>
        <w:rPr>
          <w:rFonts w:hint="eastAsia" w:ascii="Times New Roman" w:hAnsi="Times New Roman" w:eastAsia="方正楷体简体" w:cs="Times New Roman"/>
          <w:b/>
          <w:bCs/>
          <w:sz w:val="32"/>
          <w:szCs w:val="32"/>
          <w:highlight w:val="none"/>
        </w:rPr>
        <w:t>中小企业服务</w:t>
      </w:r>
      <w:r>
        <w:rPr>
          <w:rFonts w:ascii="Times New Roman" w:hAnsi="Times New Roman" w:eastAsia="方正楷体简体" w:cs="Times New Roman"/>
          <w:b/>
          <w:bCs/>
          <w:sz w:val="32"/>
          <w:szCs w:val="32"/>
          <w:highlight w:val="none"/>
        </w:rPr>
        <w:t>示</w:t>
      </w:r>
      <w:r>
        <w:rPr>
          <w:rFonts w:ascii="Times New Roman" w:hAnsi="Times New Roman" w:eastAsia="方正楷体简体" w:cs="Times New Roman"/>
          <w:b/>
          <w:bCs/>
          <w:sz w:val="32"/>
          <w:szCs w:val="32"/>
        </w:rPr>
        <w:t>范平台创建。</w:t>
      </w:r>
      <w:r>
        <w:rPr>
          <w:rFonts w:ascii="Times New Roman" w:hAnsi="Times New Roman" w:eastAsia="方正仿宋简体" w:cs="Times New Roman"/>
          <w:b/>
          <w:bCs/>
          <w:sz w:val="32"/>
          <w:szCs w:val="32"/>
        </w:rPr>
        <w:t>对首次认定的国家级（省级）特色产业集群、小型微型企业创业创新示范基地、中小企业公共服务示范平台，市财政给予最高100（50）万元一次性奖励。（牵头单位：市工信局、市财政局）</w:t>
      </w:r>
    </w:p>
    <w:p>
      <w:pPr>
        <w:spacing w:line="600" w:lineRule="exact"/>
        <w:ind w:firstLine="643" w:firstLineChars="200"/>
        <w:rPr>
          <w:rFonts w:ascii="Times New Roman" w:hAnsi="Times New Roman" w:eastAsia="方正仿宋简体" w:cs="Times New Roman"/>
          <w:b/>
          <w:bCs/>
          <w:sz w:val="32"/>
          <w:szCs w:val="32"/>
        </w:rPr>
      </w:pPr>
      <w:r>
        <w:rPr>
          <w:rFonts w:hint="eastAsia" w:ascii="Times New Roman" w:hAnsi="Times New Roman" w:eastAsia="方正楷体简体" w:cs="Times New Roman"/>
          <w:b/>
          <w:bCs/>
          <w:sz w:val="32"/>
          <w:szCs w:val="32"/>
        </w:rPr>
        <w:t>4</w:t>
      </w:r>
      <w:r>
        <w:rPr>
          <w:rFonts w:ascii="Times New Roman" w:hAnsi="Times New Roman" w:eastAsia="方正楷体简体" w:cs="Times New Roman"/>
          <w:b/>
          <w:bCs/>
          <w:sz w:val="32"/>
          <w:szCs w:val="32"/>
        </w:rPr>
        <w:t>.支持企业开拓国内市场。</w:t>
      </w:r>
      <w:r>
        <w:rPr>
          <w:rFonts w:ascii="Times New Roman" w:hAnsi="Times New Roman" w:eastAsia="方正仿宋简体" w:cs="Times New Roman"/>
          <w:b/>
          <w:bCs/>
          <w:sz w:val="32"/>
          <w:szCs w:val="32"/>
        </w:rPr>
        <w:t>市财政对企业参加国家部委或省、市政府统一组织的重大境内展示展览会（广交会等除外）的展位费给予全额补助。（牵头单位：市工信局、市商务局、市财政局）</w:t>
      </w:r>
    </w:p>
    <w:p>
      <w:pPr>
        <w:spacing w:line="600" w:lineRule="exact"/>
        <w:ind w:firstLine="643" w:firstLineChars="200"/>
        <w:rPr>
          <w:rFonts w:ascii="Times New Roman" w:hAnsi="Times New Roman" w:eastAsia="方正仿宋简体" w:cs="Times New Roman"/>
          <w:b/>
          <w:bCs/>
          <w:sz w:val="32"/>
          <w:szCs w:val="32"/>
        </w:rPr>
      </w:pPr>
      <w:r>
        <w:rPr>
          <w:rFonts w:hint="eastAsia" w:ascii="Times New Roman" w:hAnsi="Times New Roman" w:eastAsia="方正楷体简体" w:cs="Times New Roman"/>
          <w:b/>
          <w:bCs/>
          <w:sz w:val="32"/>
          <w:szCs w:val="32"/>
        </w:rPr>
        <w:t>5</w:t>
      </w:r>
      <w:r>
        <w:rPr>
          <w:rFonts w:ascii="Times New Roman" w:hAnsi="Times New Roman" w:eastAsia="方正楷体简体" w:cs="Times New Roman"/>
          <w:b/>
          <w:bCs/>
          <w:sz w:val="32"/>
          <w:szCs w:val="32"/>
        </w:rPr>
        <w:t>.强化企业家队伍建设。</w:t>
      </w:r>
      <w:r>
        <w:rPr>
          <w:rFonts w:ascii="Times New Roman" w:hAnsi="Times New Roman" w:eastAsia="方正仿宋简体" w:cs="Times New Roman"/>
          <w:b/>
          <w:bCs/>
          <w:sz w:val="32"/>
          <w:szCs w:val="32"/>
        </w:rPr>
        <w:t>市财政每年安排600万元，用于开展企业高管年度培训；遴选优秀科技型企业家到高校院所、金融机构学习交流；组织有成长潜力的新生代企业家赴海内外知名高校、企业培训考察。（牵头单位：市工信局、市财政局）</w:t>
      </w:r>
    </w:p>
    <w:p>
      <w:pPr>
        <w:spacing w:line="600" w:lineRule="exact"/>
        <w:ind w:firstLine="643" w:firstLineChars="200"/>
        <w:rPr>
          <w:rFonts w:ascii="Times New Roman" w:hAnsi="Times New Roman" w:eastAsia="黑体" w:cs="Times New Roman"/>
          <w:b/>
          <w:bCs/>
          <w:sz w:val="32"/>
          <w:szCs w:val="32"/>
        </w:rPr>
      </w:pPr>
      <w:r>
        <w:rPr>
          <w:rFonts w:hint="eastAsia" w:ascii="Times New Roman" w:hAnsi="Times New Roman" w:eastAsia="黑体" w:cs="Times New Roman"/>
          <w:b/>
          <w:bCs/>
          <w:sz w:val="32"/>
          <w:szCs w:val="32"/>
        </w:rPr>
        <w:t>二</w:t>
      </w:r>
      <w:r>
        <w:rPr>
          <w:rFonts w:ascii="Times New Roman" w:hAnsi="Times New Roman" w:eastAsia="黑体" w:cs="Times New Roman"/>
          <w:b/>
          <w:bCs/>
          <w:sz w:val="32"/>
          <w:szCs w:val="32"/>
        </w:rPr>
        <w:t>、支持企业技术改造</w:t>
      </w:r>
    </w:p>
    <w:p>
      <w:pPr>
        <w:spacing w:line="600" w:lineRule="exact"/>
        <w:ind w:firstLine="643" w:firstLineChars="200"/>
        <w:rPr>
          <w:rFonts w:ascii="Times New Roman" w:hAnsi="Times New Roman" w:eastAsia="方正仿宋简体" w:cs="Times New Roman"/>
          <w:b/>
          <w:bCs/>
          <w:sz w:val="32"/>
          <w:szCs w:val="32"/>
        </w:rPr>
      </w:pPr>
      <w:r>
        <w:rPr>
          <w:rFonts w:hint="eastAsia" w:ascii="Times New Roman" w:hAnsi="Times New Roman" w:eastAsia="方正楷体简体" w:cs="Times New Roman"/>
          <w:b/>
          <w:bCs/>
          <w:sz w:val="32"/>
          <w:szCs w:val="32"/>
        </w:rPr>
        <w:t>6</w:t>
      </w:r>
      <w:r>
        <w:rPr>
          <w:rFonts w:ascii="Times New Roman" w:hAnsi="Times New Roman" w:eastAsia="方正楷体简体" w:cs="Times New Roman"/>
          <w:b/>
          <w:bCs/>
          <w:sz w:val="32"/>
          <w:szCs w:val="32"/>
        </w:rPr>
        <w:t>.实施重大技改项目贷款贴息。</w:t>
      </w:r>
      <w:r>
        <w:rPr>
          <w:rFonts w:ascii="Times New Roman" w:hAnsi="Times New Roman" w:eastAsia="方正仿宋简体" w:cs="Times New Roman"/>
          <w:b/>
          <w:bCs/>
          <w:sz w:val="32"/>
          <w:szCs w:val="32"/>
        </w:rPr>
        <w:t>对列入省级重大工业技改项目，项目竣工投产后，在省财政按照银行最新一期的一年期贷款市场报价利率（LPR）的35%给予最高2000万元支持的基础上，市、县财政各按照LPR的10%再给予最高1000万元支持；对“231”产业集群中列入市级重大技改项目，在项目竣工投产后，市、县财政各按照银行最新一期的一年期贷款市场报价利率（LPR）的20%、20%给予最高500万元支持。（牵头单位：各县（市、区）政府、管委会，市工信局、市财政局）</w:t>
      </w:r>
    </w:p>
    <w:p>
      <w:pPr>
        <w:spacing w:line="600" w:lineRule="exact"/>
        <w:ind w:firstLine="643" w:firstLineChars="200"/>
        <w:rPr>
          <w:rFonts w:ascii="Times New Roman" w:hAnsi="Times New Roman" w:eastAsia="方正仿宋简体" w:cs="Times New Roman"/>
          <w:b/>
          <w:bCs/>
          <w:sz w:val="32"/>
          <w:szCs w:val="32"/>
        </w:rPr>
      </w:pPr>
      <w:r>
        <w:rPr>
          <w:rFonts w:hint="eastAsia" w:ascii="Times New Roman" w:hAnsi="Times New Roman" w:eastAsia="方正楷体简体" w:cs="Times New Roman"/>
          <w:b/>
          <w:bCs/>
          <w:sz w:val="32"/>
          <w:szCs w:val="32"/>
        </w:rPr>
        <w:t>7</w:t>
      </w:r>
      <w:r>
        <w:rPr>
          <w:rFonts w:ascii="Times New Roman" w:hAnsi="Times New Roman" w:eastAsia="方正楷体简体" w:cs="Times New Roman"/>
          <w:b/>
          <w:bCs/>
          <w:sz w:val="32"/>
          <w:szCs w:val="32"/>
        </w:rPr>
        <w:t>.鼓励企业智能化、绿色化和安全生产技术改造。</w:t>
      </w:r>
      <w:r>
        <w:rPr>
          <w:rFonts w:ascii="Times New Roman" w:hAnsi="Times New Roman" w:eastAsia="方正仿宋简体" w:cs="Times New Roman"/>
          <w:b/>
          <w:bCs/>
          <w:sz w:val="32"/>
          <w:szCs w:val="32"/>
        </w:rPr>
        <w:t>对“231”产业集群企业（下同）实施的投资500万元以上智能化技术改造项目(软件部分，单项购置费在10万元以上，且总额不低于100万元)，市财政按照不超过10%的比例给予支持，单户企业最高100万元；对企业实施的500万元以上绿色化改造项目，市财政按照不超过10%的比例给予支持，单户企业最高100万元；对企业实施的500万元以上安全生产改造项目，市财政按照不超过10%的比例给予支持，单户企业最高200万元。（牵头单位：市工信局、市财政局）</w:t>
      </w:r>
    </w:p>
    <w:p>
      <w:pPr>
        <w:spacing w:line="600" w:lineRule="exact"/>
        <w:ind w:firstLine="643" w:firstLineChars="200"/>
        <w:rPr>
          <w:rFonts w:ascii="Times New Roman" w:hAnsi="Times New Roman" w:eastAsia="方正仿宋简体" w:cs="Times New Roman"/>
          <w:b/>
          <w:bCs/>
          <w:sz w:val="32"/>
          <w:szCs w:val="32"/>
        </w:rPr>
      </w:pPr>
      <w:r>
        <w:rPr>
          <w:rFonts w:hint="eastAsia" w:ascii="Times New Roman" w:hAnsi="Times New Roman" w:eastAsia="方正楷体简体" w:cs="Times New Roman"/>
          <w:b/>
          <w:bCs/>
          <w:sz w:val="32"/>
          <w:szCs w:val="32"/>
        </w:rPr>
        <w:t>8</w:t>
      </w:r>
      <w:r>
        <w:rPr>
          <w:rFonts w:ascii="Times New Roman" w:hAnsi="Times New Roman" w:eastAsia="方正楷体简体" w:cs="Times New Roman"/>
          <w:b/>
          <w:bCs/>
          <w:sz w:val="32"/>
          <w:szCs w:val="32"/>
        </w:rPr>
        <w:t>.加快传统产业改造提升。</w:t>
      </w:r>
      <w:r>
        <w:rPr>
          <w:rFonts w:ascii="Times New Roman" w:hAnsi="Times New Roman" w:eastAsia="方正仿宋简体" w:cs="Times New Roman"/>
          <w:b/>
          <w:bCs/>
          <w:sz w:val="32"/>
          <w:szCs w:val="32"/>
        </w:rPr>
        <w:t>对当年内设备投资额达到2000万元(“零增地”项目1000万元)以上的技改项目,市财政按设备投入额的3%给予奖励，单个企业最高300万元。（牵头单位：市工信局、市财政局）</w:t>
      </w:r>
    </w:p>
    <w:p>
      <w:pPr>
        <w:spacing w:line="600" w:lineRule="exact"/>
        <w:ind w:firstLine="642"/>
        <w:rPr>
          <w:rFonts w:ascii="Times New Roman" w:hAnsi="Times New Roman" w:eastAsia="方正仿宋简体" w:cs="Times New Roman"/>
          <w:b/>
          <w:bCs/>
          <w:sz w:val="32"/>
          <w:szCs w:val="32"/>
        </w:rPr>
      </w:pPr>
      <w:r>
        <w:rPr>
          <w:rFonts w:hint="eastAsia" w:ascii="Times New Roman" w:hAnsi="Times New Roman" w:eastAsia="方正楷体简体" w:cs="Times New Roman"/>
          <w:b/>
          <w:bCs/>
          <w:sz w:val="32"/>
          <w:szCs w:val="32"/>
        </w:rPr>
        <w:t>9</w:t>
      </w:r>
      <w:r>
        <w:rPr>
          <w:rFonts w:ascii="Times New Roman" w:hAnsi="Times New Roman" w:eastAsia="方正楷体简体" w:cs="Times New Roman"/>
          <w:b/>
          <w:bCs/>
          <w:sz w:val="32"/>
          <w:szCs w:val="32"/>
        </w:rPr>
        <w:t>.发挥工业技改投资基金作用。</w:t>
      </w:r>
      <w:r>
        <w:rPr>
          <w:rFonts w:ascii="Times New Roman" w:hAnsi="Times New Roman" w:eastAsia="方正仿宋简体" w:cs="Times New Roman"/>
          <w:b/>
          <w:bCs/>
          <w:sz w:val="32"/>
          <w:szCs w:val="32"/>
        </w:rPr>
        <w:t>加快工业技改投资基金实体化运作，采用市场化手段推进企业重大技改项目建设，重点投向全市“十百千”项目企业和“231”产业集群，集中支持实施企业“设备换芯、生产换线、机器换人”。（牵头单位：市工信局、市财政局）</w:t>
      </w:r>
    </w:p>
    <w:p>
      <w:pPr>
        <w:spacing w:line="600" w:lineRule="exact"/>
        <w:ind w:firstLine="643" w:firstLineChars="200"/>
        <w:rPr>
          <w:rFonts w:ascii="Times New Roman" w:hAnsi="Times New Roman" w:eastAsia="黑体" w:cs="Times New Roman"/>
          <w:b/>
          <w:bCs/>
          <w:sz w:val="32"/>
          <w:szCs w:val="32"/>
        </w:rPr>
      </w:pPr>
      <w:r>
        <w:rPr>
          <w:rFonts w:hint="eastAsia" w:ascii="Times New Roman" w:hAnsi="Times New Roman" w:eastAsia="黑体" w:cs="Times New Roman"/>
          <w:b/>
          <w:bCs/>
          <w:sz w:val="32"/>
          <w:szCs w:val="32"/>
        </w:rPr>
        <w:t>三、支持企业创新发展</w:t>
      </w:r>
    </w:p>
    <w:p>
      <w:pPr>
        <w:spacing w:line="600" w:lineRule="exact"/>
        <w:ind w:firstLine="675" w:firstLineChars="200"/>
        <w:rPr>
          <w:rFonts w:ascii="Times New Roman" w:hAnsi="Times New Roman" w:eastAsia="方正仿宋简体" w:cs="Times New Roman"/>
          <w:b/>
          <w:bCs/>
          <w:sz w:val="32"/>
          <w:szCs w:val="32"/>
          <w:highlight w:val="yellow"/>
        </w:rPr>
      </w:pPr>
      <w:r>
        <w:rPr>
          <w:rFonts w:ascii="Times New Roman" w:hAnsi="Times New Roman" w:eastAsia="方正楷体简体" w:cs="Times New Roman"/>
          <w:b/>
          <w:bCs/>
          <w:spacing w:val="8"/>
          <w:kern w:val="0"/>
          <w:sz w:val="32"/>
          <w:szCs w:val="32"/>
          <w:highlight w:val="none"/>
        </w:rPr>
        <w:t>10.鼓励企业</w:t>
      </w:r>
      <w:r>
        <w:rPr>
          <w:rFonts w:hint="eastAsia" w:ascii="Times New Roman" w:hAnsi="Times New Roman" w:eastAsia="方正楷体简体" w:cs="Times New Roman"/>
          <w:b/>
          <w:bCs/>
          <w:spacing w:val="8"/>
          <w:kern w:val="0"/>
          <w:sz w:val="32"/>
          <w:szCs w:val="32"/>
          <w:highlight w:val="none"/>
        </w:rPr>
        <w:t>完善提升</w:t>
      </w:r>
      <w:r>
        <w:rPr>
          <w:rFonts w:ascii="Times New Roman" w:hAnsi="Times New Roman" w:eastAsia="方正楷体简体" w:cs="Times New Roman"/>
          <w:b/>
          <w:bCs/>
          <w:spacing w:val="8"/>
          <w:kern w:val="0"/>
          <w:sz w:val="32"/>
          <w:szCs w:val="32"/>
          <w:highlight w:val="none"/>
        </w:rPr>
        <w:t>创新</w:t>
      </w:r>
      <w:r>
        <w:rPr>
          <w:rFonts w:hint="eastAsia" w:ascii="Times New Roman" w:hAnsi="Times New Roman" w:eastAsia="方正楷体简体" w:cs="Times New Roman"/>
          <w:b/>
          <w:bCs/>
          <w:spacing w:val="8"/>
          <w:kern w:val="0"/>
          <w:sz w:val="32"/>
          <w:szCs w:val="32"/>
          <w:highlight w:val="none"/>
        </w:rPr>
        <w:t>平台</w:t>
      </w:r>
      <w:r>
        <w:rPr>
          <w:rFonts w:ascii="Times New Roman" w:hAnsi="Times New Roman" w:eastAsia="方正楷体简体" w:cs="Times New Roman"/>
          <w:b/>
          <w:bCs/>
          <w:spacing w:val="8"/>
          <w:kern w:val="0"/>
          <w:sz w:val="32"/>
          <w:szCs w:val="32"/>
          <w:highlight w:val="none"/>
        </w:rPr>
        <w:t>。</w:t>
      </w:r>
      <w:r>
        <w:rPr>
          <w:rFonts w:ascii="Times New Roman" w:hAnsi="Times New Roman" w:eastAsia="方正仿宋简体" w:cs="Times New Roman"/>
          <w:b/>
          <w:bCs/>
          <w:sz w:val="32"/>
          <w:szCs w:val="32"/>
          <w:highlight w:val="none"/>
        </w:rPr>
        <w:t>对企业新创建的国家制造业创新中心、工业设计中心，市财政分别给予300万元、200万元奖励</w:t>
      </w:r>
      <w:r>
        <w:rPr>
          <w:rFonts w:hint="eastAsia" w:ascii="Times New Roman" w:hAnsi="Times New Roman" w:eastAsia="方正仿宋简体" w:cs="Times New Roman"/>
          <w:b/>
          <w:bCs/>
          <w:sz w:val="32"/>
          <w:szCs w:val="32"/>
          <w:highlight w:val="none"/>
        </w:rPr>
        <w:t>；对国家制造业创新中心根据运行情况，每年再给予最高1000万元的建设补助，连续补助三年</w:t>
      </w:r>
      <w:r>
        <w:rPr>
          <w:rFonts w:hint="eastAsia" w:ascii="Times New Roman" w:hAnsi="Times New Roman" w:eastAsia="方正仿宋简体" w:cs="Times New Roman"/>
          <w:b/>
          <w:bCs/>
          <w:sz w:val="32"/>
          <w:szCs w:val="32"/>
          <w:highlight w:val="none"/>
          <w:lang w:eastAsia="zh-CN"/>
        </w:rPr>
        <w:t>；</w:t>
      </w:r>
      <w:r>
        <w:rPr>
          <w:rFonts w:ascii="Times New Roman" w:hAnsi="Times New Roman" w:eastAsia="方正仿宋简体" w:cs="Times New Roman"/>
          <w:b/>
          <w:bCs/>
          <w:spacing w:val="8"/>
          <w:kern w:val="0"/>
          <w:sz w:val="32"/>
          <w:szCs w:val="32"/>
          <w:highlight w:val="none"/>
        </w:rPr>
        <w:t>对获得中国工业</w:t>
      </w:r>
      <w:r>
        <w:rPr>
          <w:rFonts w:ascii="Times New Roman" w:hAnsi="Times New Roman" w:eastAsia="方正仿宋简体" w:cs="Times New Roman"/>
          <w:b/>
          <w:bCs/>
          <w:sz w:val="32"/>
          <w:szCs w:val="32"/>
          <w:highlight w:val="none"/>
        </w:rPr>
        <w:t>大奖（表彰奖、提名奖）的，市财政分别给予最高100（50、50）万元奖励</w:t>
      </w:r>
      <w:r>
        <w:rPr>
          <w:rFonts w:hint="eastAsia" w:ascii="Times New Roman" w:hAnsi="Times New Roman" w:eastAsia="方正仿宋简体" w:cs="Times New Roman"/>
          <w:b/>
          <w:bCs/>
          <w:sz w:val="32"/>
          <w:szCs w:val="32"/>
          <w:highlight w:val="none"/>
          <w:lang w:eastAsia="zh-CN"/>
        </w:rPr>
        <w:t>；</w:t>
      </w:r>
      <w:r>
        <w:rPr>
          <w:rFonts w:ascii="Times New Roman" w:hAnsi="Times New Roman" w:eastAsia="方正仿宋简体" w:cs="Times New Roman"/>
          <w:b/>
          <w:bCs/>
          <w:sz w:val="32"/>
          <w:szCs w:val="32"/>
          <w:highlight w:val="none"/>
        </w:rPr>
        <w:t>对获得中国优秀工业设计奖金奖(提名奖)的，市财政给予最高100(50)万元奖励</w:t>
      </w:r>
      <w:r>
        <w:rPr>
          <w:rFonts w:hint="eastAsia" w:ascii="Times New Roman" w:hAnsi="Times New Roman" w:eastAsia="方正仿宋简体" w:cs="Times New Roman"/>
          <w:b/>
          <w:bCs/>
          <w:sz w:val="32"/>
          <w:szCs w:val="32"/>
          <w:highlight w:val="none"/>
        </w:rPr>
        <w:t>；</w:t>
      </w:r>
      <w:r>
        <w:rPr>
          <w:rFonts w:ascii="Times New Roman" w:hAnsi="Times New Roman" w:eastAsia="方正仿宋简体" w:cs="Times New Roman"/>
          <w:b/>
          <w:bCs/>
          <w:sz w:val="32"/>
          <w:szCs w:val="32"/>
          <w:highlight w:val="none"/>
        </w:rPr>
        <w:t>（牵头单位：市工信局、市财政局）</w:t>
      </w:r>
    </w:p>
    <w:p>
      <w:pPr>
        <w:spacing w:line="600" w:lineRule="exact"/>
        <w:ind w:firstLine="643" w:firstLineChars="200"/>
        <w:rPr>
          <w:rFonts w:hint="eastAsia" w:ascii="Times New Roman" w:hAnsi="Times New Roman" w:eastAsia="方正仿宋简体" w:cs="Times New Roman"/>
          <w:b/>
          <w:bCs/>
          <w:sz w:val="32"/>
          <w:szCs w:val="32"/>
          <w:highlight w:val="none"/>
        </w:rPr>
      </w:pPr>
      <w:r>
        <w:rPr>
          <w:rFonts w:hint="eastAsia" w:ascii="Times New Roman" w:hAnsi="Times New Roman" w:eastAsia="方正楷体简体" w:cs="Times New Roman"/>
          <w:b/>
          <w:bCs/>
          <w:sz w:val="32"/>
          <w:szCs w:val="32"/>
          <w:highlight w:val="none"/>
        </w:rPr>
        <w:t>1</w:t>
      </w:r>
      <w:r>
        <w:rPr>
          <w:rFonts w:ascii="Times New Roman" w:hAnsi="Times New Roman" w:eastAsia="方正楷体简体" w:cs="Times New Roman"/>
          <w:b/>
          <w:bCs/>
          <w:sz w:val="32"/>
          <w:szCs w:val="32"/>
          <w:highlight w:val="none"/>
        </w:rPr>
        <w:t>1.支持企业加大研发投入。</w:t>
      </w:r>
      <w:r>
        <w:rPr>
          <w:rFonts w:ascii="Times New Roman" w:hAnsi="Times New Roman" w:eastAsia="方正仿宋简体" w:cs="Times New Roman"/>
          <w:b/>
          <w:bCs/>
          <w:sz w:val="32"/>
          <w:szCs w:val="32"/>
          <w:highlight w:val="none"/>
        </w:rPr>
        <w:t>对拥有市级及以上创新平台、研发投入占比3%以上的企业实施的投资</w:t>
      </w:r>
      <w:r>
        <w:rPr>
          <w:rFonts w:hint="eastAsia" w:ascii="Times New Roman" w:hAnsi="Times New Roman" w:eastAsia="方正仿宋简体" w:cs="Times New Roman"/>
          <w:b/>
          <w:bCs/>
          <w:sz w:val="32"/>
          <w:szCs w:val="32"/>
          <w:highlight w:val="none"/>
          <w:lang w:eastAsia="zh-CN"/>
        </w:rPr>
        <w:t>超过</w:t>
      </w:r>
      <w:r>
        <w:rPr>
          <w:rFonts w:ascii="Times New Roman" w:hAnsi="Times New Roman" w:eastAsia="方正仿宋简体" w:cs="Times New Roman"/>
          <w:b/>
          <w:bCs/>
          <w:sz w:val="32"/>
          <w:szCs w:val="32"/>
          <w:highlight w:val="none"/>
        </w:rPr>
        <w:t>500万元</w:t>
      </w:r>
      <w:r>
        <w:rPr>
          <w:rFonts w:hint="eastAsia" w:ascii="Times New Roman" w:hAnsi="Times New Roman" w:eastAsia="方正仿宋简体" w:cs="Times New Roman"/>
          <w:b/>
          <w:bCs/>
          <w:sz w:val="32"/>
          <w:szCs w:val="32"/>
          <w:highlight w:val="none"/>
          <w:lang w:eastAsia="zh-CN"/>
        </w:rPr>
        <w:t>的</w:t>
      </w:r>
      <w:r>
        <w:rPr>
          <w:rFonts w:ascii="Times New Roman" w:hAnsi="Times New Roman" w:eastAsia="方正仿宋简体" w:cs="Times New Roman"/>
          <w:b/>
          <w:bCs/>
          <w:sz w:val="32"/>
          <w:szCs w:val="32"/>
          <w:highlight w:val="none"/>
        </w:rPr>
        <w:t>省级以上创新计划项目，按照</w:t>
      </w:r>
      <w:r>
        <w:rPr>
          <w:rFonts w:hint="eastAsia" w:ascii="Times New Roman" w:hAnsi="Times New Roman" w:eastAsia="方正仿宋简体" w:cs="Times New Roman"/>
          <w:b/>
          <w:bCs/>
          <w:sz w:val="32"/>
          <w:szCs w:val="32"/>
          <w:highlight w:val="none"/>
        </w:rPr>
        <w:t>年度</w:t>
      </w:r>
      <w:r>
        <w:rPr>
          <w:rFonts w:ascii="Times New Roman" w:hAnsi="Times New Roman" w:eastAsia="方正仿宋简体" w:cs="Times New Roman"/>
          <w:b/>
          <w:bCs/>
          <w:sz w:val="32"/>
          <w:szCs w:val="32"/>
          <w:highlight w:val="none"/>
        </w:rPr>
        <w:t>实际研发投入的10%给予奖补，最高100万元</w:t>
      </w:r>
      <w:r>
        <w:rPr>
          <w:rFonts w:hint="eastAsia" w:ascii="Times New Roman" w:hAnsi="Times New Roman" w:eastAsia="方正仿宋简体" w:cs="Times New Roman"/>
          <w:b/>
          <w:bCs/>
          <w:sz w:val="32"/>
          <w:szCs w:val="32"/>
          <w:highlight w:val="none"/>
        </w:rPr>
        <w:t>，同一项目最多连续补助两年</w:t>
      </w:r>
      <w:r>
        <w:rPr>
          <w:rFonts w:hint="eastAsia" w:ascii="Times New Roman" w:hAnsi="Times New Roman" w:eastAsia="方正仿宋简体" w:cs="Times New Roman"/>
          <w:b/>
          <w:bCs/>
          <w:sz w:val="32"/>
          <w:szCs w:val="32"/>
          <w:highlight w:val="none"/>
          <w:lang w:eastAsia="zh-CN"/>
        </w:rPr>
        <w:t>；</w:t>
      </w:r>
      <w:r>
        <w:rPr>
          <w:rFonts w:ascii="Times New Roman" w:hAnsi="Times New Roman" w:eastAsia="方正仿宋简体" w:cs="Times New Roman"/>
          <w:b/>
          <w:bCs/>
          <w:sz w:val="32"/>
          <w:szCs w:val="32"/>
          <w:highlight w:val="none"/>
        </w:rPr>
        <w:t>对企业与科研院所、高校开展的100万元以上协同创新项目，按照企业实际支付研发费用（发票）的20%给予奖补，最高200万元</w:t>
      </w:r>
      <w:r>
        <w:rPr>
          <w:rFonts w:hint="eastAsia" w:ascii="Times New Roman" w:hAnsi="Times New Roman" w:eastAsia="方正仿宋简体" w:cs="Times New Roman"/>
          <w:b/>
          <w:bCs/>
          <w:sz w:val="32"/>
          <w:szCs w:val="32"/>
          <w:highlight w:val="none"/>
        </w:rPr>
        <w:t>，同一项目最多连续补助两年。</w:t>
      </w:r>
    </w:p>
    <w:p>
      <w:pPr>
        <w:spacing w:line="600" w:lineRule="exact"/>
        <w:ind w:firstLine="643" w:firstLineChars="200"/>
        <w:rPr>
          <w:rFonts w:eastAsia="方正仿宋简体" w:cs="Times New Roman"/>
          <w:b/>
          <w:bCs/>
          <w:sz w:val="32"/>
          <w:szCs w:val="32"/>
        </w:rPr>
      </w:pPr>
      <w:r>
        <w:rPr>
          <w:rFonts w:hint="eastAsia" w:ascii="Times New Roman" w:hAnsi="Times New Roman" w:eastAsia="方正楷体简体" w:cs="Times New Roman"/>
          <w:b/>
          <w:bCs/>
          <w:sz w:val="32"/>
          <w:szCs w:val="32"/>
          <w:highlight w:val="none"/>
        </w:rPr>
        <w:t>1</w:t>
      </w:r>
      <w:r>
        <w:rPr>
          <w:rFonts w:ascii="Times New Roman" w:hAnsi="Times New Roman" w:eastAsia="方正楷体简体" w:cs="Times New Roman"/>
          <w:b/>
          <w:bCs/>
          <w:sz w:val="32"/>
          <w:szCs w:val="32"/>
          <w:highlight w:val="none"/>
        </w:rPr>
        <w:t>2.鼓励产品创新。</w:t>
      </w:r>
      <w:r>
        <w:rPr>
          <w:rFonts w:ascii="Times New Roman" w:hAnsi="Times New Roman" w:eastAsia="方正仿宋简体" w:cs="Times New Roman"/>
          <w:b/>
          <w:bCs/>
          <w:sz w:val="32"/>
          <w:szCs w:val="32"/>
          <w:highlight w:val="none"/>
        </w:rPr>
        <w:t>对国家、省认定的首台(套)技术装备及关键核心零部件、首批(次)新材料、首版(次)软件，市财政分别给予20万元、10万元奖励；对获</w:t>
      </w:r>
      <w:r>
        <w:rPr>
          <w:rFonts w:ascii="Times New Roman" w:hAnsi="Times New Roman" w:eastAsia="方正仿宋简体" w:cs="Times New Roman"/>
          <w:b/>
          <w:bCs/>
          <w:sz w:val="32"/>
          <w:szCs w:val="32"/>
        </w:rPr>
        <w:t>得省级以上首台(套)技术装备及关键核心零部件、首批(次)新材料、首版(次)软件保险补偿财政扶持的产品，在省级以上财政部门补偿实际投保保费80%的基础上，市财政再给予实际投保保费20%的补偿。（牵头单位：市工信局、市财政局）</w:t>
      </w:r>
    </w:p>
    <w:p>
      <w:pPr>
        <w:spacing w:line="600" w:lineRule="exact"/>
        <w:ind w:firstLine="643" w:firstLineChars="200"/>
        <w:rPr>
          <w:rFonts w:ascii="Times New Roman" w:hAnsi="Times New Roman" w:eastAsia="黑体" w:cs="Times New Roman"/>
          <w:b/>
          <w:bCs/>
          <w:sz w:val="32"/>
          <w:szCs w:val="32"/>
        </w:rPr>
      </w:pPr>
      <w:r>
        <w:rPr>
          <w:rFonts w:hint="eastAsia" w:ascii="Times New Roman" w:hAnsi="Times New Roman" w:eastAsia="方正楷体简体" w:cs="Times New Roman"/>
          <w:b/>
          <w:bCs/>
          <w:sz w:val="32"/>
          <w:szCs w:val="32"/>
        </w:rPr>
        <w:t>1</w:t>
      </w:r>
      <w:r>
        <w:rPr>
          <w:rFonts w:ascii="Times New Roman" w:hAnsi="Times New Roman" w:eastAsia="方正楷体简体" w:cs="Times New Roman"/>
          <w:b/>
          <w:bCs/>
          <w:sz w:val="32"/>
          <w:szCs w:val="32"/>
        </w:rPr>
        <w:t>3.支持企业开展药物一致性评价。</w:t>
      </w:r>
      <w:r>
        <w:rPr>
          <w:rFonts w:ascii="Times New Roman" w:hAnsi="Times New Roman" w:eastAsia="方正仿宋简体" w:cs="Times New Roman"/>
          <w:b/>
          <w:bCs/>
          <w:sz w:val="32"/>
          <w:szCs w:val="32"/>
        </w:rPr>
        <w:t>对我市药品生产企业研制的通过仿制药一致性评价的化学药口服制剂、注射剂，每个品种市财政分别给予一次性100万元、50万元补助</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对同品种全国前3位通过仿制药质量和疗效一致性评价的品种，每个品种再增加50万元奖励。（牵头单位：市市场监管局、市财政局）</w:t>
      </w:r>
    </w:p>
    <w:p>
      <w:pPr>
        <w:spacing w:line="600" w:lineRule="exact"/>
        <w:ind w:firstLine="643" w:firstLineChars="200"/>
        <w:rPr>
          <w:rFonts w:ascii="Times New Roman" w:hAnsi="Times New Roman" w:eastAsia="黑体" w:cs="Times New Roman"/>
          <w:b/>
          <w:bCs/>
          <w:sz w:val="32"/>
          <w:szCs w:val="32"/>
        </w:rPr>
      </w:pPr>
      <w:r>
        <w:rPr>
          <w:rFonts w:hint="eastAsia" w:ascii="Times New Roman" w:hAnsi="Times New Roman" w:eastAsia="黑体" w:cs="Times New Roman"/>
          <w:b/>
          <w:bCs/>
          <w:sz w:val="32"/>
          <w:szCs w:val="32"/>
        </w:rPr>
        <w:t>四</w:t>
      </w:r>
      <w:r>
        <w:rPr>
          <w:rFonts w:ascii="Times New Roman" w:hAnsi="Times New Roman" w:eastAsia="黑体" w:cs="Times New Roman"/>
          <w:b/>
          <w:bCs/>
          <w:sz w:val="32"/>
          <w:szCs w:val="32"/>
        </w:rPr>
        <w:t>、支持企业</w:t>
      </w:r>
      <w:r>
        <w:rPr>
          <w:rFonts w:hint="eastAsia" w:ascii="Times New Roman" w:hAnsi="Times New Roman" w:eastAsia="黑体" w:cs="Times New Roman"/>
          <w:b/>
          <w:bCs/>
          <w:sz w:val="32"/>
          <w:szCs w:val="32"/>
        </w:rPr>
        <w:t>转型升级</w:t>
      </w:r>
    </w:p>
    <w:p>
      <w:pPr>
        <w:spacing w:line="600" w:lineRule="exact"/>
        <w:ind w:firstLine="643" w:firstLineChars="200"/>
        <w:rPr>
          <w:rFonts w:ascii="Times New Roman" w:hAnsi="Times New Roman" w:eastAsia="方正仿宋简体" w:cs="Times New Roman"/>
          <w:b/>
          <w:bCs/>
          <w:sz w:val="32"/>
          <w:szCs w:val="32"/>
        </w:rPr>
      </w:pPr>
      <w:r>
        <w:rPr>
          <w:rFonts w:hint="eastAsia" w:ascii="Times New Roman" w:hAnsi="Times New Roman" w:eastAsia="方正楷体简体" w:cs="Times New Roman"/>
          <w:b/>
          <w:bCs/>
          <w:sz w:val="32"/>
          <w:szCs w:val="32"/>
        </w:rPr>
        <w:t>1</w:t>
      </w:r>
      <w:r>
        <w:rPr>
          <w:rFonts w:hint="eastAsia" w:ascii="Times New Roman" w:hAnsi="Times New Roman" w:eastAsia="方正楷体简体" w:cs="Times New Roman"/>
          <w:b/>
          <w:bCs/>
          <w:sz w:val="32"/>
          <w:szCs w:val="32"/>
          <w:highlight w:val="none"/>
        </w:rPr>
        <w:t>4</w:t>
      </w:r>
      <w:r>
        <w:rPr>
          <w:rFonts w:ascii="Times New Roman" w:hAnsi="Times New Roman" w:eastAsia="方正楷体简体" w:cs="Times New Roman"/>
          <w:b/>
          <w:bCs/>
          <w:sz w:val="32"/>
          <w:szCs w:val="32"/>
          <w:highlight w:val="none"/>
        </w:rPr>
        <w:t>.支持</w:t>
      </w:r>
      <w:r>
        <w:rPr>
          <w:rFonts w:hint="eastAsia" w:ascii="Times New Roman" w:hAnsi="Times New Roman" w:eastAsia="方正楷体简体" w:cs="Times New Roman"/>
          <w:b/>
          <w:bCs/>
          <w:sz w:val="32"/>
          <w:szCs w:val="32"/>
          <w:highlight w:val="none"/>
        </w:rPr>
        <w:t>企业</w:t>
      </w:r>
      <w:r>
        <w:rPr>
          <w:rFonts w:ascii="Times New Roman" w:hAnsi="Times New Roman" w:eastAsia="方正楷体简体" w:cs="Times New Roman"/>
          <w:b/>
          <w:bCs/>
          <w:sz w:val="32"/>
          <w:szCs w:val="32"/>
          <w:highlight w:val="none"/>
        </w:rPr>
        <w:t>融合发展。</w:t>
      </w:r>
      <w:r>
        <w:rPr>
          <w:rFonts w:ascii="Times New Roman" w:hAnsi="Times New Roman" w:eastAsia="方正仿宋简体" w:cs="Times New Roman"/>
          <w:b/>
          <w:bCs/>
          <w:sz w:val="32"/>
          <w:szCs w:val="32"/>
        </w:rPr>
        <w:t>对获得工信部认定的服务型制造示范企业，市财政给予最高100万元奖励</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对企业新获得武器装备科研生产单位保密资质、武器装备科研生产许可证、武器装备承制单位资格证的，每个资质市财政给予50万元奖励。（牵头单位：市工信局、市财政局）</w:t>
      </w:r>
    </w:p>
    <w:p>
      <w:pPr>
        <w:spacing w:line="600" w:lineRule="exact"/>
        <w:ind w:firstLine="643" w:firstLineChars="200"/>
        <w:rPr>
          <w:rFonts w:ascii="Times New Roman" w:hAnsi="Times New Roman" w:eastAsia="方正仿宋简体" w:cs="Times New Roman"/>
          <w:b/>
          <w:bCs/>
          <w:sz w:val="32"/>
          <w:szCs w:val="32"/>
        </w:rPr>
      </w:pPr>
      <w:r>
        <w:rPr>
          <w:rFonts w:ascii="Times New Roman" w:hAnsi="Times New Roman" w:eastAsia="方正楷体简体" w:cs="Times New Roman"/>
          <w:b/>
          <w:bCs/>
          <w:sz w:val="32"/>
          <w:szCs w:val="32"/>
        </w:rPr>
        <w:t>15.推动工业互联网示范应用。</w:t>
      </w:r>
      <w:r>
        <w:rPr>
          <w:rFonts w:ascii="Times New Roman" w:hAnsi="Times New Roman" w:eastAsia="方正仿宋简体" w:cs="Times New Roman"/>
          <w:b/>
          <w:bCs/>
          <w:sz w:val="32"/>
          <w:szCs w:val="32"/>
        </w:rPr>
        <w:t>每年从“231”产业集群中选择20个左右的示范企业，推广利用工业互联网、区块链、大数据和人工智能等新兴数字技术，经评价成果较好的，市财政给予每个企业最高50万元的奖励。（牵头单位：市工信局、市财政局）</w:t>
      </w:r>
    </w:p>
    <w:p>
      <w:pPr>
        <w:spacing w:line="600" w:lineRule="exact"/>
        <w:ind w:firstLine="643" w:firstLineChars="200"/>
        <w:rPr>
          <w:rFonts w:ascii="Times New Roman" w:hAnsi="Times New Roman" w:eastAsia="方正仿宋简体" w:cs="Times New Roman"/>
          <w:b/>
          <w:bCs/>
          <w:sz w:val="32"/>
          <w:szCs w:val="32"/>
        </w:rPr>
      </w:pPr>
      <w:r>
        <w:rPr>
          <w:rFonts w:ascii="Times New Roman" w:hAnsi="Times New Roman" w:eastAsia="方正楷体简体" w:cs="Times New Roman"/>
          <w:b/>
          <w:bCs/>
          <w:sz w:val="32"/>
          <w:szCs w:val="32"/>
        </w:rPr>
        <w:t>16.鼓励企业上云。</w:t>
      </w:r>
      <w:r>
        <w:rPr>
          <w:rFonts w:ascii="Times New Roman" w:hAnsi="Times New Roman" w:eastAsia="方正仿宋简体" w:cs="Times New Roman"/>
          <w:b/>
          <w:bCs/>
          <w:sz w:val="32"/>
          <w:szCs w:val="32"/>
        </w:rPr>
        <w:t>市财政按照设备上云软硬件投资额的50%，给予单台工业设备不超过5000元，单个企业最高20万元奖补；对服务商（在济宁注册）整合行业资源，开发和推广的数字经济服务平台，市财政按照服务企业的数量和成效给予奖励，单个平台最高不超过50万元。（牵头单位：市工信局、市财政局）</w:t>
      </w:r>
    </w:p>
    <w:p>
      <w:pPr>
        <w:spacing w:line="600" w:lineRule="exact"/>
        <w:ind w:firstLine="643" w:firstLineChars="200"/>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如遇中央、省政策调整，按新政策执行；原有政策与本政策</w:t>
      </w:r>
      <w:r>
        <w:rPr>
          <w:rFonts w:hint="eastAsia" w:ascii="Times New Roman" w:hAnsi="Times New Roman" w:eastAsia="方正仿宋简体" w:cs="Times New Roman"/>
          <w:b/>
          <w:bCs/>
          <w:sz w:val="32"/>
          <w:szCs w:val="32"/>
        </w:rPr>
        <w:t>措施</w:t>
      </w:r>
      <w:r>
        <w:rPr>
          <w:rFonts w:ascii="Times New Roman" w:hAnsi="Times New Roman" w:eastAsia="方正仿宋简体" w:cs="Times New Roman"/>
          <w:b/>
          <w:bCs/>
          <w:sz w:val="32"/>
          <w:szCs w:val="32"/>
        </w:rPr>
        <w:t>不一致的，按本政策执行</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上述政策所需资金从整合设立的工业发展、外经贸发展、服务业引导资金等专项资金中解决。本政策自2021年1月1日起执行，有效期三年。各县市区要出台配套政策，市直有关部门单位要根据本政策规定，制定具体的实施办法。</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C764D3A-1380-49F3-AB12-138B549B1EA0}"/>
  </w:font>
  <w:font w:name="Arial">
    <w:panose1 w:val="020B0604020202020204"/>
    <w:charset w:val="01"/>
    <w:family w:val="swiss"/>
    <w:pitch w:val="default"/>
    <w:sig w:usb0="E0002EFF" w:usb1="C000785B" w:usb2="00000009" w:usb3="00000000" w:csb0="400001FF" w:csb1="FFFF0000"/>
    <w:embedRegular r:id="rId2" w:fontKey="{A05DF314-2894-4B54-8A73-A63111553DE2}"/>
  </w:font>
  <w:font w:name="黑体">
    <w:panose1 w:val="02010609060101010101"/>
    <w:charset w:val="86"/>
    <w:family w:val="auto"/>
    <w:pitch w:val="default"/>
    <w:sig w:usb0="800002BF" w:usb1="38CF7CFA" w:usb2="00000016" w:usb3="00000000" w:csb0="00040001" w:csb1="00000000"/>
    <w:embedRegular r:id="rId3" w:fontKey="{C50D83BD-CE88-4CC5-A9BF-5F940ADAE048}"/>
  </w:font>
  <w:font w:name="Courier New">
    <w:panose1 w:val="02070309020205020404"/>
    <w:charset w:val="01"/>
    <w:family w:val="modern"/>
    <w:pitch w:val="default"/>
    <w:sig w:usb0="E0002EFF" w:usb1="C0007843" w:usb2="00000009" w:usb3="00000000" w:csb0="400001FF" w:csb1="FFFF0000"/>
    <w:embedRegular r:id="rId4" w:fontKey="{60483CAE-2035-4F6C-9F42-8F9D47981258}"/>
  </w:font>
  <w:font w:name="Symbol">
    <w:panose1 w:val="05050102010706020507"/>
    <w:charset w:val="02"/>
    <w:family w:val="roman"/>
    <w:pitch w:val="default"/>
    <w:sig w:usb0="00000000" w:usb1="00000000" w:usb2="00000000" w:usb3="00000000" w:csb0="80000000" w:csb1="00000000"/>
    <w:embedRegular r:id="rId5" w:fontKey="{35F1E0B5-74D3-4BE1-872F-0F8D450EC807}"/>
  </w:font>
  <w:font w:name="Calibri">
    <w:panose1 w:val="020F0502020204030204"/>
    <w:charset w:val="00"/>
    <w:family w:val="swiss"/>
    <w:pitch w:val="default"/>
    <w:sig w:usb0="E4002EFF" w:usb1="C000247B" w:usb2="00000009" w:usb3="00000000" w:csb0="200001FF" w:csb1="00000000"/>
    <w:embedRegular r:id="rId6" w:fontKey="{ECD8E91C-F503-4A08-AC26-9473DD5B4EB3}"/>
  </w:font>
  <w:font w:name="方正小标宋简体">
    <w:panose1 w:val="02000000000000000000"/>
    <w:charset w:val="86"/>
    <w:family w:val="auto"/>
    <w:pitch w:val="default"/>
    <w:sig w:usb0="00000001" w:usb1="080E0000" w:usb2="00000000" w:usb3="00000000" w:csb0="00040000" w:csb1="00000000"/>
    <w:embedRegular r:id="rId7" w:fontKey="{FF17ED19-F947-495D-8147-81541C58D2B3}"/>
  </w:font>
  <w:font w:name="方正仿宋简体">
    <w:panose1 w:val="02000000000000000000"/>
    <w:charset w:val="86"/>
    <w:family w:val="auto"/>
    <w:pitch w:val="default"/>
    <w:sig w:usb0="00000001" w:usb1="080E0000" w:usb2="00000000" w:usb3="00000000" w:csb0="00040000" w:csb1="00000000"/>
    <w:embedRegular r:id="rId8" w:fontKey="{7A2D31EC-D64D-473E-9995-07C8111C3700}"/>
  </w:font>
  <w:font w:name="方正楷体简体">
    <w:panose1 w:val="02000000000000000000"/>
    <w:charset w:val="86"/>
    <w:family w:val="auto"/>
    <w:pitch w:val="default"/>
    <w:sig w:usb0="00000001" w:usb1="080E0000" w:usb2="00000000" w:usb3="00000000" w:csb0="00040000" w:csb1="00000000"/>
    <w:embedRegular r:id="rId9" w:fontKey="{25F6D9A5-D519-4FCC-8467-657B2AC290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5 -</w:t>
                          </w:r>
                          <w:r>
                            <w:rPr>
                              <w:rFonts w:ascii="宋体" w:hAnsi="宋体"/>
                              <w:b/>
                              <w:sz w:val="28"/>
                              <w:szCs w:val="28"/>
                            </w:rPr>
                            <w:fldChar w:fldCharType="end"/>
                          </w:r>
                        </w:p>
                        <w:p>
                          <w:pPr>
                            <w:pStyle w:val="3"/>
                          </w:pP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uXW5UtAAAAAFAQAADwAAAAAA&#10;AAABACAAAAAiAAAAZHJzL2Rvd25yZXYueG1sUEsBAhQAFAAAAAgAh07iQL3gfaqpAQAAOQMAAA4A&#10;AAAAAAAAAQAgAAAAHwEAAGRycy9lMm9Eb2MueG1sUEsFBgAAAAAGAAYAWQEAADoFAAAAAA==&#10;">
              <v:fill on="f" focussize="0,0"/>
              <v:stroke on="f"/>
              <v:imagedata o:title=""/>
              <o:lock v:ext="edit" aspectratio="f"/>
              <v:textbox inset="0mm,0mm,0mm,0mm" style="mso-fit-shape-to-text:t;">
                <w:txbxContent>
                  <w:p>
                    <w:pPr>
                      <w:pStyle w:val="3"/>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5 -</w:t>
                    </w:r>
                    <w:r>
                      <w:rPr>
                        <w:rFonts w:ascii="宋体" w:hAnsi="宋体"/>
                        <w:b/>
                        <w:sz w:val="28"/>
                        <w:szCs w:val="28"/>
                      </w:rPr>
                      <w:fldChar w:fldCharType="end"/>
                    </w:r>
                  </w:p>
                  <w:p>
                    <w:pPr>
                      <w:pStyle w:val="3"/>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BD6"/>
    <w:rsid w:val="004E0F40"/>
    <w:rsid w:val="004F7BD6"/>
    <w:rsid w:val="00A15E62"/>
    <w:rsid w:val="00E75D56"/>
    <w:rsid w:val="1B091762"/>
    <w:rsid w:val="30803B85"/>
    <w:rsid w:val="3C86445B"/>
    <w:rsid w:val="3E0A0BC7"/>
    <w:rsid w:val="6B512CAC"/>
    <w:rsid w:val="6F485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qFormat/>
    <w:uiPriority w:val="0"/>
    <w:pPr>
      <w:tabs>
        <w:tab w:val="center" w:pos="4153"/>
        <w:tab w:val="right" w:pos="8306"/>
      </w:tabs>
      <w:snapToGrid w:val="0"/>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22"/>
    <w:rPr>
      <w:b/>
      <w:bCs/>
    </w:rPr>
  </w:style>
  <w:style w:type="character" w:customStyle="1" w:styleId="8">
    <w:name w:val="页眉 字符"/>
    <w:basedOn w:val="6"/>
    <w:link w:val="4"/>
    <w:qFormat/>
    <w:uiPriority w:val="0"/>
    <w:rPr>
      <w:rFonts w:ascii="Calibri" w:hAnsi="Calibri" w:eastAsia="宋体" w:cs="宋体"/>
      <w:kern w:val="2"/>
      <w:sz w:val="18"/>
      <w:szCs w:val="18"/>
    </w:rPr>
  </w:style>
  <w:style w:type="character" w:customStyle="1" w:styleId="9">
    <w:name w:val="批注框文本 字符"/>
    <w:basedOn w:val="6"/>
    <w:link w:val="2"/>
    <w:semiHidden/>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481</Words>
  <Characters>2742</Characters>
  <Lines>22</Lines>
  <Paragraphs>6</Paragraphs>
  <TotalTime>48</TotalTime>
  <ScaleCrop>false</ScaleCrop>
  <LinksUpToDate>false</LinksUpToDate>
  <CharactersWithSpaces>3217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2021-03-26T06:19:00Z</dcterms:created>
  <dc:creator>Administrator</dc:creator>
  <cp:lastModifiedBy>小喜可欢1425608103</cp:lastModifiedBy>
  <cp:lastPrinted>2021-03-29T08:06:52Z</cp:lastPrinted>
  <dcterms:modified xsi:type="dcterms:W3CDTF">2021-03-29T08:38:08Z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KSOSaveFontToCloudKey">
    <vt:lpwstr>449456877_cloud</vt:lpwstr>
  </property>
  <property fmtid="{D5CDD505-2E9C-101B-9397-08002B2CF9AE}" pid="4" name="ICV">
    <vt:lpwstr>E922A56ABBBB4398BE01E509E450E49A</vt:lpwstr>
  </property>
</Properties>
</file>