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  <w:lang w:eastAsia="zh-CN"/>
        </w:rPr>
        <w:t>济宁市退役军人事务局</w:t>
      </w:r>
    </w:p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  <w:t>202</w:t>
      </w:r>
      <w:r>
        <w:rPr>
          <w:rFonts w:hint="eastAsia" w:eastAsia="方正小标宋简体" w:cs="Times New Roman"/>
          <w:b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</w:rPr>
        <w:t>年政府信息公开工作年度报告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本报告所列数据的统计期限自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年1月1日起至202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年12月31日止。本报告电子版可在“中国·济宁”政府门户网站（https://www.jining.gov.cn/）查阅或下载。如对本报告有疑问，请与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</w:t>
      </w:r>
      <w:r>
        <w:rPr>
          <w:rFonts w:hint="eastAsia" w:eastAsia="方正仿宋简体" w:cs="Times New Roman"/>
          <w:b/>
          <w:color w:val="auto"/>
          <w:sz w:val="32"/>
          <w:szCs w:val="32"/>
          <w:lang w:eastAsia="zh-CN"/>
        </w:rPr>
        <w:t>联系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联系地址：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山东省济宁市任城区红星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东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路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113号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2316007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黑体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一、总体情况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2025年，市退役军人事务局紧扣工作职能与退役军人需求，扎实推进政务公开工作。统筹优化公开渠道与内容布局，规范公开流程，聚焦重点领域信息主动公开，提升政务工作透明度与公信力，以公开促服务、以公开强落实，切实保障退役军人合法权益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（一）主动公开</w:t>
      </w:r>
      <w:r>
        <w:rPr>
          <w:rFonts w:hint="eastAsia" w:eastAsia="方正楷体简体" w:cs="Times New Roman"/>
          <w:b/>
          <w:color w:val="auto"/>
          <w:sz w:val="32"/>
          <w:szCs w:val="32"/>
          <w:lang w:eastAsia="zh-CN"/>
        </w:rPr>
        <w:t>方面</w:t>
      </w:r>
    </w:p>
    <w:p>
      <w:pPr>
        <w:keepNext w:val="0"/>
        <w:keepLines w:val="0"/>
        <w:widowControl/>
        <w:suppressLineNumbers w:val="0"/>
        <w:ind w:firstLine="624" w:firstLineChars="200"/>
        <w:jc w:val="both"/>
        <w:rPr>
          <w:rFonts w:hint="eastAsia" w:ascii="Times New Roman" w:hAnsi="Times New Roman" w:eastAsia="宋体" w:cs="Times New Roman"/>
          <w:color w:val="auto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市退役军人局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通过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市政府网站信息公开平台、市退役军人事务局网站、“济宁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退役军人事务局”政务微信主动公开政府信息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641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条，其中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网站发布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政务动态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信息共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108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法定主动公开内容数量为63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官方公众号发布和推送信息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470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。围绕人民群众关心和关注，加大重要政策的发布和解读工作，及时回应社会关切。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right="0"/>
        <w:jc w:val="center"/>
        <w:rPr>
          <w:rFonts w:hint="default" w:ascii="Times New Roman" w:hAnsi="Times New Roman" w:eastAsia="方正楷体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lang w:eastAsia="zh-CN"/>
        </w:rPr>
        <w:drawing>
          <wp:inline distT="0" distB="0" distL="114300" distR="114300">
            <wp:extent cx="4427855" cy="4008120"/>
            <wp:effectExtent l="0" t="0" r="4445" b="5080"/>
            <wp:docPr id="3" name="图片 3" descr="微信图片_20260123184312_8335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123184312_8335_1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645"/>
        <w:jc w:val="center"/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法定主动公开内容数量</w:t>
      </w:r>
    </w:p>
    <w:p>
      <w:pPr>
        <w:spacing w:line="590" w:lineRule="exact"/>
        <w:ind w:right="-96" w:rightChars="-50"/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楷体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（二）依申请公开</w:t>
      </w:r>
      <w:r>
        <w:rPr>
          <w:rFonts w:hint="eastAsia" w:eastAsia="方正楷体简体" w:cs="Times New Roman"/>
          <w:b/>
          <w:color w:val="auto"/>
          <w:sz w:val="32"/>
          <w:szCs w:val="32"/>
          <w:lang w:eastAsia="zh-CN"/>
        </w:rPr>
        <w:t>方面</w:t>
      </w:r>
    </w:p>
    <w:p>
      <w:pPr>
        <w:keepNext w:val="0"/>
        <w:keepLines w:val="0"/>
        <w:widowControl/>
        <w:suppressLineNumbers w:val="0"/>
        <w:ind w:firstLine="624" w:firstLineChars="200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年，市退役军人局共收到和处理政府信息公开申请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件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drawing>
          <wp:inline distT="0" distB="0" distL="114300" distR="114300">
            <wp:extent cx="4980940" cy="2835275"/>
            <wp:effectExtent l="0" t="0" r="10160" b="9525"/>
            <wp:docPr id="1" name="图片 2" descr="C:/Users/admin/Desktop/微信图片_20260123185520_8339_121.png微信图片_20260123185520_8339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/Users/admin/Desktop/微信图片_20260123185520_8339_121.png微信图片_20260123185520_8339_121"/>
                    <pic:cNvPicPr>
                      <a:picLocks noChangeAspect="1"/>
                    </pic:cNvPicPr>
                  </pic:nvPicPr>
                  <pic:blipFill>
                    <a:blip r:embed="rId7"/>
                    <a:srcRect t="121" b="121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645"/>
        <w:jc w:val="center"/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依申请公开数量变化图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（三）政府信息管理</w:t>
      </w:r>
      <w:r>
        <w:rPr>
          <w:rFonts w:hint="eastAsia" w:eastAsia="方正楷体简体" w:cs="Times New Roman"/>
          <w:b/>
          <w:color w:val="auto"/>
          <w:sz w:val="32"/>
          <w:szCs w:val="32"/>
          <w:lang w:eastAsia="zh-CN"/>
        </w:rPr>
        <w:t>方面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left"/>
        <w:textAlignment w:val="auto"/>
        <w:rPr>
          <w:rFonts w:hint="eastAsia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2025年，济宁市退役军人事务局严格落实政府信息管理工作相关规定，紧扣退役军人服务保障核心业务，健全信息收集、梳理、审核、发布全流程管理体系。聚焦就业创业、优抚安置、褒扬纪念、权益维护等重点领域，规范信息分类归集，强化信息质量管控，拓宽信息归集渠道，优化信息存储与共享机制，推动信息管理与政务服务、业务工作深度融合。充分发挥政务信息在服务决策、推动工作落实、保障退役军人合法权益中的支撑作用，全年政府信息管理工作规范有序、运转高效，为全局各项工作开展提供坚实信息保障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（四）政府信息公开平台建设情况</w:t>
      </w:r>
    </w:p>
    <w:p>
      <w:pPr>
        <w:keepNext w:val="0"/>
        <w:keepLines w:val="0"/>
        <w:widowControl/>
        <w:suppressLineNumbers w:val="0"/>
        <w:ind w:firstLine="624" w:firstLineChars="200"/>
        <w:jc w:val="left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2025年，济宁市退役军人事务局持续优化政府信息公开平台建设，构建以局门户网站为核心，政务新媒体、线下服务大厅公示阵地为补充的线上线下联动公开矩阵。规范门户网站公开栏目设置，优化检索、导航功能，实现公开信息分类清晰、查询便捷；政务新媒体及时同步政策资讯、办事指南等内容，提升信息传播效能。线下在服务大厅设置公开查阅区、专属公示窗口，完善配套查询服务。强化平台日常运维与信息审核，确保各平台信息同源同步、内容准确，推动平台建设与退役军人办事服务深度衔接，切实提升公开平台实用性与服务性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auto"/>
          <w:sz w:val="32"/>
          <w:szCs w:val="32"/>
        </w:rPr>
        <w:t>（五）监督保障情况</w:t>
      </w:r>
    </w:p>
    <w:p>
      <w:pPr>
        <w:keepNext w:val="0"/>
        <w:keepLines w:val="0"/>
        <w:widowControl/>
        <w:suppressLineNumbers w:val="0"/>
        <w:ind w:firstLine="624" w:firstLineChars="200"/>
        <w:jc w:val="left"/>
        <w:rPr>
          <w:rFonts w:hint="default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2025年，济宁市退役军人事务局健全完善政府信息公开监督保障体系，明确各科室职责分工，制定信息发布审核、日常运维管理等工作制度，严把内容质量关、发布时效关。将信息公开工作纳入年度绩效考核体系，定期开展自查自纠，强化过程监督与结果运用。同时，畅通社会意见反馈渠道，主动接受各界监督，确保信息公开各项工作要求落地见效，推动全局信息公开工作规范有序开展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二、主动公开政府信息情况</w:t>
      </w:r>
    </w:p>
    <w:tbl>
      <w:tblPr>
        <w:tblStyle w:val="5"/>
        <w:tblW w:w="8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</w:tr>
    </w:tbl>
    <w:p>
      <w:pPr>
        <w:spacing w:line="590" w:lineRule="exact"/>
        <w:ind w:right="-96" w:rightChars="-5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tabs>
                <w:tab w:val="center" w:pos="277"/>
                <w:tab w:val="left" w:pos="414"/>
              </w:tabs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eastAsia" w:ascii="Times New Roman" w:hAnsi="Times New Roman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</w:tbl>
    <w:p>
      <w:pPr>
        <w:numPr>
          <w:ilvl w:val="0"/>
          <w:numId w:val="0"/>
        </w:numPr>
        <w:spacing w:line="590" w:lineRule="exact"/>
        <w:ind w:right="-96" w:rightChars="-50" w:firstLine="624" w:firstLineChars="200"/>
        <w:rPr>
          <w:rFonts w:hint="eastAsia" w:eastAsia="方正黑体简体" w:cs="Times New Roman"/>
          <w:b/>
          <w:color w:val="auto"/>
          <w:sz w:val="32"/>
          <w:szCs w:val="32"/>
          <w:lang w:eastAsia="zh-CN"/>
        </w:rPr>
      </w:pPr>
      <w:r>
        <w:rPr>
          <w:rFonts w:hint="eastAsia" w:eastAsia="方正黑体简体" w:cs="Times New Roman"/>
          <w:b/>
          <w:color w:val="auto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存在的主要问题及改进</w:t>
      </w:r>
      <w:r>
        <w:rPr>
          <w:rFonts w:hint="eastAsia" w:eastAsia="方正黑体简体" w:cs="Times New Roman"/>
          <w:b/>
          <w:color w:val="auto"/>
          <w:sz w:val="32"/>
          <w:szCs w:val="32"/>
          <w:lang w:eastAsia="zh-CN"/>
        </w:rPr>
        <w:t>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color w:val="auto"/>
          <w:sz w:val="32"/>
          <w:szCs w:val="32"/>
          <w:lang w:val="en-US" w:eastAsia="zh-CN"/>
        </w:rPr>
        <w:t>存在问题：</w:t>
      </w:r>
      <w:r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  <w:t>一是公开内容精准性不足，聚焦退役军人全生命周期需求不够，高频事项深度信息、分层分类专属内容供给欠缺，新兴服务场景信息公开滞后。二是解读传播形式单一，以文字为主，可视化、互动化载体缺失，多渠道协同传播不足，政策实操性解读不深，部分群体知晓率低。三是平台服务融合度差，数字化功能薄弱，数据融通不充分，信息与办事服务脱节，双向互动机制不健全。四是工作机制保障乏力，协同责任传导不精准，队伍专业化水平不足，考核评价侧重数量、忽视实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color w:val="auto"/>
          <w:sz w:val="32"/>
          <w:szCs w:val="32"/>
          <w:lang w:val="en-US" w:eastAsia="zh-CN"/>
        </w:rPr>
        <w:t>改进措施：</w:t>
      </w:r>
      <w:r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  <w:t>加强干部政务公开工作培训，强化信息公开意识，加强与上级信息公开部门汇报交流，培树政府信息公开示范科室，充分发挥典型示范作用。进一步丰富公开内容，对涉及专业性强、退役军人群体关注度高的政策文件做好解读工作，丰富解读形式，不断提升信息公开质量。构建需求导向的精准公开体系，建立需求清单与分层专栏，动态更新重点目录，快速响应新兴场景信息需求。打造立体解读矩阵，制作多元化解读包，推进线上线下协同传播，深化政策实操环节解读。健全协同工作机制，建立“办公室统筹协调+业务科室分工负责+专人专职审核”的三级责任体系，明确各科室信息报送、内容审核的责任清单和时限要求，推行“信息报送双签字”制度，确保公开内容真实、准确、及时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六、其他需要报告的事项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（一）依据《政府信息公开信息处理费管理办法》</w:t>
      </w:r>
      <w:r>
        <w:rPr>
          <w:rFonts w:ascii="仿宋_GB2312" w:eastAsia="仿宋_GB2312"/>
          <w:b/>
          <w:bCs w:val="0"/>
          <w:color w:val="auto"/>
          <w:sz w:val="32"/>
          <w:szCs w:val="32"/>
        </w:rPr>
        <w:t>收取信息处理费的情况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济宁市退役军人事务局所有政府信息公开均为主动公开，未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收取信息处理费</w:t>
      </w:r>
      <w:r>
        <w:rPr>
          <w:rFonts w:hint="eastAsia" w:eastAsia="方正仿宋简体" w:cs="Times New Roman"/>
          <w:b/>
          <w:color w:val="auto"/>
          <w:sz w:val="32"/>
          <w:szCs w:val="32"/>
          <w:lang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（二）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落实上级年度政务公开工作要点情况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wordWrap/>
        <w:spacing w:before="0" w:beforeAutospacing="0" w:after="0" w:afterAutospacing="0"/>
        <w:ind w:left="0" w:right="0" w:firstLine="624" w:firstLineChars="200"/>
        <w:jc w:val="left"/>
        <w:rPr>
          <w:rFonts w:hint="default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济宁</w:t>
      </w:r>
      <w:r>
        <w:rPr>
          <w:rFonts w:hint="default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市退役军人</w:t>
      </w:r>
      <w:r>
        <w:rPr>
          <w:rFonts w:hint="eastAsia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事务</w:t>
      </w:r>
      <w:r>
        <w:rPr>
          <w:rFonts w:hint="default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局已按照国家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auto"/>
          <w:kern w:val="0"/>
          <w:sz w:val="32"/>
          <w:szCs w:val="32"/>
          <w:lang w:val="en-US" w:eastAsia="zh-CN" w:bidi="ar-SA"/>
        </w:rPr>
        <w:t>、省、市政务公开工作要求落实全部工作要点，将持续做好政务公开工作。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（三）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济宁市退役军人事务局人大代表建议和政协提案办理结果公开情况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96" w:rightChars="-50" w:firstLine="624" w:firstLineChars="200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年度局共受理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eastAsia="zh-CN"/>
        </w:rPr>
        <w:t>政协委员提案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highlight w:val="none"/>
        </w:rPr>
        <w:t>建议</w:t>
      </w:r>
      <w:r>
        <w:rPr>
          <w:rFonts w:hint="eastAsia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</w:p>
    <w:p>
      <w:pPr>
        <w:spacing w:line="590" w:lineRule="exact"/>
        <w:ind w:right="-96" w:rightChars="-50" w:firstLine="5304" w:firstLineChars="1700"/>
        <w:jc w:val="both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济宁市退役军人事务局</w:t>
      </w:r>
    </w:p>
    <w:p>
      <w:pPr>
        <w:spacing w:line="590" w:lineRule="exact"/>
        <w:ind w:right="-96" w:rightChars="-50" w:firstLine="4680" w:firstLineChars="1500"/>
        <w:jc w:val="center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年1月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日</w:t>
      </w:r>
    </w:p>
    <w:p/>
    <w:sectPr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numberInDash"/>
      <w:cols w:space="720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  <w:r>
      <w:rPr>
        <w:rFonts w:ascii="宋体" w:hAnsi="宋体"/>
        <w:b/>
        <w:sz w:val="28"/>
        <w:szCs w:val="28"/>
      </w:rPr>
      <w:fldChar w:fldCharType="begin"/>
    </w:r>
    <w:r>
      <w:rPr>
        <w:rFonts w:ascii="宋体" w:hAnsi="宋体"/>
        <w:b/>
        <w:sz w:val="28"/>
        <w:szCs w:val="28"/>
      </w:rPr>
      <w:instrText xml:space="preserve">PAGE   \* MERGEFORMAT</w:instrText>
    </w:r>
    <w:r>
      <w:rPr>
        <w:rFonts w:ascii="宋体" w:hAnsi="宋体"/>
        <w:b/>
        <w:sz w:val="28"/>
        <w:szCs w:val="28"/>
      </w:rPr>
      <w:fldChar w:fldCharType="separate"/>
    </w:r>
    <w:r>
      <w:rPr>
        <w:rFonts w:ascii="宋体" w:hAnsi="宋体"/>
        <w:b/>
        <w:sz w:val="28"/>
        <w:szCs w:val="28"/>
        <w:lang w:val="zh-CN"/>
      </w:rPr>
      <w:t>-</w:t>
    </w:r>
    <w:r>
      <w:rPr>
        <w:rFonts w:ascii="宋体" w:hAnsi="宋体"/>
        <w:b/>
        <w:sz w:val="28"/>
        <w:szCs w:val="28"/>
      </w:rPr>
      <w:t xml:space="preserve"> 21 -</w:t>
    </w:r>
    <w:r>
      <w:rPr>
        <w:rFonts w:ascii="宋体" w:hAnsi="宋体"/>
        <w:b/>
        <w:sz w:val="28"/>
        <w:szCs w:val="28"/>
      </w:rPr>
      <w:fldChar w:fldCharType="end"/>
    </w:r>
    <w:r>
      <w:rPr>
        <w:rFonts w:hint="eastAsia" w:ascii="宋体" w:hAnsi="宋体"/>
        <w:b/>
        <w:sz w:val="28"/>
        <w:szCs w:val="28"/>
      </w:rPr>
      <w:t xml:space="preserve"> </w: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1" w:firstLineChars="100"/>
      <w:rPr>
        <w:rFonts w:ascii="宋体" w:hAnsi="宋体"/>
        <w:b/>
        <w:sz w:val="28"/>
        <w:szCs w:val="28"/>
      </w:rPr>
    </w:pPr>
    <w:r>
      <w:rPr>
        <w:rFonts w:ascii="宋体" w:hAnsi="宋体"/>
        <w:b/>
        <w:sz w:val="28"/>
        <w:szCs w:val="28"/>
      </w:rPr>
      <w:fldChar w:fldCharType="begin"/>
    </w:r>
    <w:r>
      <w:rPr>
        <w:rFonts w:ascii="宋体" w:hAnsi="宋体"/>
        <w:b/>
        <w:sz w:val="28"/>
        <w:szCs w:val="28"/>
      </w:rPr>
      <w:instrText xml:space="preserve">PAGE   \* MERGEFORMAT</w:instrText>
    </w:r>
    <w:r>
      <w:rPr>
        <w:rFonts w:ascii="宋体" w:hAnsi="宋体"/>
        <w:b/>
        <w:sz w:val="28"/>
        <w:szCs w:val="28"/>
      </w:rPr>
      <w:fldChar w:fldCharType="separate"/>
    </w:r>
    <w:r>
      <w:rPr>
        <w:rFonts w:ascii="宋体" w:hAnsi="宋体"/>
        <w:b/>
        <w:sz w:val="28"/>
        <w:szCs w:val="28"/>
        <w:lang w:val="zh-CN"/>
      </w:rPr>
      <w:t>-</w:t>
    </w:r>
    <w:r>
      <w:rPr>
        <w:rFonts w:ascii="宋体" w:hAnsi="宋体"/>
        <w:b/>
        <w:sz w:val="28"/>
        <w:szCs w:val="28"/>
      </w:rPr>
      <w:t xml:space="preserve"> 20 -</w:t>
    </w:r>
    <w:r>
      <w:rPr>
        <w:rFonts w:ascii="宋体" w:hAnsi="宋体"/>
        <w:b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Tg2OWNhYjY1YzA1Yjg2Yzk5NTQxZmFlNDA5OTAifQ=="/>
  </w:docVars>
  <w:rsids>
    <w:rsidRoot w:val="46214C7F"/>
    <w:rsid w:val="262A3AAC"/>
    <w:rsid w:val="2C6005C2"/>
    <w:rsid w:val="3AFB3638"/>
    <w:rsid w:val="4621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1260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2026-01-23T07:11:00Z</dcterms:created>
  <dc:creator>AMyin</dc:creator>
  <cp:lastModifiedBy>AMyin</cp:lastModifiedBy>
  <dcterms:modified xsi:type="dcterms:W3CDTF">2026-01-28T08:16:26Z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85DA9007A5BD4AEEB73571C7929FF43B_11</vt:lpwstr>
  </property>
</Properties>
</file>