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sz w:val="30"/>
          <w:szCs w:val="30"/>
        </w:rPr>
      </w:pPr>
      <w:bookmarkStart w:id="0" w:name="_GoBack"/>
      <w:r>
        <w:rPr>
          <w:rFonts w:hint="eastAsia" w:ascii="方正小标宋简体" w:hAnsi="方正小标宋简体" w:eastAsia="方正小标宋简体" w:cs="方正小标宋简体"/>
          <w:spacing w:val="-10"/>
          <w:sz w:val="30"/>
          <w:szCs w:val="30"/>
          <w:shd w:val="clear" w:fill="FFFFFF"/>
        </w:rPr>
        <w:t>济宁市工业和信息化局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pacing w:val="-10"/>
          <w:sz w:val="30"/>
          <w:szCs w:val="30"/>
          <w:shd w:val="clear" w:fill="FFFFFF"/>
        </w:rPr>
        <w:t>2020年政府信息公开工作年度报告</w:t>
      </w:r>
    </w:p>
    <w:bookmarkEnd w:id="0"/>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jc w:val="center"/>
        <w:textAlignment w:val="auto"/>
        <w:rPr>
          <w:sz w:val="24"/>
          <w:szCs w:val="24"/>
        </w:rPr>
      </w:pPr>
      <w:r>
        <w:rPr>
          <w:rFonts w:ascii="楷体" w:hAnsi="楷体" w:eastAsia="楷体" w:cs="楷体"/>
          <w:b w:val="0"/>
          <w:sz w:val="24"/>
          <w:szCs w:val="24"/>
          <w:shd w:val="clear" w:fill="FFFFFF"/>
        </w:rPr>
        <w:t>（</w:t>
      </w:r>
      <w:r>
        <w:rPr>
          <w:rFonts w:hint="default" w:ascii="Times New Roman" w:hAnsi="Times New Roman" w:cs="Times New Roman"/>
          <w:b w:val="0"/>
          <w:sz w:val="24"/>
          <w:szCs w:val="24"/>
          <w:shd w:val="clear" w:fill="FFFFFF"/>
        </w:rPr>
        <w:t>2021</w:t>
      </w:r>
      <w:r>
        <w:rPr>
          <w:rFonts w:hint="eastAsia" w:ascii="楷体" w:hAnsi="楷体" w:eastAsia="楷体" w:cs="楷体"/>
          <w:b w:val="0"/>
          <w:sz w:val="24"/>
          <w:szCs w:val="24"/>
          <w:shd w:val="clear" w:fill="FFFFFF"/>
        </w:rPr>
        <w:t>年</w:t>
      </w:r>
      <w:r>
        <w:rPr>
          <w:rFonts w:hint="default" w:ascii="Times New Roman" w:hAnsi="Times New Roman" w:cs="Times New Roman"/>
          <w:b w:val="0"/>
          <w:sz w:val="24"/>
          <w:szCs w:val="24"/>
          <w:shd w:val="clear" w:fill="FFFFFF"/>
        </w:rPr>
        <w:t>1</w:t>
      </w:r>
      <w:r>
        <w:rPr>
          <w:rFonts w:hint="eastAsia" w:ascii="楷体" w:hAnsi="楷体" w:eastAsia="楷体" w:cs="楷体"/>
          <w:b w:val="0"/>
          <w:sz w:val="24"/>
          <w:szCs w:val="24"/>
          <w:shd w:val="clear" w:fill="FFFFFF"/>
        </w:rPr>
        <w:t>月</w:t>
      </w:r>
      <w:r>
        <w:rPr>
          <w:rFonts w:hint="default" w:ascii="Times New Roman" w:hAnsi="Times New Roman" w:cs="Times New Roman"/>
          <w:b w:val="0"/>
          <w:sz w:val="24"/>
          <w:szCs w:val="24"/>
          <w:shd w:val="clear" w:fill="FFFFFF"/>
        </w:rPr>
        <w:t>25</w:t>
      </w:r>
      <w:r>
        <w:rPr>
          <w:rFonts w:hint="eastAsia" w:ascii="楷体" w:hAnsi="楷体" w:eastAsia="楷体" w:cs="楷体"/>
          <w:b w:val="0"/>
          <w:sz w:val="24"/>
          <w:szCs w:val="24"/>
          <w:shd w:val="clear" w:fill="FFFFFF"/>
        </w:rPr>
        <w:t>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3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val="0"/>
          <w:sz w:val="24"/>
          <w:szCs w:val="24"/>
          <w:shd w:val="clear" w:fill="FFFFFF"/>
        </w:rPr>
        <w:t>按照《中华人民共和国政府信息公开条例》《山东省政府信息公开办法》《济宁市人民政府办公室关于做好2020年度政府信息公开年度报告编制发布工作的通知》等相关文件要求，济宁市工业和信息化局编制了2020年度政府信息公开年度报告，包括总体情况、主动公开政府信息情况、收到和处理政府信息公开申请情况、政府信息公开行政复议、行政诉讼情况、存在的主要问题及改进情况、其他需要报告的事项等内容。在“中国济宁”网站全市政府信息公开统一平台济宁市工业和信息化局和本单位网站上可下载本报告的电子版。本报告中所列数据的统计期限为2020年1月1日至2020年12月31日。如对本报告有任何疑问，请与济宁市工业和信息化局办公室联系（地址：济宁市太白湖新区省运会综合指挥中心，联系电话：0537-2967147）。</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黑体" w:hAnsi="黑体" w:eastAsia="黑体" w:cs="黑体"/>
          <w:sz w:val="24"/>
          <w:szCs w:val="24"/>
        </w:rPr>
      </w:pPr>
      <w:r>
        <w:rPr>
          <w:rStyle w:val="5"/>
          <w:rFonts w:hint="eastAsia" w:ascii="黑体" w:hAnsi="黑体" w:eastAsia="黑体" w:cs="黑体"/>
          <w:b w:val="0"/>
          <w:sz w:val="24"/>
          <w:szCs w:val="24"/>
          <w:shd w:val="clear" w:fill="FFFFFF"/>
        </w:rPr>
        <w:t>一、总体情况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val="0"/>
          <w:sz w:val="24"/>
          <w:szCs w:val="24"/>
          <w:shd w:val="clear" w:fill="FFFFFF"/>
        </w:rPr>
        <w:t>2020年，市工信局认真贯彻落实《中华人民共和国政府信息公开条例》和市政府办公室关于做好政府信息公开工作的具体要求，高度重视政府信息公开工作，组织保障有力，工作措施到位，建立健全了相关工作制度和规范，安排专职人员负责局政府信息公开工作，确保政府信息发布及时有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b w:val="0"/>
          <w:sz w:val="24"/>
          <w:szCs w:val="24"/>
          <w:shd w:val="clear" w:fill="FFFFFF"/>
        </w:rPr>
        <w:t>（一）主动公开情况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val="0"/>
          <w:sz w:val="24"/>
          <w:szCs w:val="24"/>
          <w:shd w:val="clear" w:fill="FFFFFF"/>
        </w:rPr>
        <w:t>2020年，我局通过局门户网站发布信息545条，通过微信公众号发布信息240篇，公开部门文件61件、通知公告89件、财政信息4件。主动公开并解读政策文件21件，解读形式包含图文、音频、电子书等，提供word和pdf等多种文件格式下载。公开局长办公会议8次。对市工信局承担的市政府重大决策事项，建立包括目录-征求意见-公示-进展情况在内的完整生命周期的信息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b w:val="0"/>
          <w:sz w:val="24"/>
          <w:szCs w:val="24"/>
          <w:shd w:val="clear" w:fill="FFFFFF"/>
        </w:rPr>
        <w:t>（二）依申请公开情况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val="0"/>
          <w:sz w:val="24"/>
          <w:szCs w:val="24"/>
          <w:shd w:val="clear" w:fill="FFFFFF"/>
        </w:rPr>
        <w:t>2020年，市工信局严格按照政务信息公开有关要求，不断规范依申请公开办理工作流程，依法依规做好依申请公开工作，全年共计受理依申请公开件5件，均在法定期限内予以答复，未发生政府信息公开为由提起的行政复议和行政诉讼。</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sz w:val="24"/>
          <w:szCs w:val="24"/>
          <w:bdr w:val="none" w:color="auto" w:sz="0" w:space="0"/>
          <w:shd w:val="clear" w:fill="FFFFFF"/>
        </w:rPr>
        <w:drawing>
          <wp:inline distT="0" distB="0" distL="114300" distR="114300">
            <wp:extent cx="5457825" cy="3448050"/>
            <wp:effectExtent l="0" t="0" r="3175"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57825" cy="3448050"/>
                    </a:xfrm>
                    <a:prstGeom prst="rect">
                      <a:avLst/>
                    </a:prstGeom>
                    <a:noFill/>
                    <a:ln w="9525">
                      <a:noFill/>
                    </a:ln>
                  </pic:spPr>
                </pic:pic>
              </a:graphicData>
            </a:graphic>
          </wp:inline>
        </w:drawing>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b w:val="0"/>
          <w:sz w:val="24"/>
          <w:szCs w:val="24"/>
          <w:shd w:val="clear" w:fill="FFFFFF"/>
        </w:rPr>
        <w:t>（三）政府信息管理情况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val="0"/>
          <w:sz w:val="24"/>
          <w:szCs w:val="24"/>
          <w:shd w:val="clear" w:fill="FFFFFF"/>
        </w:rPr>
        <w:t>我局严格遵守政府信息管理有关规章制度，完善政府信息公开审查流程，不断加强局政府信息公开日常管理。坚持“谁主管、谁负责、谁公开、谁审查”的原则，对公开信息进行严格审核，确保公开的信息不涉密，涉密的信息不公开，加强政务公开标准化建设，努力提升信息公开工作水平，保证政府信息公开安全有效运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b w:val="0"/>
          <w:sz w:val="24"/>
          <w:szCs w:val="24"/>
          <w:shd w:val="clear" w:fill="FFFFFF"/>
        </w:rPr>
        <w:t>（四）公开平台建设情况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val="0"/>
          <w:sz w:val="24"/>
          <w:szCs w:val="24"/>
          <w:shd w:val="clear" w:fill="FFFFFF"/>
        </w:rPr>
        <w:t>一是抓好网站建设。根据各级要求及时动态更新网站专栏，采用飘窗等方式进行“惠企政策”等专题信息公开，美化网页展现和布局，做好内容清晰显示，提供网站搜索查询功能和无障碍浏览模式，便于公众查阅信息。二是发挥政务新媒体作用。2020年，我局重视用好政务新媒体，全年保持高频率更新，积极转发各类有关政府时政要闻、重要政策等信息，同时聚焦工信主责主业制作推送原创信息，全年共推送微信公众号信息240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楷体简体" w:hAnsi="方正楷体简体" w:eastAsia="方正楷体简体" w:cs="方正楷体简体"/>
          <w:sz w:val="24"/>
          <w:szCs w:val="24"/>
        </w:rPr>
      </w:pPr>
      <w:r>
        <w:rPr>
          <w:rFonts w:hint="eastAsia" w:ascii="方正楷体简体" w:hAnsi="方正楷体简体" w:eastAsia="方正楷体简体" w:cs="方正楷体简体"/>
          <w:b w:val="0"/>
          <w:sz w:val="24"/>
          <w:szCs w:val="24"/>
          <w:shd w:val="clear" w:fill="FFFFFF"/>
        </w:rPr>
        <w:t>（五）监督保障情况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val="0"/>
          <w:sz w:val="24"/>
          <w:szCs w:val="24"/>
          <w:shd w:val="clear" w:fill="FFFFFF"/>
        </w:rPr>
        <w:t>强化组织领导，成立了由局长担任组长的政务公开领导小组，由办公室承担政务公开工作，安排专职人员负责政务公开工作。健全管理制度。多次召开会议学习政府信息公开相关的文件、规定,及时研究部署政府信息公开相关工作，局主要领导、分管领导多次对政务公开工作作出安排部署，制定了《市工信局2020年政务公开工作实施方案》，发布了市工信局信息公开指南及目录，全年累计发布政务公开相关制度4件，促进政府信息公开工作制度化、规范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90"/>
        <w:jc w:val="both"/>
        <w:textAlignment w:val="auto"/>
        <w:rPr>
          <w:rFonts w:hint="eastAsia" w:ascii="黑体" w:hAnsi="黑体" w:eastAsia="黑体" w:cs="黑体"/>
          <w:sz w:val="24"/>
          <w:szCs w:val="24"/>
        </w:rPr>
      </w:pPr>
      <w:r>
        <w:rPr>
          <w:rStyle w:val="5"/>
          <w:rFonts w:hint="eastAsia" w:ascii="黑体" w:hAnsi="黑体" w:eastAsia="黑体" w:cs="黑体"/>
          <w:b/>
          <w:sz w:val="24"/>
          <w:szCs w:val="24"/>
          <w:shd w:val="clear" w:fill="FFFFFF"/>
        </w:rPr>
        <w:t>二、主动公开政府信息情况</w:t>
      </w:r>
    </w:p>
    <w:tbl>
      <w:tblPr>
        <w:tblW w:w="5430" w:type="dxa"/>
        <w:jc w:val="center"/>
        <w:shd w:val="clear"/>
        <w:tblLayout w:type="autofit"/>
        <w:tblCellMar>
          <w:top w:w="15" w:type="dxa"/>
          <w:left w:w="15" w:type="dxa"/>
          <w:bottom w:w="15" w:type="dxa"/>
          <w:right w:w="15" w:type="dxa"/>
        </w:tblCellMar>
      </w:tblPr>
      <w:tblGrid>
        <w:gridCol w:w="2080"/>
        <w:gridCol w:w="1250"/>
        <w:gridCol w:w="850"/>
        <w:gridCol w:w="1250"/>
      </w:tblGrid>
      <w:tr>
        <w:tblPrEx>
          <w:tblCellMar>
            <w:top w:w="15" w:type="dxa"/>
            <w:left w:w="15" w:type="dxa"/>
            <w:bottom w:w="15" w:type="dxa"/>
            <w:right w:w="15" w:type="dxa"/>
          </w:tblCellMar>
        </w:tblPrEx>
        <w:trPr>
          <w:trHeight w:val="330" w:hRule="atLeast"/>
          <w:jc w:val="center"/>
        </w:trPr>
        <w:tc>
          <w:tcPr>
            <w:tcW w:w="5430" w:type="dxa"/>
            <w:gridSpan w:val="4"/>
            <w:tcBorders>
              <w:top w:val="single" w:color="auto" w:sz="4" w:space="0"/>
              <w:left w:val="single" w:color="auto" w:sz="4" w:space="0"/>
              <w:bottom w:val="single" w:color="auto" w:sz="4" w:space="0"/>
              <w:right w:val="single" w:color="auto" w:sz="4" w:space="0"/>
            </w:tcBorders>
            <w:shd w:val="clear" w:color="auto" w:fill="C6D9F1"/>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第二十条第（一）项</w:t>
            </w:r>
          </w:p>
        </w:tc>
      </w:tr>
      <w:tr>
        <w:tblPrEx>
          <w:tblCellMar>
            <w:top w:w="15" w:type="dxa"/>
            <w:left w:w="15" w:type="dxa"/>
            <w:bottom w:w="15" w:type="dxa"/>
            <w:right w:w="15" w:type="dxa"/>
          </w:tblCellMar>
        </w:tblPrEx>
        <w:trPr>
          <w:trHeight w:val="59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信息内容</w:t>
            </w:r>
          </w:p>
        </w:tc>
        <w:tc>
          <w:tcPr>
            <w:tcW w:w="125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本年新</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制作数量</w:t>
            </w:r>
          </w:p>
        </w:tc>
        <w:tc>
          <w:tcPr>
            <w:tcW w:w="85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本年新</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公开数量</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对外公开总数量</w:t>
            </w:r>
          </w:p>
        </w:tc>
      </w:tr>
      <w:tr>
        <w:tblPrEx>
          <w:tblCellMar>
            <w:top w:w="15" w:type="dxa"/>
            <w:left w:w="15" w:type="dxa"/>
            <w:bottom w:w="15" w:type="dxa"/>
            <w:right w:w="15" w:type="dxa"/>
          </w:tblCellMar>
        </w:tblPrEx>
        <w:trPr>
          <w:trHeight w:val="35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规章</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8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r>
      <w:tr>
        <w:tblPrEx>
          <w:shd w:val="clear"/>
          <w:tblCellMar>
            <w:top w:w="15" w:type="dxa"/>
            <w:left w:w="15" w:type="dxa"/>
            <w:bottom w:w="15" w:type="dxa"/>
            <w:right w:w="15" w:type="dxa"/>
          </w:tblCellMar>
        </w:tblPrEx>
        <w:trPr>
          <w:trHeight w:val="31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规范性文件</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2</w:t>
            </w:r>
          </w:p>
        </w:tc>
        <w:tc>
          <w:tcPr>
            <w:tcW w:w="8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2</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2</w:t>
            </w:r>
          </w:p>
        </w:tc>
      </w:tr>
      <w:tr>
        <w:tblPrEx>
          <w:shd w:val="clear"/>
          <w:tblCellMar>
            <w:top w:w="15" w:type="dxa"/>
            <w:left w:w="15" w:type="dxa"/>
            <w:bottom w:w="15" w:type="dxa"/>
            <w:right w:w="15" w:type="dxa"/>
          </w:tblCellMar>
        </w:tblPrEx>
        <w:trPr>
          <w:trHeight w:val="320" w:hRule="atLeast"/>
          <w:jc w:val="center"/>
        </w:trPr>
        <w:tc>
          <w:tcPr>
            <w:tcW w:w="5430" w:type="dxa"/>
            <w:gridSpan w:val="4"/>
            <w:tcBorders>
              <w:top w:val="nil"/>
              <w:left w:val="single" w:color="auto" w:sz="4" w:space="0"/>
              <w:bottom w:val="single" w:color="auto" w:sz="4" w:space="0"/>
              <w:right w:val="single" w:color="auto" w:sz="4" w:space="0"/>
            </w:tcBorders>
            <w:shd w:val="clear" w:color="auto" w:fill="C6D9F1"/>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第二十条第（五）项</w:t>
            </w:r>
          </w:p>
        </w:tc>
      </w:tr>
      <w:tr>
        <w:tblPrEx>
          <w:shd w:val="clear"/>
          <w:tblCellMar>
            <w:top w:w="15" w:type="dxa"/>
            <w:left w:w="15" w:type="dxa"/>
            <w:bottom w:w="15" w:type="dxa"/>
            <w:right w:w="15" w:type="dxa"/>
          </w:tblCellMar>
        </w:tblPrEx>
        <w:trPr>
          <w:trHeight w:val="42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信息内容</w:t>
            </w:r>
          </w:p>
        </w:tc>
        <w:tc>
          <w:tcPr>
            <w:tcW w:w="125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上一年项目数量</w:t>
            </w:r>
          </w:p>
        </w:tc>
        <w:tc>
          <w:tcPr>
            <w:tcW w:w="85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本年增/减</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处理决定数量</w:t>
            </w:r>
          </w:p>
        </w:tc>
      </w:tr>
      <w:tr>
        <w:tblPrEx>
          <w:shd w:val="clear"/>
          <w:tblCellMar>
            <w:top w:w="15" w:type="dxa"/>
            <w:left w:w="15" w:type="dxa"/>
            <w:bottom w:w="15" w:type="dxa"/>
            <w:right w:w="15" w:type="dxa"/>
          </w:tblCellMar>
        </w:tblPrEx>
        <w:trPr>
          <w:trHeight w:val="35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行政许可</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8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r>
      <w:tr>
        <w:tblPrEx>
          <w:shd w:val="clear"/>
          <w:tblCellMar>
            <w:top w:w="15" w:type="dxa"/>
            <w:left w:w="15" w:type="dxa"/>
            <w:bottom w:w="15" w:type="dxa"/>
            <w:right w:w="15" w:type="dxa"/>
          </w:tblCellMar>
        </w:tblPrEx>
        <w:trPr>
          <w:trHeight w:val="37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其他对外管理服务事项</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8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r>
      <w:tr>
        <w:tblPrEx>
          <w:tblCellMar>
            <w:top w:w="15" w:type="dxa"/>
            <w:left w:w="15" w:type="dxa"/>
            <w:bottom w:w="15" w:type="dxa"/>
            <w:right w:w="15" w:type="dxa"/>
          </w:tblCellMar>
        </w:tblPrEx>
        <w:trPr>
          <w:trHeight w:val="270" w:hRule="atLeast"/>
          <w:jc w:val="center"/>
        </w:trPr>
        <w:tc>
          <w:tcPr>
            <w:tcW w:w="5430" w:type="dxa"/>
            <w:gridSpan w:val="4"/>
            <w:tcBorders>
              <w:top w:val="nil"/>
              <w:left w:val="single" w:color="auto" w:sz="4" w:space="0"/>
              <w:bottom w:val="single" w:color="auto" w:sz="4" w:space="0"/>
              <w:right w:val="single" w:color="auto" w:sz="4" w:space="0"/>
            </w:tcBorders>
            <w:shd w:val="clear" w:color="auto" w:fill="C6D9F1"/>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第二十条第（六）项</w:t>
            </w:r>
          </w:p>
        </w:tc>
      </w:tr>
      <w:tr>
        <w:tblPrEx>
          <w:shd w:val="clear"/>
          <w:tblCellMar>
            <w:top w:w="15" w:type="dxa"/>
            <w:left w:w="15" w:type="dxa"/>
            <w:bottom w:w="15" w:type="dxa"/>
            <w:right w:w="15" w:type="dxa"/>
          </w:tblCellMar>
        </w:tblPrEx>
        <w:trPr>
          <w:trHeight w:val="42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信息内容</w:t>
            </w:r>
          </w:p>
        </w:tc>
        <w:tc>
          <w:tcPr>
            <w:tcW w:w="125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上一年项目数量</w:t>
            </w:r>
          </w:p>
        </w:tc>
        <w:tc>
          <w:tcPr>
            <w:tcW w:w="85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本年增/减</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处理决定数量</w:t>
            </w:r>
          </w:p>
        </w:tc>
      </w:tr>
      <w:tr>
        <w:tblPrEx>
          <w:tblCellMar>
            <w:top w:w="15" w:type="dxa"/>
            <w:left w:w="15" w:type="dxa"/>
            <w:bottom w:w="15" w:type="dxa"/>
            <w:right w:w="15" w:type="dxa"/>
          </w:tblCellMar>
        </w:tblPrEx>
        <w:trPr>
          <w:trHeight w:val="29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行政处罚</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8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r>
      <w:tr>
        <w:tblPrEx>
          <w:tblCellMar>
            <w:top w:w="15" w:type="dxa"/>
            <w:left w:w="15" w:type="dxa"/>
            <w:bottom w:w="15" w:type="dxa"/>
            <w:right w:w="15" w:type="dxa"/>
          </w:tblCellMar>
        </w:tblPrEx>
        <w:trPr>
          <w:trHeight w:val="27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行政强制</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8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r>
      <w:tr>
        <w:tblPrEx>
          <w:shd w:val="clear"/>
          <w:tblCellMar>
            <w:top w:w="15" w:type="dxa"/>
            <w:left w:w="15" w:type="dxa"/>
            <w:bottom w:w="15" w:type="dxa"/>
            <w:right w:w="15" w:type="dxa"/>
          </w:tblCellMar>
        </w:tblPrEx>
        <w:trPr>
          <w:trHeight w:val="320" w:hRule="atLeast"/>
          <w:jc w:val="center"/>
        </w:trPr>
        <w:tc>
          <w:tcPr>
            <w:tcW w:w="5430" w:type="dxa"/>
            <w:gridSpan w:val="4"/>
            <w:tcBorders>
              <w:top w:val="nil"/>
              <w:left w:val="single" w:color="auto" w:sz="4" w:space="0"/>
              <w:bottom w:val="single" w:color="auto" w:sz="4" w:space="0"/>
              <w:right w:val="single" w:color="auto" w:sz="4" w:space="0"/>
            </w:tcBorders>
            <w:shd w:val="clear" w:color="auto" w:fill="C6D9F1"/>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第二十条第（八）项</w:t>
            </w:r>
          </w:p>
        </w:tc>
      </w:tr>
      <w:tr>
        <w:tblPrEx>
          <w:tblCellMar>
            <w:top w:w="15" w:type="dxa"/>
            <w:left w:w="15" w:type="dxa"/>
            <w:bottom w:w="15" w:type="dxa"/>
            <w:right w:w="15" w:type="dxa"/>
          </w:tblCellMar>
        </w:tblPrEx>
        <w:trPr>
          <w:trHeight w:val="18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信息内容</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上一年项目数量</w:t>
            </w:r>
          </w:p>
        </w:tc>
        <w:tc>
          <w:tcPr>
            <w:tcW w:w="2100" w:type="dxa"/>
            <w:gridSpan w:val="2"/>
            <w:tcBorders>
              <w:top w:val="single" w:color="auto" w:sz="4" w:space="0"/>
              <w:left w:val="nil"/>
              <w:bottom w:val="single" w:color="auto" w:sz="4" w:space="0"/>
              <w:right w:val="single" w:color="000000"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本年增/减</w:t>
            </w:r>
          </w:p>
        </w:tc>
      </w:tr>
      <w:tr>
        <w:tblPrEx>
          <w:tblCellMar>
            <w:top w:w="15" w:type="dxa"/>
            <w:left w:w="15" w:type="dxa"/>
            <w:bottom w:w="15" w:type="dxa"/>
            <w:right w:w="15" w:type="dxa"/>
          </w:tblCellMar>
        </w:tblPrEx>
        <w:trPr>
          <w:trHeight w:val="37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行政事业性收费</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2100" w:type="dxa"/>
            <w:gridSpan w:val="2"/>
            <w:tcBorders>
              <w:top w:val="nil"/>
              <w:left w:val="nil"/>
              <w:bottom w:val="single" w:color="auto" w:sz="4" w:space="0"/>
              <w:right w:val="single" w:color="000000"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r>
      <w:tr>
        <w:tblPrEx>
          <w:tblCellMar>
            <w:top w:w="15" w:type="dxa"/>
            <w:left w:w="15" w:type="dxa"/>
            <w:bottom w:w="15" w:type="dxa"/>
            <w:right w:w="15" w:type="dxa"/>
          </w:tblCellMar>
        </w:tblPrEx>
        <w:trPr>
          <w:trHeight w:val="320" w:hRule="atLeast"/>
          <w:jc w:val="center"/>
        </w:trPr>
        <w:tc>
          <w:tcPr>
            <w:tcW w:w="5430" w:type="dxa"/>
            <w:gridSpan w:val="4"/>
            <w:tcBorders>
              <w:top w:val="nil"/>
              <w:left w:val="single" w:color="auto" w:sz="4" w:space="0"/>
              <w:bottom w:val="single" w:color="auto" w:sz="4" w:space="0"/>
              <w:right w:val="single" w:color="auto" w:sz="4" w:space="0"/>
            </w:tcBorders>
            <w:shd w:val="clear" w:color="auto" w:fill="C6D9F1"/>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第二十条第（九）项</w:t>
            </w:r>
          </w:p>
        </w:tc>
      </w:tr>
      <w:tr>
        <w:tblPrEx>
          <w:tblCellMar>
            <w:top w:w="15" w:type="dxa"/>
            <w:left w:w="15" w:type="dxa"/>
            <w:bottom w:w="15" w:type="dxa"/>
            <w:right w:w="15" w:type="dxa"/>
          </w:tblCellMar>
        </w:tblPrEx>
        <w:trPr>
          <w:trHeight w:val="39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信息内容</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采购项目数量</w:t>
            </w:r>
          </w:p>
        </w:tc>
        <w:tc>
          <w:tcPr>
            <w:tcW w:w="2100" w:type="dxa"/>
            <w:gridSpan w:val="2"/>
            <w:tcBorders>
              <w:top w:val="single" w:color="auto" w:sz="4" w:space="0"/>
              <w:left w:val="nil"/>
              <w:bottom w:val="single" w:color="auto" w:sz="4" w:space="0"/>
              <w:right w:val="single" w:color="000000"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采购总金额</w:t>
            </w:r>
          </w:p>
        </w:tc>
      </w:tr>
      <w:tr>
        <w:tblPrEx>
          <w:shd w:val="clear"/>
          <w:tblCellMar>
            <w:top w:w="15" w:type="dxa"/>
            <w:left w:w="15" w:type="dxa"/>
            <w:bottom w:w="15" w:type="dxa"/>
            <w:right w:w="15" w:type="dxa"/>
          </w:tblCellMar>
        </w:tblPrEx>
        <w:trPr>
          <w:trHeight w:val="360" w:hRule="atLeast"/>
          <w:jc w:val="center"/>
        </w:trPr>
        <w:tc>
          <w:tcPr>
            <w:tcW w:w="208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政府集中采购</w:t>
            </w:r>
          </w:p>
        </w:tc>
        <w:tc>
          <w:tcPr>
            <w:tcW w:w="12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2100" w:type="dxa"/>
            <w:gridSpan w:val="2"/>
            <w:tcBorders>
              <w:top w:val="nil"/>
              <w:left w:val="nil"/>
              <w:bottom w:val="single" w:color="auto" w:sz="4" w:space="0"/>
              <w:right w:val="single" w:color="000000"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104.9987万元</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8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60" w:afterAutospacing="0" w:line="240" w:lineRule="auto"/>
        <w:ind w:left="0" w:right="0" w:firstLine="430"/>
        <w:jc w:val="both"/>
        <w:textAlignment w:val="auto"/>
        <w:rPr>
          <w:rFonts w:hint="eastAsia" w:ascii="黑体" w:hAnsi="黑体" w:eastAsia="黑体" w:cs="黑体"/>
          <w:sz w:val="24"/>
          <w:szCs w:val="24"/>
        </w:rPr>
      </w:pPr>
      <w:r>
        <w:rPr>
          <w:rStyle w:val="5"/>
          <w:rFonts w:hint="eastAsia" w:ascii="黑体" w:hAnsi="黑体" w:eastAsia="黑体" w:cs="黑体"/>
          <w:b/>
          <w:sz w:val="24"/>
          <w:szCs w:val="24"/>
          <w:shd w:val="clear" w:fill="FFFFFF"/>
        </w:rPr>
        <w:t>三、收到和处理政府信息公开申请情况</w:t>
      </w:r>
    </w:p>
    <w:tbl>
      <w:tblPr>
        <w:tblW w:w="6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20"/>
        <w:gridCol w:w="860"/>
        <w:gridCol w:w="1258"/>
        <w:gridCol w:w="439"/>
        <w:gridCol w:w="424"/>
        <w:gridCol w:w="469"/>
        <w:gridCol w:w="499"/>
        <w:gridCol w:w="580"/>
        <w:gridCol w:w="454"/>
        <w:gridCol w:w="4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0" w:type="dxa"/>
            <w:gridSpan w:val="3"/>
            <w:vMerge w:val="restart"/>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（本列数据的勾稽关系为：第一项加第二项之和，等于第三项加第四项之和）</w:t>
            </w:r>
          </w:p>
        </w:tc>
        <w:tc>
          <w:tcPr>
            <w:tcW w:w="3530" w:type="dxa"/>
            <w:gridSpan w:val="7"/>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0"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460"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自然人</w:t>
            </w:r>
          </w:p>
        </w:tc>
        <w:tc>
          <w:tcPr>
            <w:tcW w:w="2610" w:type="dxa"/>
            <w:gridSpan w:val="5"/>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法人或其他组织</w:t>
            </w:r>
          </w:p>
        </w:tc>
        <w:tc>
          <w:tcPr>
            <w:tcW w:w="460"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0" w:type="dxa"/>
            <w:gridSpan w:val="3"/>
            <w:vMerge w:val="continue"/>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46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商业企业</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科研机构</w:t>
            </w:r>
          </w:p>
        </w:tc>
        <w:tc>
          <w:tcPr>
            <w:tcW w:w="54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社会公益组织</w:t>
            </w:r>
          </w:p>
        </w:tc>
        <w:tc>
          <w:tcPr>
            <w:tcW w:w="65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法律服务机构</w:t>
            </w:r>
          </w:p>
        </w:tc>
        <w:tc>
          <w:tcPr>
            <w:tcW w:w="47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w:t>
            </w:r>
          </w:p>
        </w:tc>
        <w:tc>
          <w:tcPr>
            <w:tcW w:w="460"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0" w:type="dxa"/>
            <w:gridSpan w:val="3"/>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一、本年新收政府信息公开申请数量</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0" w:type="dxa"/>
            <w:gridSpan w:val="3"/>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二、上年结转政府信息公开申请数量</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三、本年度办理结果</w:t>
            </w:r>
          </w:p>
        </w:tc>
        <w:tc>
          <w:tcPr>
            <w:tcW w:w="2110"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（一）予以公开</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46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2110"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（二）部分公开（区分处理的，只计这一情形，不计其他情形）</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（三）不予公开</w:t>
            </w: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1.属于国家秘密</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2.其他法律行政法规禁止公开</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3.危及“三安全一稳定”</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4.保护第三方合法权益</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5.属于三类内部事务信息</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6.属于四类过程性信息</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7.属于行政执法案卷</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0" w:hRule="atLeast"/>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8.属于行政查询事项</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（四）无法提供</w:t>
            </w: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1.本机关不掌握相关政府信息</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3</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2.没有现成信息需要另行制作</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3.补正后申请内容仍不明确</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（五）不予处理</w:t>
            </w: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1.信访举报投诉类申请</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2.重复申请</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3.要求提供公开出版物</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4.无正当理由大量反复申请</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63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148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5.要求行政机关确认或重新出具已获取信息</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2110"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（六）其他处理</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2110" w:type="dxa"/>
            <w:gridSpan w:val="2"/>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（七）总计</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5</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520" w:type="dxa"/>
            <w:gridSpan w:val="3"/>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lef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四、结转下年度继续办理</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5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6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仿宋简体" w:hAnsi="方正仿宋简体" w:eastAsia="方正仿宋简体" w:cs="方正仿宋简体"/>
          <w:sz w:val="24"/>
          <w:szCs w:val="24"/>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30"/>
        <w:jc w:val="both"/>
        <w:textAlignment w:val="auto"/>
        <w:rPr>
          <w:rFonts w:hint="eastAsia" w:ascii="黑体" w:hAnsi="黑体" w:eastAsia="黑体" w:cs="黑体"/>
          <w:sz w:val="24"/>
          <w:szCs w:val="24"/>
        </w:rPr>
      </w:pPr>
      <w:r>
        <w:rPr>
          <w:rStyle w:val="5"/>
          <w:rFonts w:hint="eastAsia" w:ascii="黑体" w:hAnsi="黑体" w:eastAsia="黑体" w:cs="黑体"/>
          <w:b/>
          <w:sz w:val="24"/>
          <w:szCs w:val="24"/>
          <w:shd w:val="clear" w:fill="FFFFFF"/>
        </w:rPr>
        <w:t>四、政府信息公开行政复议、行政诉讼情况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28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shd w:val="clear" w:fill="FFFFFF"/>
        </w:rPr>
        <w:t> </w:t>
      </w:r>
    </w:p>
    <w:tbl>
      <w:tblPr>
        <w:tblW w:w="60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99"/>
        <w:gridCol w:w="399"/>
        <w:gridCol w:w="399"/>
        <w:gridCol w:w="399"/>
        <w:gridCol w:w="448"/>
        <w:gridCol w:w="380"/>
        <w:gridCol w:w="399"/>
        <w:gridCol w:w="399"/>
        <w:gridCol w:w="399"/>
        <w:gridCol w:w="409"/>
        <w:gridCol w:w="400"/>
        <w:gridCol w:w="400"/>
        <w:gridCol w:w="400"/>
        <w:gridCol w:w="400"/>
        <w:gridCol w:w="4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50" w:type="dxa"/>
            <w:gridSpan w:val="5"/>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行政复议</w:t>
            </w:r>
          </w:p>
        </w:tc>
        <w:tc>
          <w:tcPr>
            <w:tcW w:w="4000" w:type="dxa"/>
            <w:gridSpan w:val="10"/>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00" w:type="dxa"/>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结果维持</w:t>
            </w:r>
          </w:p>
        </w:tc>
        <w:tc>
          <w:tcPr>
            <w:tcW w:w="400"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结果纠正</w:t>
            </w:r>
          </w:p>
        </w:tc>
        <w:tc>
          <w:tcPr>
            <w:tcW w:w="400"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其他结果</w:t>
            </w:r>
          </w:p>
        </w:tc>
        <w:tc>
          <w:tcPr>
            <w:tcW w:w="400"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尚未审结</w:t>
            </w:r>
          </w:p>
        </w:tc>
        <w:tc>
          <w:tcPr>
            <w:tcW w:w="440" w:type="dxa"/>
            <w:vMerge w:val="restar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总计</w:t>
            </w:r>
          </w:p>
        </w:tc>
        <w:tc>
          <w:tcPr>
            <w:tcW w:w="1980" w:type="dxa"/>
            <w:gridSpan w:val="5"/>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未经复议直接起诉</w:t>
            </w:r>
          </w:p>
        </w:tc>
        <w:tc>
          <w:tcPr>
            <w:tcW w:w="2020" w:type="dxa"/>
            <w:gridSpan w:val="5"/>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00" w:type="dxa"/>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40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400"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400"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440" w:type="dxa"/>
            <w:vMerge w:val="continue"/>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p>
        </w:tc>
        <w:tc>
          <w:tcPr>
            <w:tcW w:w="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结果维持</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结果纠正</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其他结果</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尚未审结</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总计</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结果维持</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结果纠正</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其他结果</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尚未审结</w:t>
            </w:r>
          </w:p>
        </w:tc>
        <w:tc>
          <w:tcPr>
            <w:tcW w:w="40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00" w:type="dxa"/>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44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0 </w:t>
            </w:r>
          </w:p>
        </w:tc>
        <w:tc>
          <w:tcPr>
            <w:tcW w:w="3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c>
          <w:tcPr>
            <w:tcW w:w="4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40" w:lineRule="auto"/>
              <w:ind w:left="0" w:right="0"/>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0</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30"/>
        <w:jc w:val="both"/>
        <w:textAlignment w:val="auto"/>
        <w:rPr>
          <w:rStyle w:val="5"/>
          <w:rFonts w:hint="eastAsia" w:ascii="黑体" w:hAnsi="黑体" w:eastAsia="黑体" w:cs="黑体"/>
          <w:b/>
          <w:sz w:val="24"/>
          <w:szCs w:val="2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30"/>
        <w:jc w:val="both"/>
        <w:textAlignment w:val="auto"/>
        <w:rPr>
          <w:rFonts w:hint="eastAsia" w:ascii="黑体" w:hAnsi="黑体" w:eastAsia="黑体" w:cs="黑体"/>
          <w:sz w:val="24"/>
          <w:szCs w:val="24"/>
        </w:rPr>
      </w:pPr>
      <w:r>
        <w:rPr>
          <w:rStyle w:val="5"/>
          <w:rFonts w:hint="eastAsia" w:ascii="黑体" w:hAnsi="黑体" w:eastAsia="黑体" w:cs="黑体"/>
          <w:b/>
          <w:sz w:val="24"/>
          <w:szCs w:val="24"/>
          <w:shd w:val="clear" w:fill="FFFFFF"/>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240" w:lineRule="auto"/>
        <w:ind w:left="0" w:right="0" w:firstLine="430"/>
        <w:jc w:val="both"/>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color w:val="333333"/>
          <w:spacing w:val="0"/>
          <w:sz w:val="24"/>
          <w:szCs w:val="24"/>
          <w:bdr w:val="none" w:color="auto" w:sz="0" w:space="0"/>
          <w:shd w:val="clear" w:fill="FFFFFF"/>
        </w:rPr>
        <w:t>现阶段，我局在政府信息公开方面主要存在的问题有：一是2020年调整了负责政务公开工作的专职人员，新专职人员工作经验不足，业务工作有待加强；二是</w:t>
      </w:r>
      <w:r>
        <w:rPr>
          <w:rFonts w:hint="eastAsia" w:ascii="方正仿宋简体" w:hAnsi="方正仿宋简体" w:eastAsia="方正仿宋简体" w:cs="方正仿宋简体"/>
          <w:sz w:val="24"/>
          <w:szCs w:val="24"/>
          <w:bdr w:val="none" w:color="auto" w:sz="0" w:space="0"/>
          <w:shd w:val="clear" w:fill="FFFFFF"/>
        </w:rPr>
        <w:t>宣传力度不足、部分报送信息质量不高</w:t>
      </w:r>
      <w:r>
        <w:rPr>
          <w:rFonts w:hint="eastAsia" w:ascii="方正仿宋简体" w:hAnsi="方正仿宋简体" w:eastAsia="方正仿宋简体" w:cs="方正仿宋简体"/>
          <w:i w:val="0"/>
          <w:color w:val="333333"/>
          <w:spacing w:val="0"/>
          <w:sz w:val="24"/>
          <w:szCs w:val="24"/>
          <w:bdr w:val="none" w:color="auto" w:sz="0" w:space="0"/>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30"/>
        <w:jc w:val="both"/>
        <w:textAlignment w:val="auto"/>
        <w:rPr>
          <w:rStyle w:val="5"/>
          <w:rFonts w:hint="eastAsia" w:ascii="黑体" w:hAnsi="黑体" w:eastAsia="黑体" w:cs="黑体"/>
          <w:b/>
          <w:sz w:val="24"/>
          <w:szCs w:val="24"/>
          <w:bdr w:val="none" w:color="auto" w:sz="0" w:space="0"/>
          <w:shd w:val="clear" w:fill="FFFFFF"/>
        </w:rPr>
      </w:pPr>
      <w:r>
        <w:rPr>
          <w:rFonts w:hint="eastAsia" w:ascii="方正仿宋简体" w:hAnsi="方正仿宋简体" w:eastAsia="方正仿宋简体" w:cs="方正仿宋简体"/>
          <w:i w:val="0"/>
          <w:color w:val="333333"/>
          <w:spacing w:val="0"/>
          <w:sz w:val="24"/>
          <w:szCs w:val="24"/>
          <w:shd w:val="clear" w:fill="FFFFFF"/>
        </w:rPr>
        <w:t>今后，我局将主要从以下几个方面加强和改进政府信息公开工作：一是加强对政府信息公开专职工作人员的业务培训，</w:t>
      </w:r>
      <w:r>
        <w:rPr>
          <w:rFonts w:hint="eastAsia" w:ascii="方正仿宋简体" w:hAnsi="方正仿宋简体" w:eastAsia="方正仿宋简体" w:cs="方正仿宋简体"/>
          <w:sz w:val="24"/>
          <w:szCs w:val="24"/>
        </w:rPr>
        <w:t>进一步提高全体干部职工对政府信息公开工作重要性的认识，着力提升局政务信息公开工作水平</w:t>
      </w:r>
      <w:r>
        <w:rPr>
          <w:rFonts w:hint="eastAsia" w:ascii="方正仿宋简体" w:hAnsi="方正仿宋简体" w:eastAsia="方正仿宋简体" w:cs="方正仿宋简体"/>
          <w:i w:val="0"/>
          <w:color w:val="333333"/>
          <w:spacing w:val="0"/>
          <w:sz w:val="24"/>
          <w:szCs w:val="24"/>
          <w:shd w:val="clear" w:fill="FFFFFF"/>
        </w:rPr>
        <w:t>；二是进一步丰富拓展信息公开的形式和内容，</w:t>
      </w:r>
      <w:r>
        <w:rPr>
          <w:rFonts w:hint="eastAsia" w:ascii="方正仿宋简体" w:hAnsi="方正仿宋简体" w:eastAsia="方正仿宋简体" w:cs="方正仿宋简体"/>
          <w:sz w:val="24"/>
          <w:szCs w:val="24"/>
        </w:rPr>
        <w:t>增强局政务公开工作宣传报道力度，做好公开信息报送工作，围绕政务公开中心工作，主动加强与各大门户网站、电视台、报社等新闻媒体合作深度，利用各种渠道，采取多种形式宣传我局政务公开工作。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240" w:lineRule="auto"/>
        <w:ind w:left="0" w:right="0" w:firstLine="430"/>
        <w:jc w:val="both"/>
        <w:textAlignment w:val="auto"/>
        <w:rPr>
          <w:rFonts w:hint="eastAsia" w:ascii="黑体" w:hAnsi="黑体" w:eastAsia="黑体" w:cs="黑体"/>
          <w:sz w:val="24"/>
          <w:szCs w:val="24"/>
        </w:rPr>
      </w:pPr>
      <w:r>
        <w:rPr>
          <w:rStyle w:val="5"/>
          <w:rFonts w:hint="eastAsia" w:ascii="黑体" w:hAnsi="黑体" w:eastAsia="黑体" w:cs="黑体"/>
          <w:b/>
          <w:sz w:val="24"/>
          <w:szCs w:val="24"/>
          <w:bdr w:val="none" w:color="auto" w:sz="0" w:space="0"/>
          <w:shd w:val="clear" w:fill="FFFFFF"/>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bdr w:val="none" w:color="auto" w:sz="0" w:space="0"/>
        </w:rPr>
        <w:t>      2020年，市工信局全年累计办理人大代表建议11件、政协委员提案40件，满意率100%。</w:t>
      </w:r>
    </w:p>
    <w:p>
      <w:pPr>
        <w:pStyle w:val="2"/>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24"/>
          <w:szCs w:val="24"/>
        </w:rPr>
      </w:pPr>
      <w:r>
        <w:rPr>
          <w:sz w:val="24"/>
          <w:szCs w:val="24"/>
          <w:bdr w:val="none" w:color="auto" w:sz="0" w:space="0"/>
        </w:rPr>
        <w:drawing>
          <wp:inline distT="0" distB="0" distL="114300" distR="114300">
            <wp:extent cx="4344035" cy="2846705"/>
            <wp:effectExtent l="0" t="0" r="12065" b="1079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344035" cy="284670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80495"/>
    <w:rsid w:val="3698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single"/>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2021-05-27T04:01:00Z</dcterms:created>
  <dc:creator>叶wy</dc:creator>
  <cp:lastModifiedBy>叶wy</cp:lastModifiedBy>
  <dcterms:modified xsi:type="dcterms:W3CDTF">2021-05-27T04:05:03Z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317975230_cloud</vt:lpwstr>
  </property>
</Properties>
</file>