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text" w:horzAnchor="page" w:tblpX="1658" w:tblpY="18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7"/>
        <w:gridCol w:w="7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6" w:hRule="atLeast"/>
        </w:trPr>
        <w:tc>
          <w:tcPr>
            <w:tcW w:w="80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37"/>
                <w:tab w:val="center" w:pos="50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distribute"/>
              <w:textAlignment w:val="auto"/>
              <w:rPr>
                <w:rFonts w:ascii="方正小标宋简体" w:hAnsi="文星仿宋" w:eastAsia="方正小标宋简体"/>
                <w:b/>
                <w:bCs/>
                <w:snapToGrid w:val="0"/>
                <w:color w:val="FF0000"/>
                <w:w w:val="80"/>
                <w:kern w:val="0"/>
                <w:sz w:val="60"/>
                <w:szCs w:val="60"/>
              </w:rPr>
            </w:pPr>
            <w:r>
              <w:rPr>
                <w:rFonts w:hint="eastAsia" w:ascii="方正小标宋简体" w:hAnsi="文星仿宋" w:eastAsia="方正小标宋简体"/>
                <w:b/>
                <w:bCs/>
                <w:snapToGrid w:val="0"/>
                <w:color w:val="FF0000"/>
                <w:w w:val="80"/>
                <w:kern w:val="0"/>
                <w:sz w:val="60"/>
                <w:szCs w:val="60"/>
              </w:rPr>
              <w:t>济宁市住房和城乡建设局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37"/>
                <w:tab w:val="center" w:pos="50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distribute"/>
              <w:textAlignment w:val="auto"/>
              <w:rPr>
                <w:rFonts w:hint="eastAsia" w:ascii="方正小标宋简体" w:hAnsi="文星仿宋" w:eastAsia="方正小标宋简体"/>
                <w:b/>
                <w:bCs/>
                <w:snapToGrid w:val="0"/>
                <w:color w:val="FF0000"/>
                <w:w w:val="80"/>
                <w:kern w:val="0"/>
                <w:sz w:val="60"/>
                <w:szCs w:val="60"/>
              </w:rPr>
            </w:pPr>
            <w:r>
              <w:rPr>
                <w:rFonts w:hint="eastAsia" w:ascii="方正小标宋简体" w:hAnsi="文星仿宋" w:eastAsia="方正小标宋简体"/>
                <w:b/>
                <w:bCs/>
                <w:snapToGrid w:val="0"/>
                <w:color w:val="FF0000"/>
                <w:w w:val="80"/>
                <w:kern w:val="0"/>
                <w:sz w:val="60"/>
                <w:szCs w:val="60"/>
              </w:rPr>
              <w:t>共青团济宁市委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37"/>
                <w:tab w:val="center" w:pos="50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distribute"/>
              <w:textAlignment w:val="auto"/>
              <w:rPr>
                <w:rFonts w:hint="eastAsia" w:ascii="方正小标宋简体" w:hAnsi="文星仿宋" w:eastAsia="方正小标宋简体"/>
                <w:b/>
                <w:bCs/>
                <w:snapToGrid w:val="0"/>
                <w:color w:val="FF0000"/>
                <w:w w:val="80"/>
                <w:kern w:val="0"/>
                <w:sz w:val="60"/>
                <w:szCs w:val="60"/>
              </w:rPr>
            </w:pPr>
            <w:r>
              <w:rPr>
                <w:rFonts w:hint="eastAsia" w:ascii="方正小标宋简体" w:hAnsi="文星仿宋" w:eastAsia="方正小标宋简体"/>
                <w:b/>
                <w:bCs/>
                <w:snapToGrid w:val="0"/>
                <w:color w:val="FF0000"/>
                <w:w w:val="80"/>
                <w:kern w:val="0"/>
                <w:sz w:val="60"/>
                <w:szCs w:val="60"/>
              </w:rPr>
              <w:t>济宁市发展和改革委员会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37"/>
                <w:tab w:val="center" w:pos="50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distribute"/>
              <w:textAlignment w:val="auto"/>
              <w:rPr>
                <w:rFonts w:hint="eastAsia" w:ascii="方正小标宋简体" w:hAnsi="文星仿宋" w:eastAsia="方正小标宋简体"/>
                <w:b/>
                <w:bCs/>
                <w:snapToGrid w:val="0"/>
                <w:color w:val="FF0000"/>
                <w:w w:val="80"/>
                <w:kern w:val="0"/>
                <w:sz w:val="60"/>
                <w:szCs w:val="60"/>
              </w:rPr>
            </w:pPr>
            <w:r>
              <w:rPr>
                <w:rFonts w:hint="eastAsia" w:ascii="方正小标宋简体" w:hAnsi="文星仿宋" w:eastAsia="方正小标宋简体"/>
                <w:b/>
                <w:bCs/>
                <w:snapToGrid w:val="0"/>
                <w:color w:val="FF0000"/>
                <w:w w:val="80"/>
                <w:kern w:val="0"/>
                <w:sz w:val="60"/>
                <w:szCs w:val="60"/>
              </w:rPr>
              <w:t>济宁市</w:t>
            </w:r>
            <w:r>
              <w:rPr>
                <w:rFonts w:hint="eastAsia" w:ascii="方正小标宋简体" w:hAnsi="文星仿宋" w:eastAsia="方正小标宋简体"/>
                <w:b/>
                <w:bCs/>
                <w:snapToGrid w:val="0"/>
                <w:color w:val="FF0000"/>
                <w:w w:val="80"/>
                <w:kern w:val="0"/>
                <w:sz w:val="60"/>
                <w:szCs w:val="60"/>
                <w:lang w:eastAsia="zh-CN"/>
              </w:rPr>
              <w:t>财政</w:t>
            </w:r>
            <w:r>
              <w:rPr>
                <w:rFonts w:hint="eastAsia" w:ascii="方正小标宋简体" w:hAnsi="文星仿宋" w:eastAsia="方正小标宋简体"/>
                <w:b/>
                <w:bCs/>
                <w:snapToGrid w:val="0"/>
                <w:color w:val="FF0000"/>
                <w:w w:val="80"/>
                <w:kern w:val="0"/>
                <w:sz w:val="60"/>
                <w:szCs w:val="60"/>
              </w:rPr>
              <w:t>局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37"/>
                <w:tab w:val="center" w:pos="50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distribute"/>
              <w:textAlignment w:val="auto"/>
              <w:rPr>
                <w:rFonts w:hint="eastAsia" w:ascii="方正小标宋简体" w:hAnsi="文星仿宋" w:eastAsia="方正小标宋简体"/>
                <w:b/>
                <w:bCs/>
                <w:snapToGrid w:val="0"/>
                <w:color w:val="FF0000"/>
                <w:w w:val="80"/>
                <w:kern w:val="0"/>
                <w:sz w:val="60"/>
                <w:szCs w:val="60"/>
              </w:rPr>
            </w:pPr>
            <w:r>
              <w:rPr>
                <w:rFonts w:hint="eastAsia" w:ascii="方正小标宋简体" w:hAnsi="文星仿宋" w:eastAsia="方正小标宋简体"/>
                <w:b/>
                <w:bCs/>
                <w:snapToGrid w:val="0"/>
                <w:color w:val="FF0000"/>
                <w:w w:val="80"/>
                <w:kern w:val="0"/>
                <w:sz w:val="60"/>
                <w:szCs w:val="60"/>
              </w:rPr>
              <w:t>济宁市自然资源和规划局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37"/>
                <w:tab w:val="center" w:pos="50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distribute"/>
              <w:textAlignment w:val="auto"/>
              <w:rPr>
                <w:rFonts w:hint="eastAsia" w:ascii="方正小标宋简体" w:hAnsi="文星仿宋" w:eastAsia="方正小标宋简体"/>
                <w:b/>
                <w:bCs/>
                <w:snapToGrid w:val="0"/>
                <w:color w:val="FF0000"/>
                <w:w w:val="80"/>
                <w:kern w:val="0"/>
                <w:sz w:val="60"/>
                <w:szCs w:val="60"/>
              </w:rPr>
            </w:pPr>
            <w:r>
              <w:rPr>
                <w:rFonts w:hint="eastAsia" w:ascii="方正小标宋简体" w:hAnsi="文星仿宋" w:eastAsia="方正小标宋简体"/>
                <w:b/>
                <w:bCs/>
                <w:snapToGrid w:val="0"/>
                <w:color w:val="FF0000"/>
                <w:w w:val="80"/>
                <w:kern w:val="0"/>
                <w:sz w:val="60"/>
                <w:szCs w:val="60"/>
              </w:rPr>
              <w:t>济宁市</w:t>
            </w:r>
            <w:r>
              <w:rPr>
                <w:rFonts w:hint="eastAsia" w:ascii="方正小标宋简体" w:hAnsi="文星仿宋" w:eastAsia="方正小标宋简体"/>
                <w:b/>
                <w:bCs/>
                <w:snapToGrid w:val="0"/>
                <w:color w:val="FF0000"/>
                <w:w w:val="80"/>
                <w:kern w:val="0"/>
                <w:sz w:val="60"/>
                <w:szCs w:val="60"/>
                <w:lang w:eastAsia="zh-CN"/>
              </w:rPr>
              <w:t>文化和旅游</w:t>
            </w:r>
            <w:r>
              <w:rPr>
                <w:rFonts w:hint="eastAsia" w:ascii="方正小标宋简体" w:hAnsi="文星仿宋" w:eastAsia="方正小标宋简体"/>
                <w:b/>
                <w:bCs/>
                <w:snapToGrid w:val="0"/>
                <w:color w:val="FF0000"/>
                <w:w w:val="80"/>
                <w:kern w:val="0"/>
                <w:sz w:val="60"/>
                <w:szCs w:val="60"/>
              </w:rPr>
              <w:t>局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37"/>
                <w:tab w:val="center" w:pos="50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distribute"/>
              <w:textAlignment w:val="auto"/>
              <w:rPr>
                <w:rFonts w:hint="eastAsia" w:ascii="方正小标宋简体" w:hAnsi="文星仿宋" w:eastAsia="方正小标宋简体"/>
                <w:b/>
                <w:bCs/>
                <w:snapToGrid w:val="0"/>
                <w:color w:val="FF0000"/>
                <w:w w:val="80"/>
                <w:kern w:val="0"/>
                <w:sz w:val="60"/>
                <w:szCs w:val="60"/>
              </w:rPr>
            </w:pPr>
            <w:r>
              <w:rPr>
                <w:rFonts w:hint="eastAsia" w:ascii="方正小标宋简体" w:hAnsi="文星仿宋" w:eastAsia="方正小标宋简体"/>
                <w:b/>
                <w:bCs/>
                <w:snapToGrid w:val="0"/>
                <w:color w:val="FF0000"/>
                <w:w w:val="80"/>
                <w:kern w:val="0"/>
                <w:sz w:val="60"/>
                <w:szCs w:val="60"/>
                <w:lang w:eastAsia="zh-CN"/>
              </w:rPr>
              <w:t>济宁</w:t>
            </w:r>
            <w:r>
              <w:rPr>
                <w:rFonts w:hint="eastAsia" w:ascii="方正小标宋简体" w:hAnsi="文星仿宋" w:eastAsia="方正小标宋简体"/>
                <w:b/>
                <w:bCs/>
                <w:snapToGrid w:val="0"/>
                <w:color w:val="FF0000"/>
                <w:w w:val="80"/>
                <w:kern w:val="0"/>
                <w:sz w:val="60"/>
                <w:szCs w:val="60"/>
              </w:rPr>
              <w:t>市行政审批服务局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37"/>
                <w:tab w:val="center" w:pos="50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distribute"/>
              <w:textAlignment w:val="auto"/>
              <w:rPr>
                <w:rFonts w:hint="eastAsia" w:ascii="方正小标宋简体" w:hAnsi="文星仿宋" w:eastAsia="方正小标宋简体"/>
                <w:b/>
                <w:bCs/>
                <w:snapToGrid w:val="0"/>
                <w:color w:val="FF0000"/>
                <w:w w:val="80"/>
                <w:kern w:val="0"/>
                <w:sz w:val="60"/>
                <w:szCs w:val="60"/>
                <w:lang w:eastAsia="zh-CN"/>
              </w:rPr>
            </w:pPr>
            <w:r>
              <w:rPr>
                <w:rFonts w:hint="eastAsia" w:ascii="方正小标宋简体" w:hAnsi="文星仿宋" w:eastAsia="方正小标宋简体"/>
                <w:b/>
                <w:bCs/>
                <w:snapToGrid w:val="0"/>
                <w:color w:val="FF0000"/>
                <w:w w:val="80"/>
                <w:kern w:val="0"/>
                <w:sz w:val="60"/>
                <w:szCs w:val="60"/>
                <w:lang w:eastAsia="zh-CN"/>
              </w:rPr>
              <w:t>济宁市体育局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37"/>
                <w:tab w:val="center" w:pos="50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distribute"/>
              <w:textAlignment w:val="auto"/>
              <w:rPr>
                <w:rFonts w:hint="eastAsia" w:ascii="方正小标宋简体" w:hAnsi="文星仿宋" w:eastAsia="方正小标宋简体"/>
                <w:b/>
                <w:bCs/>
                <w:snapToGrid w:val="0"/>
                <w:color w:val="FF0000"/>
                <w:w w:val="80"/>
                <w:kern w:val="0"/>
                <w:sz w:val="60"/>
                <w:szCs w:val="60"/>
              </w:rPr>
            </w:pPr>
            <w:r>
              <w:rPr>
                <w:rFonts w:hint="eastAsia" w:ascii="方正小标宋简体" w:hAnsi="文星仿宋" w:eastAsia="方正小标宋简体"/>
                <w:b/>
                <w:bCs/>
                <w:snapToGrid w:val="0"/>
                <w:color w:val="FF0000"/>
                <w:w w:val="80"/>
                <w:kern w:val="0"/>
                <w:sz w:val="60"/>
                <w:szCs w:val="60"/>
                <w:lang w:eastAsia="zh-CN"/>
              </w:rPr>
              <w:t>济宁</w:t>
            </w:r>
            <w:r>
              <w:rPr>
                <w:rFonts w:hint="eastAsia" w:ascii="方正小标宋简体" w:hAnsi="文星仿宋" w:eastAsia="方正小标宋简体"/>
                <w:b/>
                <w:bCs/>
                <w:snapToGrid w:val="0"/>
                <w:color w:val="FF0000"/>
                <w:w w:val="80"/>
                <w:kern w:val="0"/>
                <w:sz w:val="60"/>
                <w:szCs w:val="60"/>
              </w:rPr>
              <w:t>市住房公积金管理中心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37"/>
                <w:tab w:val="center" w:pos="50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distribute"/>
              <w:textAlignment w:val="auto"/>
              <w:rPr>
                <w:rFonts w:hint="eastAsia" w:ascii="方正小标宋简体" w:hAnsi="文星仿宋" w:eastAsia="方正小标宋简体"/>
                <w:b/>
                <w:bCs/>
                <w:snapToGrid w:val="0"/>
                <w:color w:val="FF0000"/>
                <w:w w:val="80"/>
                <w:kern w:val="0"/>
                <w:sz w:val="60"/>
                <w:szCs w:val="60"/>
              </w:rPr>
            </w:pPr>
            <w:r>
              <w:rPr>
                <w:rFonts w:hint="eastAsia" w:ascii="方正小标宋简体" w:hAnsi="文星仿宋" w:eastAsia="方正小标宋简体"/>
                <w:b/>
                <w:bCs/>
                <w:snapToGrid w:val="0"/>
                <w:color w:val="FF0000"/>
                <w:w w:val="80"/>
                <w:kern w:val="0"/>
                <w:sz w:val="60"/>
                <w:szCs w:val="60"/>
              </w:rPr>
              <w:t>国家税务总局济宁市税务局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37"/>
                <w:tab w:val="center" w:pos="50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distribute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方正小标宋简体" w:hAnsi="文星仿宋" w:eastAsia="方正小标宋简体"/>
                <w:b/>
                <w:bCs/>
                <w:snapToGrid w:val="0"/>
                <w:color w:val="FF0000"/>
                <w:w w:val="80"/>
                <w:kern w:val="0"/>
                <w:sz w:val="60"/>
                <w:szCs w:val="60"/>
                <w:lang w:eastAsia="zh-CN"/>
              </w:rPr>
              <w:t>中国</w:t>
            </w:r>
            <w:r>
              <w:rPr>
                <w:rFonts w:hint="eastAsia" w:ascii="方正小标宋简体" w:hAnsi="文星仿宋" w:eastAsia="方正小标宋简体"/>
                <w:b/>
                <w:bCs/>
                <w:snapToGrid w:val="0"/>
                <w:color w:val="FF0000"/>
                <w:w w:val="80"/>
                <w:kern w:val="0"/>
                <w:sz w:val="60"/>
                <w:szCs w:val="60"/>
              </w:rPr>
              <w:t>人民银行济宁市分行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37"/>
                <w:tab w:val="center" w:pos="50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distribute"/>
              <w:textAlignment w:val="auto"/>
              <w:rPr>
                <w:rFonts w:hint="default" w:ascii="Times New Roman" w:hAnsi="Times New Roman" w:eastAsia="方正小标宋简体" w:cs="Times New Roman"/>
                <w:b/>
                <w:color w:val="FF0000"/>
                <w:w w:val="66"/>
                <w:sz w:val="96"/>
                <w:szCs w:val="96"/>
              </w:rPr>
            </w:pPr>
            <w:r>
              <w:rPr>
                <w:rFonts w:hint="eastAsia" w:ascii="方正小标宋简体" w:hAnsi="文星仿宋" w:eastAsia="方正小标宋简体"/>
                <w:b/>
                <w:bCs/>
                <w:snapToGrid w:val="0"/>
                <w:color w:val="FF0000"/>
                <w:w w:val="80"/>
                <w:kern w:val="0"/>
                <w:sz w:val="60"/>
                <w:szCs w:val="60"/>
              </w:rPr>
              <w:t>国家金融</w:t>
            </w:r>
            <w:r>
              <w:rPr>
                <w:rFonts w:hint="eastAsia" w:ascii="方正小标宋简体" w:hAnsi="文星仿宋" w:eastAsia="方正小标宋简体"/>
                <w:b/>
                <w:bCs/>
                <w:snapToGrid w:val="0"/>
                <w:color w:val="FF0000"/>
                <w:w w:val="80"/>
                <w:kern w:val="0"/>
                <w:sz w:val="60"/>
                <w:szCs w:val="60"/>
                <w:lang w:eastAsia="zh-CN"/>
              </w:rPr>
              <w:t>监督管理</w:t>
            </w:r>
            <w:r>
              <w:rPr>
                <w:rFonts w:hint="eastAsia" w:ascii="方正小标宋简体" w:hAnsi="文星仿宋" w:eastAsia="方正小标宋简体"/>
                <w:b/>
                <w:bCs/>
                <w:snapToGrid w:val="0"/>
                <w:color w:val="FF0000"/>
                <w:w w:val="80"/>
                <w:kern w:val="0"/>
                <w:sz w:val="60"/>
                <w:szCs w:val="60"/>
              </w:rPr>
              <w:t>总局济宁监管分局</w:t>
            </w:r>
          </w:p>
        </w:tc>
        <w:tc>
          <w:tcPr>
            <w:tcW w:w="77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/>
                <w:color w:val="FF0000"/>
                <w:w w:val="80"/>
                <w:sz w:val="84"/>
                <w:szCs w:val="84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FF0000"/>
                <w:w w:val="45"/>
                <w:sz w:val="72"/>
                <w:szCs w:val="72"/>
              </w:rPr>
              <w:t>文件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eastAsia" w:ascii="仿宋_GB2312" w:hAnsi="楷体" w:eastAsia="仿宋_GB2312" w:cs="楷体"/>
          <w:b/>
          <w:bCs/>
          <w:w w:val="100"/>
          <w:sz w:val="32"/>
          <w:szCs w:val="32"/>
        </w:rPr>
      </w:pPr>
      <w:r>
        <w:rPr>
          <w:rFonts w:hint="eastAsia" w:ascii="仿宋_GB2312" w:hAnsi="楷体" w:eastAsia="仿宋_GB2312" w:cs="楷体"/>
          <w:b/>
          <w:bCs/>
          <w:w w:val="100"/>
          <w:sz w:val="32"/>
          <w:szCs w:val="32"/>
        </w:rPr>
        <w:t>济建房</w:t>
      </w:r>
      <w:r>
        <w:rPr>
          <w:rFonts w:hint="eastAsia" w:ascii="仿宋_GB2312" w:hAnsi="楷体" w:eastAsia="仿宋_GB2312" w:cs="楷体"/>
          <w:b/>
          <w:bCs/>
          <w:w w:val="100"/>
          <w:sz w:val="32"/>
          <w:szCs w:val="32"/>
          <w:lang w:eastAsia="zh-CN"/>
        </w:rPr>
        <w:t>字</w:t>
      </w:r>
      <w:r>
        <w:rPr>
          <w:rFonts w:hint="eastAsia" w:ascii="仿宋_GB2312" w:eastAsia="仿宋_GB2312"/>
          <w:b/>
          <w:bCs/>
          <w:w w:val="100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b/>
          <w:bCs/>
          <w:w w:val="1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/>
          <w:bCs/>
          <w:w w:val="1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bCs/>
          <w:w w:val="10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b/>
          <w:bCs/>
          <w:w w:val="100"/>
          <w:sz w:val="32"/>
          <w:szCs w:val="32"/>
          <w:lang w:val="en-US" w:eastAsia="zh-CN"/>
        </w:rPr>
        <w:t xml:space="preserve">1 </w:t>
      </w:r>
      <w:r>
        <w:rPr>
          <w:rFonts w:hint="eastAsia" w:ascii="仿宋_GB2312" w:hAnsi="楷体" w:eastAsia="仿宋_GB2312" w:cs="楷体"/>
          <w:b/>
          <w:bCs/>
          <w:w w:val="100"/>
          <w:sz w:val="32"/>
          <w:szCs w:val="32"/>
        </w:rPr>
        <w:t>号</w:t>
      </w:r>
    </w:p>
    <w:p>
      <w:pPr>
        <w:pStyle w:val="2"/>
        <w:rPr>
          <w:rFonts w:hint="eastAsia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70485</wp:posOffset>
                </wp:positionV>
                <wp:extent cx="5638800" cy="635"/>
                <wp:effectExtent l="0" t="0" r="0" b="0"/>
                <wp:wrapNone/>
                <wp:docPr id="7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.65pt;margin-top:5.55pt;height:0.05pt;width:444pt;z-index:251659264;mso-width-relative:page;mso-height-relative:page;" filled="f" stroked="t" coordsize="21600,21600" o:gfxdata="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0IsPr9cAAAAIAQAADwAAAAAAAAABACAAAAA4AAAAZHJzL2Rvd25yZXYueG1sUEsBAhQAFAAAAAgA&#10;h07iQESSUpbXAQAAoQMAAA4AAAAAAAAAAQAgAAAAPAEAAGRycy9lMm9Eb2MueG1sUEsFBgAAAAAG&#10;AAYAWQEAAIU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关于印发《关于促进住房领域消费的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若干措施》的通知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Times New Roman" w:hAnsi="Times New Roman" w:eastAsia="方正仿宋简体" w:cs="Times New Roman"/>
          <w:spacing w:val="11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</w:pP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各县（市、区）人民政府，济宁高新区、济宁北湖省级旅游度假区、济宁经济技术开发区管委会：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baseline"/>
        <w:rPr>
          <w:rFonts w:hint="eastAsia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</w:pP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为深入落实省、市关于促消费部署和市政府《关于提振消费的实施方案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》，市住房城乡建设局会同市有关部门研究制定了《关于促进住房领域消费的若干措施》，已经市政府同意，现印发给你们，请认真贯彻执行。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4252"/>
        <w:gridCol w:w="4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5" w:hRule="atLeast"/>
        </w:trPr>
        <w:tc>
          <w:tcPr>
            <w:tcW w:w="4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济宁市住房和城乡建设局</w:t>
            </w:r>
          </w:p>
        </w:tc>
        <w:tc>
          <w:tcPr>
            <w:tcW w:w="4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highlight w:val="none"/>
              </w:rPr>
              <w:t>共青团济宁市委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5" w:hRule="atLeast"/>
        </w:trPr>
        <w:tc>
          <w:tcPr>
            <w:tcW w:w="4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6"/>
                <w:sz w:val="32"/>
                <w:szCs w:val="32"/>
                <w:lang w:val="en-US" w:eastAsia="zh-CN"/>
              </w:rPr>
              <w:t>济宁市发展和改革委员会</w:t>
            </w:r>
          </w:p>
        </w:tc>
        <w:tc>
          <w:tcPr>
            <w:tcW w:w="4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济宁市财政局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5" w:hRule="atLeast"/>
        </w:trPr>
        <w:tc>
          <w:tcPr>
            <w:tcW w:w="4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济宁市自然资源和规划局</w:t>
            </w:r>
          </w:p>
        </w:tc>
        <w:tc>
          <w:tcPr>
            <w:tcW w:w="4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济宁市文化和旅游局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5" w:hRule="atLeast"/>
        </w:trPr>
        <w:tc>
          <w:tcPr>
            <w:tcW w:w="4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highlight w:val="none"/>
              </w:rPr>
              <w:t>济宁市行政审批服务局</w:t>
            </w:r>
          </w:p>
        </w:tc>
        <w:tc>
          <w:tcPr>
            <w:tcW w:w="4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济宁市体育局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5" w:hRule="atLeast"/>
        </w:trPr>
        <w:tc>
          <w:tcPr>
            <w:tcW w:w="4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济宁市住房公积金管理中心</w:t>
            </w:r>
          </w:p>
        </w:tc>
        <w:tc>
          <w:tcPr>
            <w:tcW w:w="4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国家税务总局济宁市税务局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5" w:hRule="atLeast"/>
        </w:trPr>
        <w:tc>
          <w:tcPr>
            <w:tcW w:w="4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17"/>
                <w:sz w:val="32"/>
                <w:szCs w:val="32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国人民银行济宁市分行</w:t>
            </w:r>
          </w:p>
        </w:tc>
        <w:tc>
          <w:tcPr>
            <w:tcW w:w="4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国家金融监督管理总局</w:t>
            </w:r>
          </w:p>
          <w:p>
            <w:pPr>
              <w:spacing w:line="55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济宁监管分局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4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highlight w:val="none"/>
              </w:rPr>
            </w:pPr>
          </w:p>
        </w:tc>
        <w:tc>
          <w:tcPr>
            <w:tcW w:w="4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17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2025年2月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日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pacing w:val="27"/>
          <w:sz w:val="44"/>
          <w:szCs w:val="4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</w:pPr>
    </w:p>
    <w:p>
      <w:pPr>
        <w:pStyle w:val="6"/>
        <w:spacing w:before="167" w:line="187" w:lineRule="auto"/>
        <w:jc w:val="center"/>
        <w:outlineLvl w:val="2"/>
        <w:rPr>
          <w:rFonts w:hint="eastAsia" w:ascii="方正小标宋简体" w:hAnsi="方正小标宋简体" w:eastAsia="方正小标宋简体" w:cs="方正小标宋简体"/>
          <w:spacing w:val="27"/>
          <w:sz w:val="44"/>
          <w:szCs w:val="4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</w:pPr>
    </w:p>
    <w:p>
      <w:pPr>
        <w:rPr>
          <w:rFonts w:hint="eastAsia" w:ascii="方正小标宋简体" w:hAnsi="方正小标宋简体" w:eastAsia="方正小标宋简体" w:cs="方正小标宋简体"/>
          <w:spacing w:val="27"/>
          <w:sz w:val="44"/>
          <w:szCs w:val="4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</w:pPr>
      <w:r>
        <w:rPr>
          <w:rFonts w:hint="eastAsia" w:ascii="方正小标宋简体" w:hAnsi="方正小标宋简体" w:eastAsia="方正小标宋简体" w:cs="方正小标宋简体"/>
          <w:spacing w:val="27"/>
          <w:sz w:val="44"/>
          <w:szCs w:val="4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br w:type="page"/>
      </w:r>
    </w:p>
    <w:p>
      <w:pPr>
        <w:pStyle w:val="6"/>
        <w:spacing w:before="167" w:line="187" w:lineRule="auto"/>
        <w:jc w:val="center"/>
        <w:outlineLvl w:val="2"/>
        <w:rPr>
          <w:rFonts w:hint="eastAsia" w:ascii="方正小标宋简体" w:hAnsi="方正小标宋简体" w:eastAsia="方正小标宋简体" w:cs="方正小标宋简体"/>
          <w:spacing w:val="27"/>
          <w:sz w:val="44"/>
          <w:szCs w:val="4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</w:pPr>
    </w:p>
    <w:p>
      <w:pPr>
        <w:pStyle w:val="6"/>
        <w:spacing w:before="167" w:line="187" w:lineRule="auto"/>
        <w:jc w:val="center"/>
        <w:outlineLvl w:val="2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关于促进住房领域消费的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若干措施</w:t>
      </w:r>
    </w:p>
    <w:p>
      <w:pPr>
        <w:pStyle w:val="6"/>
        <w:spacing w:before="167" w:line="187" w:lineRule="auto"/>
        <w:ind w:left="1250"/>
        <w:jc w:val="both"/>
        <w:outlineLvl w:val="2"/>
        <w:rPr>
          <w:rFonts w:hint="eastAsia" w:ascii="方正仿宋简体" w:hAnsi="方正仿宋简体" w:eastAsia="方正仿宋简体" w:cs="方正仿宋简体"/>
          <w:spacing w:val="0"/>
          <w:sz w:val="39"/>
          <w:szCs w:val="3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</w:pP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为深入贯彻省、市提振消费工作部署，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根据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省住房城乡建设厅等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lang w:val="en-US"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9部门《关于促进住房领域消费的行动计划》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val="en-US"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lang w:val="en-US"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市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val="en-US"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政府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《关于提振消费的实施方案》工作要求，现就促进住房领域消费，提出如下措施。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outlineLvl w:val="3"/>
        <w:rPr>
          <w:rFonts w:hint="eastAsia" w:ascii="方正黑体简体" w:hAnsi="方正黑体简体" w:eastAsia="方正黑体简体" w:cs="方正黑体简体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pacing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一、</w:t>
      </w:r>
      <w:r>
        <w:rPr>
          <w:rFonts w:hint="eastAsia" w:ascii="方正黑体简体" w:hAnsi="方正黑体简体" w:eastAsia="方正黑体简体" w:cs="方正黑体简体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开展务实管用的</w:t>
      </w:r>
      <w:r>
        <w:rPr>
          <w:rFonts w:hint="eastAsia" w:ascii="方正黑体简体" w:hAnsi="方正黑体简体" w:eastAsia="方正黑体简体" w:cs="方正黑体简体"/>
          <w:spacing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促销活动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</w:pPr>
      <w:r>
        <w:rPr>
          <w:rFonts w:hint="eastAsia" w:ascii="方正楷体简体" w:hAnsi="方正楷体简体" w:eastAsia="方正楷体简体" w:cs="方正楷体简体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（</w:t>
      </w:r>
      <w:r>
        <w:rPr>
          <w:rFonts w:hint="eastAsia" w:ascii="方正楷体简体" w:hAnsi="方正楷体简体" w:eastAsia="方正楷体简体" w:cs="方正楷体简体"/>
          <w:spacing w:val="0"/>
          <w:sz w:val="32"/>
          <w:szCs w:val="32"/>
          <w:lang w:val="en-US"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hint="eastAsia" w:ascii="方正楷体简体" w:hAnsi="方正楷体简体" w:eastAsia="方正楷体简体" w:cs="方正楷体简体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）加大春季促销活动力度</w:t>
      </w:r>
      <w:r>
        <w:rPr>
          <w:rFonts w:hint="eastAsia" w:ascii="方正楷体简体" w:hAnsi="方正楷体简体" w:eastAsia="方正楷体简体" w:cs="方正楷体简体"/>
          <w:spacing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抓住春季住房消费释放较多的时机，强化市、县联动，在全市集中开展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“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lang w:val="en-US"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住房团购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”“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青年乐居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”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等主题活动，结合我市文旅、体育等重大项目，开设展示场馆、设立移动售楼处，加大宣传力度，形成氛围声势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提高群众参与热情。一季度全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市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组织召开住房消费各类活动不低于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val="en-US"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15场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助力商品房销售实现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“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开门红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”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（二）持续搭建供需对接平台。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抓好假日营销，紧抓“五一”“十一”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黄金周和寒暑假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常态化组织房交会、精品楼盘推介会、外销展示会等。鼓励各县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（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市、区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）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创新建立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“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房产超市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”，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为群众提供一站式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“住房团购”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服务。指导房企运用网络直播等新媒体平台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拓展销售渠道。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（三）抓好群团购促销。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锚定机关、企事业单位等职工群体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，尤其针对新入职、刚毕业的青年群体，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摸清购房意向和需求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组织房地产企业积极开展供需精准对接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有序进企业、进机关、进院校、进社区举办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“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群团购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”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活动。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紧盯新市民、进城农民、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外出务工人员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群体，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筛选刚需楼盘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引导房企推出团购优惠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宣传惠民政策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有效释放购房需求。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outlineLvl w:val="3"/>
        <w:rPr>
          <w:rFonts w:hint="eastAsia" w:ascii="方正黑体简体" w:hAnsi="方正黑体简体" w:eastAsia="方正黑体简体" w:cs="方正黑体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</w:pPr>
      <w:r>
        <w:rPr>
          <w:rFonts w:hint="eastAsia" w:ascii="方正黑体简体" w:hAnsi="方正黑体简体" w:eastAsia="方正黑体简体" w:cs="方正黑体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二、</w:t>
      </w:r>
      <w:r>
        <w:rPr>
          <w:rFonts w:hint="eastAsia" w:ascii="方正黑体简体" w:hAnsi="方正黑体简体" w:eastAsia="方正黑体简体" w:cs="方正黑体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用足用好住房消费支持政策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0"/>
          <w:position w:val="0"/>
          <w:sz w:val="32"/>
          <w:szCs w:val="32"/>
          <w:lang w:val="en-US"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</w:pP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（四）优化调控政策。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val="en-US"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发挥政策在激活住房消费中的引领性作用，加力</w:t>
      </w:r>
      <w:r>
        <w:rPr>
          <w:rFonts w:hint="default" w:ascii="方正仿宋简体" w:hAnsi="方正仿宋简体" w:eastAsia="方正仿宋简体" w:cs="方正仿宋简体"/>
          <w:spacing w:val="0"/>
          <w:position w:val="0"/>
          <w:sz w:val="32"/>
          <w:szCs w:val="32"/>
          <w:lang w:val="en-US"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落实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val="en-US"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国家和省</w:t>
      </w:r>
      <w:r>
        <w:rPr>
          <w:rFonts w:hint="default" w:ascii="方正仿宋简体" w:hAnsi="方正仿宋简体" w:eastAsia="方正仿宋简体" w:cs="方正仿宋简体"/>
          <w:spacing w:val="0"/>
          <w:position w:val="0"/>
          <w:sz w:val="32"/>
          <w:szCs w:val="32"/>
          <w:lang w:val="en-US"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一揽子增量政策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val="en-US"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用好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“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四个取消、四个降低、两个增加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”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政策组合拳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highlight w:val="none"/>
        </w:rPr>
      </w:pP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（五）进一步加大“房票”安置力度。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highlight w:val="none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紧密对接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城市更新、城中村改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highlight w:val="none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造，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提高货币化安置比例，</w:t>
      </w:r>
      <w:r>
        <w:rPr>
          <w:rFonts w:hint="default" w:ascii="方正仿宋简体" w:hAnsi="方正仿宋简体" w:eastAsia="方正仿宋简体" w:cs="方正仿宋简体"/>
          <w:spacing w:val="0"/>
          <w:position w:val="0"/>
          <w:sz w:val="32"/>
          <w:szCs w:val="32"/>
          <w:highlight w:val="none"/>
          <w:lang w:val="en-US"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老城区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highlight w:val="none"/>
          <w:lang w:val="en-US"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房屋征收</w:t>
      </w:r>
      <w:r>
        <w:rPr>
          <w:rFonts w:hint="default" w:ascii="方正仿宋简体" w:hAnsi="方正仿宋简体" w:eastAsia="方正仿宋简体" w:cs="方正仿宋简体"/>
          <w:spacing w:val="0"/>
          <w:position w:val="0"/>
          <w:sz w:val="32"/>
          <w:szCs w:val="32"/>
          <w:highlight w:val="none"/>
          <w:lang w:val="en-US"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区域原则上进行“房票”安置，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房屋被征收群众可持“房票”购房。允许“房票”在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highlight w:val="none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统一征收区域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内转让、拆分、组合使用。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:highlight w:val="none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（六）加力推进“以旧换新”。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严格落实换购住房阶段性个人所得税退税政策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highlight w:val="none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对出售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highlight w:val="none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我市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自有住房并在现住房出售后一年内在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highlight w:val="none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我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市重新购买住房的纳税人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highlight w:val="none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对其出售现住房已缴纳的个人所得税予以退税优惠。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:highlight w:val="none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（七）统筹抓好</w:t>
      </w: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城中村改造。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抢抓城中村改造政策扩围机遇，指导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任城区、兖州区、济宁高新区、太白湖新区、济宁经济技术开发区，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合理确定城中村改造范围和标准，建立项目清单，做好项目储备，重点支持群众改造意愿强烈、条件比较成熟的项目，做实“一项目两方案”，推动更多条件成熟的项目列入国家计划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在充分尊重群众意愿的前提下，引导选择“房票”等货币化安置方式。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outlineLvl w:val="3"/>
        <w:rPr>
          <w:rFonts w:hint="eastAsia" w:ascii="方正黑体简体" w:hAnsi="方正黑体简体" w:eastAsia="方正黑体简体" w:cs="方正黑体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</w:pPr>
      <w:r>
        <w:rPr>
          <w:rFonts w:hint="eastAsia" w:ascii="方正黑体简体" w:hAnsi="方正黑体简体" w:eastAsia="方正黑体简体" w:cs="方正黑体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三、</w:t>
      </w:r>
      <w:r>
        <w:rPr>
          <w:rFonts w:hint="eastAsia" w:ascii="方正黑体简体" w:hAnsi="方正黑体简体" w:eastAsia="方正黑体简体" w:cs="方正黑体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优化住房产品和服务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（八）进一步改善住房产品结构</w:t>
      </w: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val="en-US"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把高品质住宅作为激活住房消费高端链条的发力点，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在新出让优质地块上的商品住宅项目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highlight w:val="none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，原则上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按照高品质住宅标准进行建设</w:t>
      </w:r>
      <w:r>
        <w:rPr>
          <w:rFonts w:hint="default" w:ascii="方正仿宋简体" w:hAnsi="方正仿宋简体" w:eastAsia="方正仿宋简体" w:cs="方正仿宋简体"/>
          <w:spacing w:val="0"/>
          <w:position w:val="0"/>
          <w:sz w:val="32"/>
          <w:szCs w:val="32"/>
          <w:highlight w:val="none"/>
          <w:lang w:val="en-US"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在优化容积率、公共服务设施配套、贷款融资等方面给予政策支持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打造更多安全、舒适、绿色、智慧的“好房子”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，更好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满足群众多样化改善性住房需求。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:highlight w:val="none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（九）加力推进</w:t>
      </w: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老旧小区</w:t>
      </w: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:highlight w:val="none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改造</w:t>
      </w: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hint="eastAsia" w:ascii="Times New Roman" w:hAnsi="Times New Roman" w:eastAsia="方正仿宋简体" w:cs="Times New Roman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深入</w:t>
      </w:r>
      <w:r>
        <w:rPr>
          <w:rFonts w:hint="default" w:ascii="Times New Roman" w:hAnsi="Times New Roman" w:eastAsia="方正仿宋简体" w:cs="Times New Roman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落实《以城镇老旧小区改造带动以旧换新工作推进方案》，推动大规模设备更新和消费品以旧换新，持续开展好</w:t>
      </w:r>
      <w:r>
        <w:rPr>
          <w:rFonts w:hint="eastAsia" w:ascii="Times New Roman" w:hAnsi="Times New Roman" w:eastAsia="方正仿宋简体" w:cs="Times New Roman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“</w:t>
      </w:r>
      <w:r>
        <w:rPr>
          <w:rFonts w:hint="default" w:ascii="Times New Roman" w:hAnsi="Times New Roman" w:eastAsia="方正仿宋简体" w:cs="Times New Roman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五个一</w:t>
      </w:r>
      <w:r>
        <w:rPr>
          <w:rFonts w:hint="eastAsia" w:ascii="Times New Roman" w:hAnsi="Times New Roman" w:eastAsia="方正仿宋简体" w:cs="Times New Roman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”</w:t>
      </w:r>
      <w:r>
        <w:rPr>
          <w:rFonts w:hint="default" w:ascii="Times New Roman" w:hAnsi="Times New Roman" w:eastAsia="方正仿宋简体" w:cs="Times New Roman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活动。以城镇老旧小区改造带动居民实施既有住宅加装电梯、住宅老旧电梯更新、家电以旧换新、家装厨卫</w:t>
      </w:r>
      <w:r>
        <w:rPr>
          <w:rFonts w:hint="eastAsia" w:ascii="Times New Roman" w:hAnsi="Times New Roman" w:eastAsia="方正仿宋简体" w:cs="Times New Roman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“</w:t>
      </w:r>
      <w:r>
        <w:rPr>
          <w:rFonts w:hint="default" w:ascii="Times New Roman" w:hAnsi="Times New Roman" w:eastAsia="方正仿宋简体" w:cs="Times New Roman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焕新</w:t>
      </w:r>
      <w:r>
        <w:rPr>
          <w:rFonts w:hint="eastAsia" w:ascii="Times New Roman" w:hAnsi="Times New Roman" w:eastAsia="方正仿宋简体" w:cs="Times New Roman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”</w:t>
      </w:r>
      <w:r>
        <w:rPr>
          <w:rFonts w:hint="default" w:ascii="Times New Roman" w:hAnsi="Times New Roman" w:eastAsia="方正仿宋简体" w:cs="Times New Roman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、建筑门窗等节能改造、适老化改造，努力实现小区面貌更优美、居民户内能焕新、消费投资可促进。2025年，全市计划改造城镇老旧小区108个、1.5万户。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 w:firstLine="640" w:firstLineChars="200"/>
        <w:jc w:val="both"/>
        <w:textAlignment w:val="baseline"/>
        <w:rPr>
          <w:rFonts w:hint="eastAsia" w:ascii="Times New Roman" w:hAnsi="Times New Roman" w:eastAsia="方正仿宋简体" w:cs="Times New Roman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</w:pP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:highlight w:val="none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（</w:t>
      </w: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十</w:t>
      </w: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:highlight w:val="none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）优化设施配套、服务配套</w:t>
      </w: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hint="default" w:ascii="Times New Roman" w:hAnsi="Times New Roman" w:eastAsia="方正仿宋简体" w:cs="Times New Roman"/>
          <w:spacing w:val="0"/>
          <w:position w:val="0"/>
          <w:sz w:val="32"/>
          <w:szCs w:val="32"/>
          <w:lang w:val="en-US"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全面提升</w:t>
      </w:r>
      <w:r>
        <w:rPr>
          <w:rFonts w:hint="eastAsia" w:ascii="Times New Roman" w:hAnsi="Times New Roman" w:eastAsia="方正仿宋简体" w:cs="Times New Roman"/>
          <w:spacing w:val="0"/>
          <w:position w:val="0"/>
          <w:sz w:val="32"/>
          <w:szCs w:val="32"/>
          <w:lang w:val="en-US"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开发项目</w:t>
      </w:r>
      <w:r>
        <w:rPr>
          <w:rFonts w:hint="default" w:ascii="Times New Roman" w:hAnsi="Times New Roman" w:eastAsia="方正仿宋简体" w:cs="Times New Roman"/>
          <w:spacing w:val="0"/>
          <w:position w:val="0"/>
          <w:sz w:val="32"/>
          <w:szCs w:val="32"/>
          <w:lang w:val="en-US"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适老化、适儿化、无障碍设施水平，健全健身休闲设施，强化充电桩、消防救援能力建设，优化美化园林景观，配齐公共服务、商业服务设施</w:t>
      </w:r>
      <w:r>
        <w:rPr>
          <w:rFonts w:hint="eastAsia" w:ascii="Times New Roman" w:hAnsi="Times New Roman" w:eastAsia="方正仿宋简体" w:cs="Times New Roman"/>
          <w:spacing w:val="0"/>
          <w:position w:val="0"/>
          <w:sz w:val="32"/>
          <w:szCs w:val="32"/>
          <w:lang w:val="en-US"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</w:t>
      </w:r>
      <w:r>
        <w:rPr>
          <w:rFonts w:hint="default" w:ascii="Times New Roman" w:hAnsi="Times New Roman" w:eastAsia="方正仿宋简体" w:cs="Times New Roman"/>
          <w:spacing w:val="0"/>
          <w:position w:val="0"/>
          <w:sz w:val="32"/>
          <w:szCs w:val="32"/>
          <w:lang w:val="en-US"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为业主提供细微、高端、标准化服务。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outlineLvl w:val="3"/>
        <w:rPr>
          <w:rFonts w:hint="eastAsia" w:ascii="方正黑体简体" w:hAnsi="方正黑体简体" w:eastAsia="方正黑体简体" w:cs="方正黑体简体"/>
          <w:spacing w:val="0"/>
          <w:position w:val="0"/>
          <w:sz w:val="32"/>
          <w:szCs w:val="32"/>
          <w:highlight w:val="none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</w:pPr>
      <w:r>
        <w:rPr>
          <w:rFonts w:hint="eastAsia" w:ascii="方正黑体简体" w:hAnsi="方正黑体简体" w:eastAsia="方正黑体简体" w:cs="方正黑体简体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四、全力</w:t>
      </w:r>
      <w:r>
        <w:rPr>
          <w:rFonts w:hint="eastAsia" w:ascii="方正黑体简体" w:hAnsi="方正黑体简体" w:eastAsia="方正黑体简体" w:cs="方正黑体简体"/>
          <w:spacing w:val="0"/>
          <w:position w:val="0"/>
          <w:sz w:val="32"/>
          <w:szCs w:val="32"/>
          <w:highlight w:val="none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激活刚性住房需求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0"/>
          <w:position w:val="0"/>
          <w:sz w:val="32"/>
          <w:szCs w:val="32"/>
          <w:highlight w:val="none"/>
        </w:rPr>
      </w:pP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:highlight w:val="none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（</w:t>
      </w: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十</w:t>
      </w: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:highlight w:val="none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一）</w:t>
      </w: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健全住房保障体系。</w:t>
      </w:r>
      <w:r>
        <w:rPr>
          <w:rFonts w:hint="eastAsia" w:ascii="Times New Roman" w:hAnsi="Times New Roman" w:eastAsia="方正仿宋简体" w:cs="Times New Roman"/>
          <w:spacing w:val="0"/>
          <w:position w:val="0"/>
          <w:sz w:val="32"/>
          <w:szCs w:val="32"/>
          <w:highlight w:val="none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按照“</w:t>
      </w:r>
      <w:r>
        <w:rPr>
          <w:rFonts w:hint="default" w:ascii="Times New Roman" w:hAnsi="Times New Roman" w:eastAsia="方正仿宋简体" w:cs="Times New Roman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以需定建、以需定购</w:t>
      </w:r>
      <w:r>
        <w:rPr>
          <w:rFonts w:hint="eastAsia" w:ascii="Times New Roman" w:hAnsi="Times New Roman" w:eastAsia="方正仿宋简体" w:cs="Times New Roman"/>
          <w:spacing w:val="0"/>
          <w:position w:val="0"/>
          <w:sz w:val="32"/>
          <w:szCs w:val="32"/>
          <w:highlight w:val="none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”要求</w:t>
      </w:r>
      <w:r>
        <w:rPr>
          <w:rFonts w:hint="default" w:ascii="Times New Roman" w:hAnsi="Times New Roman" w:eastAsia="方正仿宋简体" w:cs="Times New Roman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，指导各县（市、区）动态掌握保障性住房需求和合适房源情况，建立健全住房需求轮候库，及时将符合条件的存量商品房纳入收购范围。加快保障性租赁住房建设，2025年底前完成1000套以上。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:highlight w:val="none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（</w:t>
      </w: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十</w:t>
      </w: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:highlight w:val="none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二）优化</w:t>
      </w: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租赁补贴</w:t>
      </w: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:highlight w:val="none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举措</w:t>
      </w: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合理确定租赁补贴发放对象和发放规模，将符合当地保障条件的农业转移人口、新就业形态劳动者等纳入补贴范围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完善补贴政策，根据保障对象住房困难程度和支付能力等，动态调整租赁补贴标准和补贴面积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 xml:space="preserve">指导各县（市、区）调整补贴发放时间和发放频次，原则上按月或按季度发放。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outlineLvl w:val="3"/>
        <w:rPr>
          <w:rFonts w:hint="eastAsia" w:ascii="方正黑体简体" w:hAnsi="方正黑体简体" w:eastAsia="方正黑体简体" w:cs="方正黑体简体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</w:pPr>
      <w:r>
        <w:rPr>
          <w:rFonts w:hint="eastAsia" w:ascii="方正黑体简体" w:hAnsi="方正黑体简体" w:eastAsia="方正黑体简体" w:cs="方正黑体简体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五、</w:t>
      </w:r>
      <w:r>
        <w:rPr>
          <w:rFonts w:hint="eastAsia" w:ascii="方正黑体简体" w:hAnsi="方正黑体简体" w:eastAsia="方正黑体简体" w:cs="方正黑体简体"/>
          <w:spacing w:val="0"/>
          <w:position w:val="0"/>
          <w:sz w:val="32"/>
          <w:szCs w:val="32"/>
          <w:highlight w:val="none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强化住房</w:t>
      </w:r>
      <w:r>
        <w:rPr>
          <w:rFonts w:hint="eastAsia" w:ascii="方正黑体简体" w:hAnsi="方正黑体简体" w:eastAsia="方正黑体简体" w:cs="方正黑体简体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公积金支持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0"/>
          <w:position w:val="0"/>
          <w:sz w:val="32"/>
          <w:szCs w:val="32"/>
          <w:highlight w:val="none"/>
        </w:rPr>
      </w:pP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:highlight w:val="none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（</w:t>
      </w: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十</w:t>
      </w: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:highlight w:val="none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三）</w:t>
      </w: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提高使用额度。</w:t>
      </w:r>
      <w:r>
        <w:rPr>
          <w:rFonts w:hint="default" w:ascii="Times New Roman" w:hAnsi="Times New Roman" w:eastAsia="方正仿宋简体" w:cs="Times New Roman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提高住房公积金实际可贷额度</w:t>
      </w:r>
      <w:r>
        <w:rPr>
          <w:rFonts w:hint="default" w:ascii="Times New Roman" w:hAnsi="Times New Roman" w:eastAsia="方正仿宋简体" w:cs="Times New Roman"/>
          <w:spacing w:val="0"/>
          <w:position w:val="0"/>
          <w:sz w:val="32"/>
          <w:szCs w:val="32"/>
          <w:highlight w:val="none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</w:t>
      </w:r>
      <w:r>
        <w:rPr>
          <w:rFonts w:hint="default" w:ascii="Times New Roman" w:hAnsi="Times New Roman" w:eastAsia="方正仿宋简体" w:cs="Times New Roman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月还款额与月收入比上限控制可提高至</w:t>
      </w:r>
      <w:r>
        <w:rPr>
          <w:rFonts w:hint="eastAsia" w:ascii="Times New Roman" w:hAnsi="Times New Roman" w:eastAsia="方正仿宋简体" w:cs="Times New Roman"/>
          <w:spacing w:val="0"/>
          <w:position w:val="0"/>
          <w:sz w:val="32"/>
          <w:szCs w:val="32"/>
          <w:highlight w:val="none"/>
          <w:lang w:val="en-US"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60%</w:t>
      </w:r>
      <w:r>
        <w:rPr>
          <w:rFonts w:hint="default" w:ascii="Times New Roman" w:hAnsi="Times New Roman" w:eastAsia="方正仿宋简体" w:cs="Times New Roman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。支持现房销售</w:t>
      </w:r>
      <w:r>
        <w:rPr>
          <w:rFonts w:hint="default" w:ascii="Times New Roman" w:hAnsi="Times New Roman" w:eastAsia="方正仿宋简体" w:cs="Times New Roman"/>
          <w:spacing w:val="0"/>
          <w:position w:val="0"/>
          <w:sz w:val="32"/>
          <w:szCs w:val="32"/>
          <w:highlight w:val="none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</w:t>
      </w:r>
      <w:r>
        <w:rPr>
          <w:rFonts w:hint="default" w:ascii="Times New Roman" w:hAnsi="Times New Roman" w:eastAsia="方正仿宋简体" w:cs="Times New Roman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购买现房申请住房公积金贷款的</w:t>
      </w:r>
      <w:r>
        <w:rPr>
          <w:rFonts w:hint="default" w:ascii="Times New Roman" w:hAnsi="Times New Roman" w:eastAsia="方正仿宋简体" w:cs="Times New Roman"/>
          <w:spacing w:val="0"/>
          <w:position w:val="0"/>
          <w:sz w:val="32"/>
          <w:szCs w:val="32"/>
          <w:highlight w:val="none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</w:t>
      </w:r>
      <w:r>
        <w:rPr>
          <w:rFonts w:hint="default" w:ascii="Times New Roman" w:hAnsi="Times New Roman" w:eastAsia="方正仿宋简体" w:cs="Times New Roman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最高贷款额度可提高</w:t>
      </w:r>
      <w:r>
        <w:rPr>
          <w:rFonts w:hint="eastAsia" w:ascii="Times New Roman" w:hAnsi="Times New Roman" w:eastAsia="方正仿宋简体" w:cs="Times New Roman"/>
          <w:spacing w:val="0"/>
          <w:position w:val="0"/>
          <w:sz w:val="32"/>
          <w:szCs w:val="32"/>
          <w:highlight w:val="none"/>
          <w:lang w:val="en-US"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10%</w:t>
      </w:r>
      <w:r>
        <w:rPr>
          <w:rFonts w:hint="default" w:ascii="Times New Roman" w:hAnsi="Times New Roman" w:eastAsia="方正仿宋简体" w:cs="Times New Roman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以上。购买第二套改善性自住住房申请住房公积金贷款的</w:t>
      </w:r>
      <w:r>
        <w:rPr>
          <w:rFonts w:hint="default" w:ascii="Times New Roman" w:hAnsi="Times New Roman" w:eastAsia="方正仿宋简体" w:cs="Times New Roman"/>
          <w:spacing w:val="0"/>
          <w:position w:val="0"/>
          <w:sz w:val="32"/>
          <w:szCs w:val="32"/>
          <w:highlight w:val="none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</w:t>
      </w:r>
      <w:r>
        <w:rPr>
          <w:rFonts w:hint="default" w:ascii="Times New Roman" w:hAnsi="Times New Roman" w:eastAsia="方正仿宋简体" w:cs="Times New Roman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最低首付款比例可降至</w:t>
      </w:r>
      <w:r>
        <w:rPr>
          <w:rFonts w:hint="eastAsia" w:ascii="Times New Roman" w:hAnsi="Times New Roman" w:eastAsia="方正仿宋简体" w:cs="Times New Roman"/>
          <w:spacing w:val="0"/>
          <w:position w:val="0"/>
          <w:sz w:val="32"/>
          <w:szCs w:val="32"/>
          <w:highlight w:val="none"/>
          <w:lang w:val="en-US"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20%</w:t>
      </w:r>
      <w:r>
        <w:rPr>
          <w:rFonts w:hint="default" w:ascii="Times New Roman" w:hAnsi="Times New Roman" w:eastAsia="方正仿宋简体" w:cs="Times New Roman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0"/>
          <w:position w:val="0"/>
          <w:sz w:val="32"/>
          <w:szCs w:val="32"/>
          <w:highlight w:val="none"/>
        </w:rPr>
      </w:pP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:highlight w:val="none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（</w:t>
      </w: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十</w:t>
      </w: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:highlight w:val="none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四）</w:t>
      </w: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放宽缴存范围。</w:t>
      </w:r>
      <w:r>
        <w:rPr>
          <w:rFonts w:hint="default" w:ascii="Times New Roman" w:hAnsi="Times New Roman" w:eastAsia="方正仿宋简体" w:cs="Times New Roman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推进灵活就业人员自愿缴存公积</w:t>
      </w:r>
      <w:r>
        <w:rPr>
          <w:rFonts w:hint="default" w:ascii="Times New Roman" w:hAnsi="Times New Roman" w:eastAsia="方正仿宋简体" w:cs="Times New Roman"/>
          <w:spacing w:val="-11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金</w:t>
      </w:r>
      <w:r>
        <w:rPr>
          <w:rFonts w:hint="default" w:ascii="Times New Roman" w:hAnsi="Times New Roman" w:eastAsia="方正仿宋简体" w:cs="Times New Roman"/>
          <w:spacing w:val="-11"/>
          <w:position w:val="0"/>
          <w:sz w:val="32"/>
          <w:szCs w:val="32"/>
          <w:highlight w:val="none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</w:t>
      </w:r>
      <w:r>
        <w:rPr>
          <w:rFonts w:hint="default" w:ascii="Times New Roman" w:hAnsi="Times New Roman" w:eastAsia="方正仿宋简体" w:cs="Times New Roman"/>
          <w:spacing w:val="-11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实现</w:t>
      </w:r>
      <w:r>
        <w:rPr>
          <w:rFonts w:hint="eastAsia" w:ascii="Times New Roman" w:hAnsi="Times New Roman" w:eastAsia="方正仿宋简体" w:cs="Times New Roman"/>
          <w:spacing w:val="-11"/>
          <w:position w:val="0"/>
          <w:sz w:val="32"/>
          <w:szCs w:val="32"/>
          <w:highlight w:val="none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“</w:t>
      </w:r>
      <w:r>
        <w:rPr>
          <w:rFonts w:hint="default" w:ascii="Times New Roman" w:hAnsi="Times New Roman" w:eastAsia="方正仿宋简体" w:cs="Times New Roman"/>
          <w:spacing w:val="-11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应缴尽缴、愿缴能缴</w:t>
      </w:r>
      <w:r>
        <w:rPr>
          <w:rFonts w:hint="eastAsia" w:ascii="Times New Roman" w:hAnsi="Times New Roman" w:eastAsia="方正仿宋简体" w:cs="Times New Roman"/>
          <w:spacing w:val="-11"/>
          <w:position w:val="0"/>
          <w:sz w:val="32"/>
          <w:szCs w:val="32"/>
          <w:highlight w:val="none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”，</w:t>
      </w:r>
      <w:r>
        <w:rPr>
          <w:rFonts w:hint="default" w:ascii="Times New Roman" w:hAnsi="Times New Roman" w:eastAsia="方正仿宋简体" w:cs="Times New Roman"/>
          <w:spacing w:val="-11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进一步激发市场消费潜力</w:t>
      </w:r>
      <w:r>
        <w:rPr>
          <w:rFonts w:hint="default" w:ascii="Times New Roman" w:hAnsi="Times New Roman" w:eastAsia="方正仿宋简体" w:cs="Times New Roman"/>
          <w:spacing w:val="0"/>
          <w:position w:val="0"/>
          <w:sz w:val="32"/>
          <w:szCs w:val="32"/>
          <w:highlight w:val="none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</w:t>
      </w:r>
      <w:r>
        <w:rPr>
          <w:rFonts w:hint="default" w:ascii="Times New Roman" w:hAnsi="Times New Roman" w:eastAsia="方正仿宋简体" w:cs="Times New Roman"/>
          <w:spacing w:val="0"/>
          <w:position w:val="0"/>
          <w:sz w:val="32"/>
          <w:szCs w:val="32"/>
          <w:highlight w:val="none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助力灵活就业人员在城镇稳业安居。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outlineLvl w:val="3"/>
        <w:rPr>
          <w:rFonts w:hint="eastAsia" w:ascii="方正黑体简体" w:hAnsi="方正黑体简体" w:eastAsia="方正黑体简体" w:cs="方正黑体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</w:pPr>
      <w:r>
        <w:rPr>
          <w:rFonts w:hint="eastAsia" w:ascii="方正黑体简体" w:hAnsi="方正黑体简体" w:eastAsia="方正黑体简体" w:cs="方正黑体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六、</w:t>
      </w:r>
      <w:r>
        <w:rPr>
          <w:rFonts w:hint="eastAsia" w:ascii="方正黑体简体" w:hAnsi="方正黑体简体" w:eastAsia="方正黑体简体" w:cs="方正黑体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强化</w:t>
      </w:r>
      <w:r>
        <w:rPr>
          <w:rFonts w:hint="eastAsia" w:ascii="方正黑体简体" w:hAnsi="方正黑体简体" w:eastAsia="方正黑体简体" w:cs="方正黑体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开发项目建设</w:t>
      </w:r>
      <w:r>
        <w:rPr>
          <w:rFonts w:hint="eastAsia" w:ascii="方正黑体简体" w:hAnsi="方正黑体简体" w:eastAsia="方正黑体简体" w:cs="方正黑体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服务保障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 w:firstLine="64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（</w:t>
      </w: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十</w:t>
      </w: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五）</w:t>
      </w: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加强房地联动。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加强住房城乡建设部门与自然资源部门沟通联动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依据商品住宅库存去化周期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合理控制新增房地产用地供应。科学编制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“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十五五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”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住房发展规划</w:t>
      </w:r>
      <w:r>
        <w:rPr>
          <w:rFonts w:hint="default" w:ascii="Times New Roman" w:hAnsi="Times New Roman" w:eastAsia="方正仿宋简体" w:cs="Times New Roman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和</w:t>
      </w:r>
      <w:r>
        <w:rPr>
          <w:rFonts w:hint="default" w:ascii="Times New Roman" w:hAnsi="Times New Roman" w:eastAsia="方正仿宋简体" w:cs="Times New Roman"/>
          <w:spacing w:val="0"/>
          <w:position w:val="0"/>
          <w:sz w:val="32"/>
          <w:szCs w:val="32"/>
          <w:lang w:val="en-US"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2025</w:t>
      </w:r>
      <w:r>
        <w:rPr>
          <w:rFonts w:hint="default" w:ascii="Times New Roman" w:hAnsi="Times New Roman" w:eastAsia="方正仿宋简体" w:cs="Times New Roman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年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住房年度计划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优化住房供应结构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促进房地产市场预期稳定、供需平衡。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（十六）满足合理融资需求。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将“白名单”机制作为合规住房开发项目的主要融资渠道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实施项目主办银行制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动态梳理住房开发项目融资需求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推动合规项目“应进尽进”、已审贷款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“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应贷尽贷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”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、资金拨付“能早尽早”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更好满足项目合理融资需求。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 w:firstLine="640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</w:pP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（十七）优化服务监管工作。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加强房地产开发项目“全周期全链条闭合式”管理，落实房地产开发项目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val="en-US"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包保责任和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“一官两员”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（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首席服务官、项目帮办员、项目督办员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）制度，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协调解决项目建设中遇到的问题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。进一步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强化商品房预售资金监管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定期加强工作指导调度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靠前服务、简化项目施工手续、深入推进“电子证照”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助力项目早开工、快建设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</w:t>
      </w:r>
      <w:r>
        <w:rPr>
          <w:rFonts w:hint="eastAsia" w:ascii="方正仿宋简体" w:hAnsi="方正仿宋简体" w:eastAsia="方正仿宋简体" w:cs="方正仿宋简体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尽快供应更多住房产品。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方正仿宋简体" w:cs="Times New Roman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</w:pPr>
      <w:r>
        <w:rPr>
          <w:rFonts w:hint="eastAsia" w:ascii="方正楷体简体" w:hAnsi="方正楷体简体" w:eastAsia="方正楷体简体" w:cs="方正楷体简体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（十八）注重加强宣传引导。</w:t>
      </w:r>
      <w:r>
        <w:rPr>
          <w:rFonts w:hint="default" w:ascii="Times New Roman" w:hAnsi="Times New Roman" w:eastAsia="方正仿宋简体" w:cs="Times New Roman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充分利用传统媒体与新媒体相结合的宣传矩阵</w:t>
      </w:r>
      <w:r>
        <w:rPr>
          <w:rFonts w:hint="eastAsia" w:ascii="Times New Roman" w:hAnsi="Times New Roman" w:eastAsia="方正仿宋简体" w:cs="Times New Roman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，持续</w:t>
      </w:r>
      <w:r>
        <w:rPr>
          <w:rFonts w:hint="default" w:ascii="Times New Roman" w:hAnsi="Times New Roman" w:eastAsia="方正仿宋简体" w:cs="Times New Roman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加强对房地产市场企稳向好情况的报道</w:t>
      </w:r>
      <w:r>
        <w:rPr>
          <w:rFonts w:hint="eastAsia" w:ascii="Times New Roman" w:hAnsi="Times New Roman" w:eastAsia="方正仿宋简体" w:cs="Times New Roman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</w:t>
      </w:r>
      <w:r>
        <w:rPr>
          <w:rFonts w:hint="default" w:ascii="Times New Roman" w:hAnsi="Times New Roman" w:eastAsia="方正仿宋简体" w:cs="Times New Roman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精准定位目标消费群体</w:t>
      </w:r>
      <w:r>
        <w:rPr>
          <w:rFonts w:hint="eastAsia" w:ascii="Times New Roman" w:hAnsi="Times New Roman" w:eastAsia="方正仿宋简体" w:cs="Times New Roman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，引导购房者树立正确市场预期，增强购房意愿</w:t>
      </w:r>
      <w:r>
        <w:rPr>
          <w:rFonts w:hint="default" w:ascii="Times New Roman" w:hAnsi="Times New Roman" w:eastAsia="方正仿宋简体" w:cs="Times New Roman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。加大对散播不实言论、恶意唱衰房地产市场等行为的打击力度</w:t>
      </w:r>
      <w:r>
        <w:rPr>
          <w:rFonts w:hint="eastAsia" w:ascii="Times New Roman" w:hAnsi="Times New Roman" w:eastAsia="方正仿宋简体" w:cs="Times New Roman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，</w:t>
      </w:r>
      <w:r>
        <w:rPr>
          <w:rFonts w:hint="default" w:ascii="Times New Roman" w:hAnsi="Times New Roman" w:eastAsia="方正仿宋简体" w:cs="Times New Roman"/>
          <w:spacing w:val="0"/>
          <w:position w:val="0"/>
          <w:sz w:val="32"/>
          <w:szCs w:val="32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营造良好舆论氛围</w:t>
      </w:r>
      <w:r>
        <w:rPr>
          <w:rFonts w:hint="eastAsia" w:ascii="Times New Roman" w:hAnsi="Times New Roman" w:eastAsia="方正仿宋简体" w:cs="Times New Roman"/>
          <w:spacing w:val="0"/>
          <w:position w:val="0"/>
          <w:sz w:val="32"/>
          <w:szCs w:val="32"/>
          <w:lang w:eastAsia="zh-CN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2" w:lineRule="auto"/>
        <w:jc w:val="both"/>
        <w:textAlignment w:val="baseline"/>
        <w:rPr>
          <w:spacing w:val="0"/>
          <w:position w:val="0"/>
          <w:sz w:val="29"/>
          <w:szCs w:val="29"/>
        </w:rPr>
        <w:sectPr>
          <w:footerReference r:id="rId5" w:type="default"/>
          <w:pgSz w:w="11907" w:h="16841"/>
          <w:pgMar w:top="1984" w:right="1587" w:bottom="1587" w:left="1587" w:header="0" w:footer="1134" w:gutter="0"/>
          <w:pgNumType w:fmt="decimal"/>
          <w:cols w:space="720" w:num="1"/>
        </w:sect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4" w:lineRule="auto"/>
        <w:jc w:val="both"/>
        <w:rPr>
          <w:rFonts w:ascii="Arial"/>
          <w:sz w:val="21"/>
        </w:rPr>
      </w:pPr>
    </w:p>
    <w:p>
      <w:pPr>
        <w:spacing w:line="245" w:lineRule="auto"/>
        <w:jc w:val="both"/>
        <w:rPr>
          <w:rFonts w:ascii="Arial"/>
          <w:sz w:val="21"/>
        </w:rPr>
      </w:pPr>
    </w:p>
    <w:p>
      <w:pPr>
        <w:spacing w:line="245" w:lineRule="auto"/>
        <w:jc w:val="both"/>
        <w:rPr>
          <w:rFonts w:ascii="Arial"/>
          <w:sz w:val="21"/>
        </w:rPr>
      </w:pPr>
    </w:p>
    <w:p>
      <w:pPr>
        <w:spacing w:line="245" w:lineRule="auto"/>
        <w:jc w:val="both"/>
        <w:rPr>
          <w:rFonts w:ascii="Arial"/>
          <w:sz w:val="21"/>
        </w:rPr>
      </w:pPr>
    </w:p>
    <w:p>
      <w:pPr>
        <w:spacing w:line="245" w:lineRule="auto"/>
        <w:jc w:val="both"/>
        <w:rPr>
          <w:rFonts w:ascii="Arial"/>
          <w:sz w:val="21"/>
        </w:rPr>
      </w:pPr>
    </w:p>
    <w:p>
      <w:pPr>
        <w:spacing w:line="43" w:lineRule="exact"/>
        <w:jc w:val="both"/>
        <w:rPr>
          <w:rFonts w:hint="eastAsia" w:ascii="方正仿宋简体" w:hAnsi="方正仿宋简体" w:eastAsia="方正仿宋简体" w:cs="方正仿宋简体"/>
          <w:spacing w:val="0"/>
          <w:sz w:val="28"/>
          <w:szCs w:val="28"/>
        </w:rPr>
      </w:pPr>
    </w:p>
    <w:tbl>
      <w:tblPr>
        <w:tblStyle w:val="13"/>
        <w:tblW w:w="8663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6"/>
        <w:gridCol w:w="35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56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pStyle w:val="6"/>
              <w:spacing w:before="111" w:line="204" w:lineRule="auto"/>
              <w:ind w:left="408"/>
              <w:jc w:val="both"/>
              <w:rPr>
                <w:rFonts w:hint="eastAsia" w:ascii="方正仿宋简体" w:hAnsi="方正仿宋简体" w:eastAsia="方正仿宋简体" w:cs="方正仿宋简体"/>
                <w:spacing w:val="0"/>
                <w:sz w:val="28"/>
                <w:szCs w:val="28"/>
                <w:lang w:eastAsia="zh-CN"/>
                <w14:textOutline w14:w="254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8"/>
                <w:szCs w:val="28"/>
                <w14:textOutline w14:w="254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信息公开属性:此件主动公开</w:t>
            </w:r>
          </w:p>
        </w:tc>
        <w:tc>
          <w:tcPr>
            <w:tcW w:w="3507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132" w:line="203" w:lineRule="auto"/>
              <w:ind w:left="0" w:firstLine="280" w:firstLineChars="100"/>
              <w:jc w:val="both"/>
              <w:rPr>
                <w:rFonts w:hint="default" w:ascii="Times New Roman" w:hAnsi="Times New Roman" w:eastAsia="方正仿宋简体" w:cs="Times New Roman"/>
                <w:spacing w:val="0"/>
                <w:position w:val="0"/>
                <w:sz w:val="28"/>
                <w:szCs w:val="28"/>
                <w:lang w:val="en-US" w:eastAsia="zh-CN"/>
                <w14:textOutline w14:w="254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56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131" w:line="204" w:lineRule="auto"/>
              <w:ind w:left="443"/>
              <w:jc w:val="both"/>
              <w:rPr>
                <w:rFonts w:hint="eastAsia" w:ascii="方正仿宋简体" w:hAnsi="方正仿宋简体" w:eastAsia="方正仿宋简体" w:cs="方正仿宋简体"/>
                <w:spacing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8"/>
                <w:szCs w:val="28"/>
                <w:lang w:eastAsia="zh-CN"/>
                <w14:textOutline w14:w="254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济宁市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sz w:val="28"/>
                <w:szCs w:val="28"/>
                <w14:textOutline w14:w="254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住房和城乡建设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sz w:val="28"/>
                <w:szCs w:val="28"/>
                <w:lang w:eastAsia="zh-CN"/>
                <w14:textOutline w14:w="254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局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sz w:val="28"/>
                <w:szCs w:val="28"/>
                <w14:textOutline w14:w="254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办公室</w:t>
            </w:r>
          </w:p>
        </w:tc>
        <w:tc>
          <w:tcPr>
            <w:tcW w:w="3507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132" w:line="203" w:lineRule="auto"/>
              <w:ind w:left="0" w:firstLine="280" w:firstLineChars="100"/>
              <w:jc w:val="both"/>
              <w:rPr>
                <w:rFonts w:hint="eastAsia" w:ascii="方正仿宋简体" w:hAnsi="方正仿宋简体" w:eastAsia="方正仿宋简体" w:cs="方正仿宋简体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position w:val="0"/>
                <w:sz w:val="28"/>
                <w:szCs w:val="28"/>
                <w:lang w:val="en-US" w:eastAsia="zh-CN"/>
                <w14:textOutline w14:w="254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2025</w:t>
            </w:r>
            <w:r>
              <w:rPr>
                <w:rFonts w:hint="default" w:ascii="Times New Roman" w:hAnsi="Times New Roman" w:eastAsia="方正仿宋简体" w:cs="Times New Roman"/>
                <w:spacing w:val="0"/>
                <w:position w:val="0"/>
                <w:sz w:val="28"/>
                <w:szCs w:val="28"/>
                <w14:textOutline w14:w="254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spacing w:val="0"/>
                <w:position w:val="0"/>
                <w:sz w:val="28"/>
                <w:szCs w:val="28"/>
                <w:lang w:eastAsia="zh-CN"/>
                <w14:textOutline w14:w="254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pacing w:val="0"/>
                <w:position w:val="0"/>
                <w:sz w:val="28"/>
                <w:szCs w:val="28"/>
                <w14:textOutline w14:w="254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pacing w:val="0"/>
                <w:position w:val="0"/>
                <w:sz w:val="28"/>
                <w:szCs w:val="28"/>
                <w:lang w:val="en-US" w:eastAsia="zh-CN"/>
                <w14:textOutline w14:w="254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24</w:t>
            </w:r>
            <w:r>
              <w:rPr>
                <w:rFonts w:hint="default" w:ascii="Times New Roman" w:hAnsi="Times New Roman" w:eastAsia="方正仿宋简体" w:cs="Times New Roman"/>
                <w:spacing w:val="0"/>
                <w:position w:val="0"/>
                <w:sz w:val="28"/>
                <w:szCs w:val="28"/>
                <w14:textOutline w14:w="254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日印发</w:t>
            </w:r>
          </w:p>
        </w:tc>
      </w:tr>
    </w:tbl>
    <w:p>
      <w:pPr>
        <w:jc w:val="both"/>
        <w:rPr>
          <w:rFonts w:ascii="Arial"/>
          <w:sz w:val="21"/>
        </w:rPr>
      </w:pPr>
    </w:p>
    <w:sectPr>
      <w:footerReference r:id="rId6" w:type="default"/>
      <w:pgSz w:w="11907" w:h="16841"/>
      <w:pgMar w:top="1431" w:right="1675" w:bottom="400" w:left="1567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286" w:lineRule="exact"/>
      <w:ind w:left="7521"/>
      <w:rPr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36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36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6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6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true"/>
  <w:embedSystemFonts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D9F0EBC"/>
    <w:rsid w:val="0DDB44DE"/>
    <w:rsid w:val="0E1D5479"/>
    <w:rsid w:val="16BA66D8"/>
    <w:rsid w:val="1FD53D5E"/>
    <w:rsid w:val="2970650B"/>
    <w:rsid w:val="2EFEFAA4"/>
    <w:rsid w:val="2F6F4544"/>
    <w:rsid w:val="35FEE09C"/>
    <w:rsid w:val="36FFC550"/>
    <w:rsid w:val="37F6565B"/>
    <w:rsid w:val="37F71947"/>
    <w:rsid w:val="3DFD5ADA"/>
    <w:rsid w:val="3FABC588"/>
    <w:rsid w:val="3FB65F44"/>
    <w:rsid w:val="3FDFE3EE"/>
    <w:rsid w:val="437B6009"/>
    <w:rsid w:val="4AEEF1E6"/>
    <w:rsid w:val="4D7F1190"/>
    <w:rsid w:val="54FD6E50"/>
    <w:rsid w:val="57C240F8"/>
    <w:rsid w:val="5FFFDE92"/>
    <w:rsid w:val="664E4753"/>
    <w:rsid w:val="6EFC40C6"/>
    <w:rsid w:val="6F7D32D8"/>
    <w:rsid w:val="73F7CB3E"/>
    <w:rsid w:val="79FF1C25"/>
    <w:rsid w:val="7B5DA1C4"/>
    <w:rsid w:val="7BDF1B63"/>
    <w:rsid w:val="7DAB7CFB"/>
    <w:rsid w:val="7DDA3D72"/>
    <w:rsid w:val="7DF59E47"/>
    <w:rsid w:val="7EBA4D5E"/>
    <w:rsid w:val="7F9F8304"/>
    <w:rsid w:val="7FEFC3AB"/>
    <w:rsid w:val="7FFB9864"/>
    <w:rsid w:val="7FFED705"/>
    <w:rsid w:val="837BD3C5"/>
    <w:rsid w:val="9EF74828"/>
    <w:rsid w:val="9FEB87F9"/>
    <w:rsid w:val="A6FF6566"/>
    <w:rsid w:val="AF9B0EA3"/>
    <w:rsid w:val="AFF712A6"/>
    <w:rsid w:val="B1DEFFAE"/>
    <w:rsid w:val="B6AFB0C8"/>
    <w:rsid w:val="BA775DBC"/>
    <w:rsid w:val="BA7B23C6"/>
    <w:rsid w:val="BFBFD8A0"/>
    <w:rsid w:val="D3DF717B"/>
    <w:rsid w:val="D3EBD9D5"/>
    <w:rsid w:val="DEFF828B"/>
    <w:rsid w:val="DF3B38F1"/>
    <w:rsid w:val="DF7F1863"/>
    <w:rsid w:val="E7F854A2"/>
    <w:rsid w:val="E9BF87B2"/>
    <w:rsid w:val="EA9FCDB0"/>
    <w:rsid w:val="EAFF4D18"/>
    <w:rsid w:val="ECEFA6B1"/>
    <w:rsid w:val="F37D17FC"/>
    <w:rsid w:val="F518AC81"/>
    <w:rsid w:val="F7567085"/>
    <w:rsid w:val="F8CF31B7"/>
    <w:rsid w:val="F8FBCAAB"/>
    <w:rsid w:val="FBADD74A"/>
    <w:rsid w:val="FBCFC1ED"/>
    <w:rsid w:val="FCD7484C"/>
    <w:rsid w:val="FDFBA4CF"/>
    <w:rsid w:val="FF746779"/>
    <w:rsid w:val="FFF797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 First Indent"/>
    <w:basedOn w:val="6"/>
    <w:qFormat/>
    <w:uiPriority w:val="0"/>
    <w:pPr>
      <w:ind w:firstLine="420" w:firstLineChars="100"/>
    </w:pPr>
  </w:style>
  <w:style w:type="paragraph" w:styleId="6">
    <w:name w:val="Body Text"/>
    <w:basedOn w:val="1"/>
    <w:semiHidden/>
    <w:qFormat/>
    <w:uiPriority w:val="0"/>
    <w:rPr>
      <w:rFonts w:ascii="微软雅黑" w:hAnsi="微软雅黑" w:eastAsia="微软雅黑" w:cs="微软雅黑"/>
      <w:sz w:val="45"/>
      <w:szCs w:val="45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2892</Words>
  <Characters>2926</Characters>
  <TotalTime>2</TotalTime>
  <ScaleCrop>false</ScaleCrop>
  <LinksUpToDate>false</LinksUpToDate>
  <CharactersWithSpaces>2929</CharactersWithSpaces>
  <Application>WPS Office_11.8.2.10290_F1E327BC-269C-435d-A152-05C5408002CA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2025-01-31T08:58:00Z</dcterms:created>
  <dc:creator>作者</dc:creator>
  <cp:keywords>关键字</cp:keywords>
  <cp:lastModifiedBy>user</cp:lastModifiedBy>
  <cp:lastPrinted>2025-02-25T02:10:00Z</cp:lastPrinted>
  <dcterms:modified xsi:type="dcterms:W3CDTF">2025-03-10T11:38:51Z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2025-02-17T17:22:16Z</vt:filetime>
  </property>
  <property fmtid="{D5CDD505-2E9C-101B-9397-08002B2CF9AE}" pid="4" name="KSOTemplateDocerSaveRecord">
    <vt:lpwstr>eyJoZGlkIjoiY2MyMzYyMjE4OGEyYmU0NGU4OWM3NGNlZDgzMmNmZWUiLCJ1c2VySWQiOiI0NDcyMzIwMTEifQ==</vt:lpwstr>
  </property>
  <property fmtid="{D5CDD505-2E9C-101B-9397-08002B2CF9AE}" pid="5" name="KSOProductBuildVer">
    <vt:lpwstr>2052-11.8.2.10290</vt:lpwstr>
  </property>
  <property fmtid="{D5CDD505-2E9C-101B-9397-08002B2CF9AE}" pid="6" name="ICV">
    <vt:lpwstr>EFA5C9C6611B49D9A2D3CD767E0E3F27_13</vt:lpwstr>
  </property>
</Properties>
</file>