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0" w:firstLineChars="0"/>
        <w:rPr>
          <w:rFonts w:ascii="Calibri" w:hAnsi="Calibri" w:eastAsia="宋体" w:cs="Times New Roman"/>
          <w:sz w:val="21"/>
          <w:szCs w:val="22"/>
        </w:rPr>
      </w:pPr>
    </w:p>
    <w:p>
      <w:pPr>
        <w:spacing w:line="240" w:lineRule="atLeast"/>
        <w:ind w:firstLine="0" w:firstLineChars="0"/>
        <w:rPr>
          <w:rFonts w:ascii="Calibri" w:hAnsi="Calibri" w:eastAsia="宋体" w:cs="Times New Roman"/>
          <w:sz w:val="21"/>
          <w:szCs w:val="22"/>
        </w:rPr>
      </w:pPr>
    </w:p>
    <w:p>
      <w:pPr>
        <w:spacing w:line="240" w:lineRule="atLeast"/>
        <w:ind w:firstLine="0" w:firstLineChars="0"/>
        <w:rPr>
          <w:rFonts w:ascii="Calibri" w:hAnsi="Calibri" w:eastAsia="宋体" w:cs="Times New Roman"/>
          <w:sz w:val="21"/>
          <w:szCs w:val="22"/>
        </w:rPr>
      </w:pPr>
    </w:p>
    <w:p>
      <w:pPr>
        <w:spacing w:line="240" w:lineRule="atLeast"/>
        <w:ind w:firstLine="0" w:firstLineChars="0"/>
        <w:jc w:val="center"/>
        <w:rPr>
          <w:rFonts w:ascii="Calibri" w:hAnsi="Calibri" w:eastAsia="宋体" w:cs="Times New Roman"/>
          <w:sz w:val="21"/>
          <w:szCs w:val="22"/>
        </w:rPr>
      </w:pPr>
      <w:r>
        <w:rPr>
          <w:rFonts w:ascii="Calibri" w:hAnsi="Calibri" w:eastAsia="宋体" w:cs="Times New Roman"/>
          <w:sz w:val="21"/>
          <w:szCs w:val="22"/>
        </w:rPr>
        <w:pict>
          <v:shape id="_x0000_i1025" o:spt="136" type="#_x0000_t136" style="height:80.4pt;width:435pt;" fillcolor="#FF0000" filled="t" stroked="t" coordsize="21600,21600">
            <v:path/>
            <v:fill on="t" focussize="0,0"/>
            <v:stroke color="#FF0000"/>
            <v:imagedata o:title=""/>
            <o:lock v:ext="edit"/>
            <v:textpath on="t" fitshape="t" fitpath="t" trim="t" xscale="f" string="济宁市自然资源和规划局文件" style="font-family:方正小标宋简体;font-size:36pt;v-text-align:center;v-text-spacing:78650f;"/>
            <w10:wrap type="none"/>
            <w10:anchorlock/>
          </v:shape>
        </w:pict>
      </w:r>
    </w:p>
    <w:p>
      <w:pPr>
        <w:spacing w:line="560" w:lineRule="exact"/>
        <w:ind w:firstLine="0" w:firstLineChars="0"/>
        <w:rPr>
          <w:rFonts w:ascii="Calibri" w:hAnsi="Calibri" w:eastAsia="宋体" w:cs="Times New Roman"/>
          <w:sz w:val="21"/>
          <w:szCs w:val="22"/>
        </w:rPr>
      </w:pPr>
    </w:p>
    <w:p>
      <w:pPr>
        <w:spacing w:line="560" w:lineRule="exact"/>
        <w:ind w:firstLine="0" w:firstLineChars="0"/>
        <w:rPr>
          <w:rFonts w:ascii="Calibri" w:hAnsi="Calibri" w:eastAsia="宋体" w:cs="Times New Roman"/>
          <w:sz w:val="21"/>
          <w:szCs w:val="22"/>
        </w:rPr>
      </w:pPr>
    </w:p>
    <w:p>
      <w:pPr>
        <w:spacing w:line="560" w:lineRule="exact"/>
        <w:ind w:firstLine="0" w:firstLineChars="0"/>
        <w:rPr>
          <w:rFonts w:ascii="Calibri" w:hAnsi="Calibri" w:eastAsia="宋体" w:cs="Times New Roman"/>
          <w:sz w:val="21"/>
          <w:szCs w:val="22"/>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方正小标宋简体" w:hAnsi="Times New Roman" w:eastAsia="方正小标宋简体" w:cs="Times New Roman"/>
          <w:b w:val="0"/>
          <w:bCs w:val="0"/>
          <w:sz w:val="44"/>
          <w:szCs w:val="44"/>
        </w:rPr>
      </w:pPr>
      <w:r>
        <w:rPr>
          <w:rFonts w:hint="eastAsia" w:ascii="方正仿宋简体" w:hAnsi="Times New Roman" w:eastAsia="方正仿宋简体" w:cs="Times New Roman"/>
          <w:b w:val="0"/>
          <w:bCs w:val="0"/>
          <w:sz w:val="32"/>
          <w:szCs w:val="32"/>
        </w:rPr>
        <w:t>济自资规</w:t>
      </w:r>
      <w:r>
        <w:rPr>
          <w:rFonts w:hint="eastAsia" w:ascii="方正仿宋简体" w:hAnsi="Times New Roman" w:eastAsia="方正仿宋简体" w:cs="Times New Roman"/>
          <w:b w:val="0"/>
          <w:bCs w:val="0"/>
          <w:sz w:val="32"/>
          <w:szCs w:val="32"/>
          <w:lang w:val="en-US" w:eastAsia="zh-CN"/>
        </w:rPr>
        <w:t>发</w:t>
      </w:r>
      <w:r>
        <w:rPr>
          <w:rFonts w:hint="eastAsia" w:ascii="方正仿宋简体" w:hAnsi="Times New Roman" w:eastAsia="方正仿宋简体" w:cs="Times New Roman"/>
          <w:b w:val="0"/>
          <w:bCs w:val="0"/>
          <w:sz w:val="32"/>
          <w:szCs w:val="32"/>
        </w:rPr>
        <w:t>〔202</w:t>
      </w:r>
      <w:r>
        <w:rPr>
          <w:rFonts w:hint="eastAsia" w:ascii="方正仿宋简体" w:hAnsi="Times New Roman" w:eastAsia="方正仿宋简体" w:cs="Times New Roman"/>
          <w:b w:val="0"/>
          <w:bCs w:val="0"/>
          <w:sz w:val="32"/>
          <w:szCs w:val="32"/>
          <w:lang w:val="en-US" w:eastAsia="zh-CN"/>
        </w:rPr>
        <w:t>2</w:t>
      </w:r>
      <w:r>
        <w:rPr>
          <w:rFonts w:hint="eastAsia" w:ascii="方正仿宋简体" w:hAnsi="Times New Roman" w:eastAsia="方正仿宋简体" w:cs="Times New Roman"/>
          <w:b w:val="0"/>
          <w:bCs w:val="0"/>
          <w:sz w:val="32"/>
          <w:szCs w:val="32"/>
        </w:rPr>
        <w:t>〕</w:t>
      </w:r>
      <w:r>
        <w:rPr>
          <w:rFonts w:hint="eastAsia" w:hAnsi="Times New Roman" w:cs="Times New Roman"/>
          <w:b w:val="0"/>
          <w:bCs w:val="0"/>
          <w:sz w:val="32"/>
          <w:szCs w:val="32"/>
          <w:lang w:val="en-US" w:eastAsia="zh-CN"/>
        </w:rPr>
        <w:t>38</w:t>
      </w:r>
      <w:r>
        <w:rPr>
          <w:rFonts w:hint="eastAsia" w:ascii="方正仿宋简体" w:hAnsi="Times New Roman" w:eastAsia="方正仿宋简体" w:cs="Times New Roman"/>
          <w:b w:val="0"/>
          <w:bCs w:val="0"/>
          <w:sz w:val="32"/>
          <w:szCs w:val="32"/>
        </w:rPr>
        <w:t>号</w:t>
      </w:r>
    </w:p>
    <w:p>
      <w:pPr>
        <w:spacing w:line="560" w:lineRule="exact"/>
        <w:ind w:firstLine="0" w:firstLineChars="0"/>
        <w:jc w:val="center"/>
        <w:rPr>
          <w:rFonts w:ascii="Calibri" w:hAnsi="Calibri" w:eastAsia="宋体" w:cs="Times New Roman"/>
          <w:sz w:val="21"/>
          <w:szCs w:val="22"/>
        </w:rPr>
      </w:pPr>
      <w:r>
        <w:rPr>
          <w:rFonts w:ascii="Calibri" w:hAnsi="Calibri" w:eastAsia="宋体" w:cs="Times New Roman"/>
          <w:sz w:val="21"/>
          <w:szCs w:val="22"/>
        </w:rPr>
        <mc:AlternateContent>
          <mc:Choice Requires="wps">
            <w:drawing>
              <wp:anchor distT="0" distB="0" distL="114300" distR="114300" simplePos="0" relativeHeight="251678720" behindDoc="0" locked="0" layoutInCell="1" allowOverlap="1">
                <wp:simplePos x="0" y="0"/>
                <wp:positionH relativeFrom="column">
                  <wp:posOffset>-40640</wp:posOffset>
                </wp:positionH>
                <wp:positionV relativeFrom="paragraph">
                  <wp:posOffset>52705</wp:posOffset>
                </wp:positionV>
                <wp:extent cx="5623560" cy="0"/>
                <wp:effectExtent l="0" t="9525" r="0" b="13335"/>
                <wp:wrapNone/>
                <wp:docPr id="9" name="直接箭头连接符 7"/>
                <wp:cNvGraphicFramePr/>
                <a:graphic xmlns:a="http://schemas.openxmlformats.org/drawingml/2006/main">
                  <a:graphicData uri="http://schemas.microsoft.com/office/word/2010/wordprocessingShape">
                    <wps:wsp>
                      <wps:cNvCnPr/>
                      <wps:spPr>
                        <a:xfrm>
                          <a:off x="0" y="0"/>
                          <a:ext cx="5623560" cy="0"/>
                        </a:xfrm>
                        <a:prstGeom prst="straightConnector1">
                          <a:avLst/>
                        </a:prstGeom>
                        <a:ln w="19050" cap="flat" cmpd="sng">
                          <a:solidFill>
                            <a:srgbClr val="FF0000"/>
                          </a:solidFill>
                          <a:prstDash val="solid"/>
                          <a:headEnd type="none" w="med" len="med"/>
                          <a:tailEnd type="none" w="med" len="med"/>
                        </a:ln>
                        <a:effectLst/>
                      </wps:spPr>
                      <wps:bodyPr/>
                    </wps:wsp>
                  </a:graphicData>
                </a:graphic>
              </wp:anchor>
            </w:drawing>
          </mc:Choice>
          <mc:Fallback>
            <w:pict>
              <v:shape id="直接箭头连接符 7" o:spid="_x0000_s1026" o:spt="32" type="#_x0000_t32" style="position:absolute;left:0pt;margin-left:-3.2pt;margin-top:4.15pt;height:0pt;width:442.8pt;z-index:251678720;mso-width-relative:page;mso-height-relative:page;" filled="f" stroked="t" coordsize="21600,21600" o:gfxdata="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WCJNzW&#10;AAAACAEAAA8AAAAAAAAAAQAgAAAAIgAAAGRycy9kb3ducmV2LnhtbFBLAQIUABQAAAAIAIdO4kCS&#10;ysxc6QEAAK0DAAAOAAAAAAAAAAEAIAAAACUBAABkcnMvZTJvRG9jLnhtbFBLBQYAAAAABgAGAFkB&#10;AACABQAAAAA=&#10;">
                <v:fill on="f" focussize="0,0"/>
                <v:stroke weight="1.5pt" color="#FF0000" joinstyle="round"/>
                <v:imagedata o:title=""/>
                <o:lock v:ext="edit" aspectratio="f"/>
              </v:shap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方正小标宋简体" w:hAnsi="方正小标宋简体" w:eastAsia="方正小标宋简体" w:cs="方正小标宋简体"/>
          <w:bCs/>
          <w:color w:val="auto"/>
          <w:sz w:val="44"/>
          <w:szCs w:val="44"/>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济宁市自然资源和规划局</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关于印发《济宁市林业有害生物防治</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“十四五”规划》的通知</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lang w:val="en-US" w:eastAsia="zh-CN"/>
        </w:rPr>
      </w:pPr>
      <w:r>
        <w:rPr>
          <w:rFonts w:hint="eastAsia"/>
          <w:lang w:val="en-US" w:eastAsia="zh-CN"/>
        </w:rPr>
        <w:t>各县（市、区）自然资源和规划主管部门，市局各科室、直属单位：</w:t>
      </w:r>
    </w:p>
    <w:p>
      <w:pPr>
        <w:keepNext w:val="0"/>
        <w:keepLines w:val="0"/>
        <w:pageBreakBefore w:val="0"/>
        <w:widowControl w:val="0"/>
        <w:kinsoku/>
        <w:wordWrap/>
        <w:overflowPunct/>
        <w:topLinePunct w:val="0"/>
        <w:autoSpaceDE/>
        <w:autoSpaceDN/>
        <w:bidi w:val="0"/>
        <w:adjustRightInd/>
        <w:snapToGrid/>
        <w:spacing w:line="560" w:lineRule="exact"/>
        <w:ind w:left="0" w:firstLine="482"/>
        <w:jc w:val="both"/>
        <w:textAlignment w:val="auto"/>
        <w:rPr>
          <w:rFonts w:hint="eastAsia" w:ascii="方正仿宋简体" w:hAnsi="方正仿宋简体" w:cs="方正仿宋简体"/>
          <w:b w:val="0"/>
          <w:bCs w:val="0"/>
          <w:sz w:val="32"/>
          <w:szCs w:val="32"/>
          <w:lang w:val="en-US" w:eastAsia="zh-CN"/>
        </w:rPr>
      </w:pPr>
      <w:r>
        <w:rPr>
          <w:rFonts w:hint="eastAsia" w:ascii="方正仿宋简体" w:hAnsi="方正仿宋简体" w:cs="方正仿宋简体"/>
          <w:b w:val="0"/>
          <w:bCs w:val="0"/>
          <w:sz w:val="32"/>
          <w:szCs w:val="32"/>
          <w:lang w:val="en-US" w:eastAsia="zh-CN"/>
        </w:rPr>
        <w:t>现将《济宁市林业有害生物防治“十四五”规划》印发给你们，请结合实际认真贯彻执行。</w:t>
      </w:r>
      <w:bookmarkStart w:id="76" w:name="_GoBack"/>
      <w:bookmarkEnd w:id="76"/>
    </w:p>
    <w:p>
      <w:pPr>
        <w:keepNext w:val="0"/>
        <w:keepLines w:val="0"/>
        <w:pageBreakBefore w:val="0"/>
        <w:widowControl w:val="0"/>
        <w:kinsoku/>
        <w:wordWrap/>
        <w:overflowPunct/>
        <w:topLinePunct w:val="0"/>
        <w:autoSpaceDE/>
        <w:autoSpaceDN/>
        <w:bidi w:val="0"/>
        <w:adjustRightInd/>
        <w:snapToGrid/>
        <w:textAlignment w:val="auto"/>
        <w:rPr>
          <w:rFonts w:hint="eastAsia" w:ascii="方正仿宋简体" w:hAnsi="方正仿宋简体" w:cs="方正仿宋简体"/>
          <w:b w:val="0"/>
          <w:bCs w:val="0"/>
          <w:sz w:val="32"/>
          <w:szCs w:val="32"/>
          <w:lang w:val="en-US" w:eastAsia="zh-CN"/>
        </w:rPr>
      </w:pPr>
    </w:p>
    <w:p>
      <w:pPr>
        <w:keepNext w:val="0"/>
        <w:keepLines w:val="0"/>
        <w:pageBreakBefore w:val="0"/>
        <w:widowControl w:val="0"/>
        <w:kinsoku/>
        <w:wordWrap w:val="0"/>
        <w:overflowPunct/>
        <w:topLinePunct w:val="0"/>
        <w:autoSpaceDE/>
        <w:autoSpaceDN/>
        <w:bidi w:val="0"/>
        <w:adjustRightInd/>
        <w:snapToGrid/>
        <w:jc w:val="right"/>
        <w:textAlignment w:val="auto"/>
        <w:rPr>
          <w:rFonts w:hint="eastAsia" w:cs="方正仿宋简体"/>
          <w:b w:val="0"/>
          <w:bCs w:val="0"/>
          <w:sz w:val="32"/>
          <w:szCs w:val="32"/>
          <w:lang w:val="en-US" w:eastAsia="zh-CN"/>
        </w:rPr>
      </w:pPr>
      <w:r>
        <w:rPr>
          <w:rFonts w:hint="eastAsia" w:cs="方正仿宋简体"/>
          <w:b w:val="0"/>
          <w:bCs w:val="0"/>
          <w:sz w:val="32"/>
          <w:szCs w:val="32"/>
          <w:lang w:val="en-US" w:eastAsia="zh-CN"/>
        </w:rPr>
        <w:t>济宁市自然资源和规划局　　</w:t>
      </w:r>
    </w:p>
    <w:p>
      <w:pPr>
        <w:keepNext w:val="0"/>
        <w:keepLines w:val="0"/>
        <w:pageBreakBefore w:val="0"/>
        <w:widowControl w:val="0"/>
        <w:kinsoku/>
        <w:wordWrap w:val="0"/>
        <w:overflowPunct/>
        <w:topLinePunct w:val="0"/>
        <w:autoSpaceDE/>
        <w:autoSpaceDN/>
        <w:bidi w:val="0"/>
        <w:adjustRightInd/>
        <w:snapToGrid/>
        <w:jc w:val="right"/>
        <w:textAlignment w:val="auto"/>
        <w:rPr>
          <w:rFonts w:hint="default" w:cs="方正仿宋简体"/>
          <w:b w:val="0"/>
          <w:bCs w:val="0"/>
          <w:sz w:val="32"/>
          <w:szCs w:val="32"/>
          <w:lang w:val="en-US" w:eastAsia="zh-CN"/>
        </w:rPr>
      </w:pPr>
      <w:r>
        <w:rPr>
          <w:rFonts w:hint="eastAsia" w:cs="方正仿宋简体"/>
          <w:b w:val="0"/>
          <w:bCs w:val="0"/>
          <w:sz w:val="32"/>
          <w:szCs w:val="32"/>
          <w:lang w:val="en-US" w:eastAsia="zh-CN"/>
        </w:rPr>
        <w:t>2022年9月21日　　　　</w:t>
      </w:r>
    </w:p>
    <w:p>
      <w:pPr>
        <w:pStyle w:val="7"/>
        <w:rPr>
          <w:rFonts w:hint="eastAsia"/>
          <w:lang w:val="en-US" w:eastAsia="zh-CN"/>
        </w:rPr>
      </w:pPr>
      <w:bookmarkStart w:id="0" w:name="_Toc15424"/>
      <w:bookmarkStart w:id="1" w:name="_Toc21252"/>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济宁市林业有害生物防治</w:t>
      </w:r>
      <w:bookmarkEnd w:id="0"/>
      <w:bookmarkEnd w:id="1"/>
      <w:r>
        <w:rPr>
          <w:rFonts w:hint="eastAsia" w:ascii="方正小标宋简体" w:hAnsi="方正小标宋简体" w:eastAsia="方正小标宋简体" w:cs="方正小标宋简体"/>
          <w:b w:val="0"/>
          <w:bCs w:val="0"/>
          <w:sz w:val="44"/>
          <w:szCs w:val="44"/>
          <w:lang w:val="en-US" w:eastAsia="zh-CN"/>
        </w:rPr>
        <w:t>“十四五”规划</w:t>
      </w:r>
    </w:p>
    <w:p>
      <w:pPr>
        <w:pageBreakBefore w:val="0"/>
        <w:kinsoku/>
        <w:overflowPunct/>
        <w:topLinePunct w:val="0"/>
        <w:autoSpaceDE/>
        <w:autoSpaceDN/>
        <w:bidi w:val="0"/>
        <w:spacing w:before="156" w:beforeLines="50" w:line="560" w:lineRule="exact"/>
        <w:ind w:firstLine="0" w:firstLineChars="0"/>
        <w:jc w:val="center"/>
        <w:rPr>
          <w:rFonts w:hint="eastAsia" w:ascii="黑体" w:eastAsia="黑体"/>
          <w:bCs/>
          <w:szCs w:val="28"/>
        </w:rPr>
      </w:pPr>
    </w:p>
    <w:p>
      <w:pPr>
        <w:pageBreakBefore w:val="0"/>
        <w:kinsoku/>
        <w:overflowPunct/>
        <w:topLinePunct w:val="0"/>
        <w:autoSpaceDE/>
        <w:autoSpaceDN/>
        <w:bidi w:val="0"/>
        <w:spacing w:line="560" w:lineRule="exact"/>
        <w:ind w:firstLine="0" w:firstLineChars="0"/>
        <w:rPr>
          <w:rFonts w:hint="eastAsia"/>
          <w:b/>
          <w:bCs/>
        </w:rPr>
      </w:pPr>
    </w:p>
    <w:p>
      <w:pPr>
        <w:pageBreakBefore w:val="0"/>
        <w:kinsoku/>
        <w:overflowPunct/>
        <w:topLinePunct w:val="0"/>
        <w:autoSpaceDE/>
        <w:autoSpaceDN/>
        <w:bidi w:val="0"/>
        <w:spacing w:line="560" w:lineRule="exact"/>
        <w:ind w:firstLine="0" w:firstLineChars="0"/>
        <w:jc w:val="center"/>
        <w:rPr>
          <w:rFonts w:hint="eastAsia"/>
          <w:b/>
          <w:bCs/>
        </w:rPr>
      </w:pPr>
    </w:p>
    <w:p>
      <w:pPr>
        <w:pageBreakBefore w:val="0"/>
        <w:kinsoku/>
        <w:overflowPunct/>
        <w:topLinePunct w:val="0"/>
        <w:autoSpaceDE/>
        <w:autoSpaceDN/>
        <w:bidi w:val="0"/>
        <w:spacing w:line="560" w:lineRule="exact"/>
        <w:ind w:firstLine="0" w:firstLineChars="0"/>
        <w:jc w:val="center"/>
        <w:rPr>
          <w:rFonts w:hint="eastAsia"/>
          <w:b/>
          <w:bCs/>
        </w:rPr>
      </w:pPr>
    </w:p>
    <w:p>
      <w:pPr>
        <w:pageBreakBefore w:val="0"/>
        <w:kinsoku/>
        <w:overflowPunct/>
        <w:topLinePunct w:val="0"/>
        <w:autoSpaceDE/>
        <w:autoSpaceDN/>
        <w:bidi w:val="0"/>
        <w:spacing w:line="560" w:lineRule="exact"/>
        <w:ind w:left="560" w:firstLine="0" w:firstLineChars="0"/>
        <w:rPr>
          <w:rFonts w:hint="eastAsia"/>
          <w:b/>
        </w:rPr>
      </w:pPr>
    </w:p>
    <w:p>
      <w:pPr>
        <w:pageBreakBefore w:val="0"/>
        <w:kinsoku/>
        <w:overflowPunct/>
        <w:topLinePunct w:val="0"/>
        <w:autoSpaceDE/>
        <w:autoSpaceDN/>
        <w:bidi w:val="0"/>
        <w:spacing w:line="560" w:lineRule="exact"/>
        <w:ind w:left="560" w:firstLine="0" w:firstLineChars="0"/>
        <w:rPr>
          <w:rFonts w:hint="eastAsia"/>
          <w:b/>
        </w:rPr>
      </w:pPr>
    </w:p>
    <w:p>
      <w:pPr>
        <w:pageBreakBefore w:val="0"/>
        <w:kinsoku/>
        <w:overflowPunct/>
        <w:topLinePunct w:val="0"/>
        <w:autoSpaceDE/>
        <w:autoSpaceDN/>
        <w:bidi w:val="0"/>
        <w:spacing w:line="560" w:lineRule="exact"/>
        <w:ind w:left="560" w:firstLine="0" w:firstLineChars="0"/>
        <w:rPr>
          <w:rFonts w:hint="eastAsia"/>
          <w:b/>
        </w:rPr>
      </w:pPr>
    </w:p>
    <w:p>
      <w:pPr>
        <w:pageBreakBefore w:val="0"/>
        <w:kinsoku/>
        <w:overflowPunct/>
        <w:topLinePunct w:val="0"/>
        <w:autoSpaceDE/>
        <w:autoSpaceDN/>
        <w:bidi w:val="0"/>
        <w:spacing w:line="560" w:lineRule="exact"/>
        <w:ind w:left="560" w:firstLine="0" w:firstLineChars="0"/>
        <w:rPr>
          <w:rFonts w:hint="eastAsia"/>
          <w:b/>
        </w:rPr>
      </w:pPr>
    </w:p>
    <w:p>
      <w:pPr>
        <w:pageBreakBefore w:val="0"/>
        <w:kinsoku/>
        <w:overflowPunct/>
        <w:topLinePunct w:val="0"/>
        <w:autoSpaceDE/>
        <w:autoSpaceDN/>
        <w:bidi w:val="0"/>
        <w:spacing w:line="560" w:lineRule="exact"/>
        <w:ind w:left="560" w:firstLine="0" w:firstLineChars="0"/>
        <w:rPr>
          <w:rFonts w:hint="eastAsia"/>
          <w:b/>
        </w:rPr>
      </w:pPr>
    </w:p>
    <w:p>
      <w:pPr>
        <w:pageBreakBefore w:val="0"/>
        <w:kinsoku/>
        <w:overflowPunct/>
        <w:topLinePunct w:val="0"/>
        <w:autoSpaceDE/>
        <w:autoSpaceDN/>
        <w:bidi w:val="0"/>
        <w:spacing w:line="560" w:lineRule="exact"/>
        <w:ind w:left="560" w:firstLine="0" w:firstLineChars="0"/>
        <w:rPr>
          <w:rFonts w:hint="eastAsia"/>
          <w:b/>
        </w:rPr>
      </w:pPr>
    </w:p>
    <w:p>
      <w:pPr>
        <w:pageBreakBefore w:val="0"/>
        <w:kinsoku/>
        <w:overflowPunct/>
        <w:topLinePunct w:val="0"/>
        <w:autoSpaceDE/>
        <w:autoSpaceDN/>
        <w:bidi w:val="0"/>
        <w:spacing w:line="560" w:lineRule="exact"/>
        <w:ind w:left="560" w:firstLine="0" w:firstLineChars="0"/>
        <w:rPr>
          <w:rFonts w:hint="eastAsia"/>
          <w:b/>
        </w:rPr>
      </w:pPr>
    </w:p>
    <w:p>
      <w:pPr>
        <w:pageBreakBefore w:val="0"/>
        <w:kinsoku/>
        <w:overflowPunct/>
        <w:topLinePunct w:val="0"/>
        <w:autoSpaceDE/>
        <w:autoSpaceDN/>
        <w:bidi w:val="0"/>
        <w:spacing w:after="0" w:line="560" w:lineRule="exact"/>
        <w:ind w:left="560" w:firstLine="0" w:firstLineChars="0"/>
        <w:rPr>
          <w:rFonts w:hint="eastAsia"/>
          <w:b/>
        </w:rPr>
      </w:pPr>
    </w:p>
    <w:p>
      <w:pPr>
        <w:pageBreakBefore w:val="0"/>
        <w:kinsoku/>
        <w:overflowPunct/>
        <w:topLinePunct w:val="0"/>
        <w:autoSpaceDE/>
        <w:autoSpaceDN/>
        <w:bidi w:val="0"/>
        <w:spacing w:line="560" w:lineRule="exact"/>
        <w:ind w:firstLine="0" w:firstLineChars="0"/>
        <w:jc w:val="center"/>
        <w:rPr>
          <w:rFonts w:hint="eastAsia" w:ascii="Times New Roman" w:hAnsi="Times New Roman" w:eastAsia="楷体" w:cs="Times New Roman"/>
          <w:b/>
          <w:bCs/>
          <w:sz w:val="32"/>
          <w:szCs w:val="32"/>
          <w:lang w:val="en-US" w:eastAsia="zh-CN"/>
        </w:rPr>
      </w:pPr>
    </w:p>
    <w:p>
      <w:pPr>
        <w:pageBreakBefore w:val="0"/>
        <w:kinsoku/>
        <w:overflowPunct/>
        <w:topLinePunct w:val="0"/>
        <w:autoSpaceDE/>
        <w:autoSpaceDN/>
        <w:bidi w:val="0"/>
        <w:spacing w:line="560" w:lineRule="exact"/>
        <w:ind w:firstLine="0" w:firstLineChars="0"/>
        <w:jc w:val="center"/>
        <w:rPr>
          <w:rFonts w:hint="eastAsia" w:ascii="Times New Roman" w:hAnsi="Times New Roman" w:eastAsia="楷体" w:cs="Times New Roman"/>
          <w:b/>
          <w:bCs/>
          <w:sz w:val="32"/>
          <w:szCs w:val="32"/>
          <w:lang w:val="en-US" w:eastAsia="zh-CN"/>
        </w:rPr>
      </w:pPr>
    </w:p>
    <w:p>
      <w:pPr>
        <w:pStyle w:val="7"/>
        <w:ind w:left="0" w:leftChars="0" w:firstLine="0" w:firstLineChars="0"/>
        <w:rPr>
          <w:rFonts w:hint="eastAsia"/>
          <w:lang w:val="en-US" w:eastAsia="zh-CN"/>
        </w:rPr>
      </w:pPr>
    </w:p>
    <w:p>
      <w:pPr>
        <w:pageBreakBefore w:val="0"/>
        <w:kinsoku/>
        <w:overflowPunct/>
        <w:topLinePunct w:val="0"/>
        <w:autoSpaceDE/>
        <w:autoSpaceDN/>
        <w:bidi w:val="0"/>
        <w:spacing w:line="560" w:lineRule="exact"/>
        <w:ind w:firstLine="0" w:firstLineChars="0"/>
        <w:jc w:val="center"/>
        <w:rPr>
          <w:rFonts w:hint="eastAsia" w:ascii="方正楷体简体" w:hAnsi="方正楷体简体" w:eastAsia="方正楷体简体" w:cs="方正楷体简体"/>
          <w:b w:val="0"/>
          <w:bCs w:val="0"/>
          <w:sz w:val="32"/>
          <w:szCs w:val="32"/>
          <w:lang w:val="en-US" w:eastAsia="zh-CN"/>
        </w:rPr>
      </w:pPr>
      <w:r>
        <w:rPr>
          <w:rFonts w:hint="eastAsia" w:ascii="方正楷体简体" w:hAnsi="方正楷体简体" w:eastAsia="方正楷体简体" w:cs="方正楷体简体"/>
          <w:b w:val="0"/>
          <w:bCs w:val="0"/>
          <w:sz w:val="32"/>
          <w:szCs w:val="32"/>
          <w:lang w:val="en-US" w:eastAsia="zh-CN"/>
        </w:rPr>
        <w:t>济宁市自然资源和规划局</w:t>
      </w:r>
    </w:p>
    <w:p>
      <w:pPr>
        <w:pageBreakBefore w:val="0"/>
        <w:kinsoku/>
        <w:overflowPunct/>
        <w:topLinePunct w:val="0"/>
        <w:autoSpaceDE/>
        <w:autoSpaceDN/>
        <w:bidi w:val="0"/>
        <w:spacing w:line="560" w:lineRule="exact"/>
        <w:ind w:firstLine="0" w:firstLineChars="0"/>
        <w:jc w:val="center"/>
        <w:rPr>
          <w:rFonts w:hint="eastAsia" w:ascii="方正楷体简体" w:hAnsi="方正楷体简体" w:eastAsia="方正楷体简体" w:cs="方正楷体简体"/>
          <w:b w:val="0"/>
          <w:bCs w:val="0"/>
          <w:sz w:val="32"/>
          <w:szCs w:val="32"/>
          <w:lang w:val="en-US" w:eastAsia="zh-CN"/>
        </w:rPr>
        <w:sectPr>
          <w:headerReference r:id="rId3" w:type="default"/>
          <w:footerReference r:id="rId5" w:type="default"/>
          <w:headerReference r:id="rId4" w:type="even"/>
          <w:footerReference r:id="rId6" w:type="even"/>
          <w:pgSz w:w="11906" w:h="16838"/>
          <w:pgMar w:top="2098" w:right="1474" w:bottom="1984" w:left="1587" w:header="851" w:footer="1587" w:gutter="0"/>
          <w:pgNumType w:fmt="decimal"/>
          <w:cols w:space="720" w:num="1"/>
          <w:docGrid w:type="lines" w:linePitch="312" w:charSpace="0"/>
        </w:sectPr>
      </w:pPr>
      <w:r>
        <w:rPr>
          <w:rFonts w:hint="eastAsia" w:ascii="方正楷体简体" w:hAnsi="方正楷体简体" w:eastAsia="方正楷体简体" w:cs="方正楷体简体"/>
          <w:b w:val="0"/>
          <w:bCs w:val="0"/>
          <w:sz w:val="32"/>
          <w:szCs w:val="32"/>
          <w:lang w:val="en-US" w:eastAsia="zh-CN"/>
        </w:rPr>
        <w:t>二Ο二二年九月</w:t>
      </w:r>
    </w:p>
    <w:p>
      <w:pPr>
        <w:pageBreakBefore w:val="0"/>
        <w:kinsoku/>
        <w:overflowPunct/>
        <w:topLinePunct w:val="0"/>
        <w:autoSpaceDE/>
        <w:autoSpaceDN/>
        <w:bidi w:val="0"/>
        <w:spacing w:line="560" w:lineRule="exact"/>
        <w:ind w:left="0" w:leftChars="0" w:firstLine="0" w:firstLineChars="0"/>
        <w:jc w:val="center"/>
        <w:rPr>
          <w:rFonts w:eastAsia="仿宋"/>
          <w:b/>
          <w:kern w:val="2"/>
          <w:sz w:val="32"/>
          <w:szCs w:val="32"/>
          <w:lang w:val="en-US" w:eastAsia="zh-CN" w:bidi="ar-SA"/>
        </w:rPr>
      </w:pPr>
      <w:r>
        <w:rPr>
          <w:rFonts w:hint="eastAsia" w:ascii="Times New Roman" w:hAnsi="Times New Roman" w:eastAsia="仿宋" w:cs="Times New Roman"/>
          <w:b/>
          <w:bCs/>
          <w:kern w:val="2"/>
          <w:sz w:val="32"/>
          <w:szCs w:val="32"/>
          <w:lang w:val="en-US" w:eastAsia="zh-CN" w:bidi="ar-SA"/>
        </w:rPr>
        <w:t>目录</w:t>
      </w:r>
      <w:r>
        <w:rPr>
          <w:rFonts w:eastAsia="仿宋"/>
          <w:sz w:val="32"/>
          <w:szCs w:val="32"/>
        </w:rPr>
        <w:fldChar w:fldCharType="begin"/>
      </w:r>
      <w:r>
        <w:rPr>
          <w:rFonts w:eastAsia="仿宋"/>
          <w:sz w:val="32"/>
          <w:szCs w:val="32"/>
        </w:rPr>
        <w:instrText xml:space="preserve">TOC \o "1-2" \h \u </w:instrText>
      </w:r>
      <w:r>
        <w:rPr>
          <w:rFonts w:eastAsia="仿宋"/>
          <w:sz w:val="32"/>
          <w:szCs w:val="32"/>
        </w:rPr>
        <w:fldChar w:fldCharType="separate"/>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0" w:firstLineChars="0"/>
        <w:textAlignment w:val="auto"/>
        <w:rPr>
          <w:rFonts w:ascii="Times New Roman" w:hAnsi="Times New Roman"/>
          <w:b/>
          <w:bCs/>
          <w:sz w:val="28"/>
          <w:szCs w:val="28"/>
        </w:rPr>
      </w:pPr>
      <w:r>
        <w:rPr>
          <w:rFonts w:ascii="Times New Roman" w:hAnsi="Times New Roman" w:eastAsia="仿宋"/>
          <w:b/>
          <w:bCs/>
          <w:sz w:val="28"/>
          <w:szCs w:val="28"/>
        </w:rPr>
        <w:fldChar w:fldCharType="begin"/>
      </w:r>
      <w:r>
        <w:rPr>
          <w:rFonts w:ascii="Times New Roman" w:hAnsi="Times New Roman" w:eastAsia="仿宋"/>
          <w:b/>
          <w:bCs/>
          <w:sz w:val="28"/>
          <w:szCs w:val="28"/>
        </w:rPr>
        <w:instrText xml:space="preserve"> HYPERLINK \l _Toc20855 </w:instrText>
      </w:r>
      <w:r>
        <w:rPr>
          <w:rFonts w:ascii="Times New Roman" w:hAnsi="Times New Roman" w:eastAsia="仿宋"/>
          <w:b/>
          <w:bCs/>
          <w:sz w:val="28"/>
          <w:szCs w:val="28"/>
        </w:rPr>
        <w:fldChar w:fldCharType="separate"/>
      </w:r>
      <w:r>
        <w:rPr>
          <w:rFonts w:hint="eastAsia" w:ascii="Times New Roman" w:hAnsi="Times New Roman"/>
          <w:b/>
          <w:bCs/>
          <w:sz w:val="28"/>
          <w:szCs w:val="28"/>
        </w:rPr>
        <w:t>第一章 总论</w:t>
      </w:r>
      <w:r>
        <w:rPr>
          <w:rFonts w:ascii="Times New Roman" w:hAnsi="Times New Roman"/>
          <w:b/>
          <w:bCs/>
          <w:sz w:val="28"/>
          <w:szCs w:val="28"/>
        </w:rPr>
        <w:tab/>
      </w:r>
      <w:r>
        <w:rPr>
          <w:rFonts w:ascii="Times New Roman" w:hAnsi="Times New Roman"/>
          <w:b/>
          <w:bCs/>
          <w:sz w:val="28"/>
          <w:szCs w:val="28"/>
        </w:rPr>
        <w:fldChar w:fldCharType="begin"/>
      </w:r>
      <w:r>
        <w:rPr>
          <w:rFonts w:ascii="Times New Roman" w:hAnsi="Times New Roman"/>
          <w:b/>
          <w:bCs/>
          <w:sz w:val="28"/>
          <w:szCs w:val="28"/>
        </w:rPr>
        <w:instrText xml:space="preserve"> PAGEREF _Toc20855 \h </w:instrText>
      </w:r>
      <w:r>
        <w:rPr>
          <w:rFonts w:ascii="Times New Roman" w:hAnsi="Times New Roman"/>
          <w:b/>
          <w:bCs/>
          <w:sz w:val="28"/>
          <w:szCs w:val="28"/>
        </w:rPr>
        <w:fldChar w:fldCharType="separate"/>
      </w:r>
      <w:r>
        <w:rPr>
          <w:rFonts w:ascii="Times New Roman" w:hAnsi="Times New Roman"/>
          <w:b/>
          <w:bCs/>
          <w:sz w:val="28"/>
          <w:szCs w:val="28"/>
        </w:rPr>
        <w:t>5</w:t>
      </w:r>
      <w:r>
        <w:rPr>
          <w:rFonts w:ascii="Times New Roman" w:hAnsi="Times New Roman"/>
          <w:b/>
          <w:bCs/>
          <w:sz w:val="28"/>
          <w:szCs w:val="28"/>
        </w:rPr>
        <w:fldChar w:fldCharType="end"/>
      </w:r>
      <w:r>
        <w:rPr>
          <w:rFonts w:ascii="Times New Roman" w:hAnsi="Times New Roman" w:eastAsia="仿宋"/>
          <w:b/>
          <w:bCs/>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_Toc29017 </w:instrText>
      </w:r>
      <w:r>
        <w:rPr>
          <w:rFonts w:ascii="Times New Roman" w:hAnsi="Times New Roman" w:eastAsia="仿宋"/>
          <w:sz w:val="28"/>
          <w:szCs w:val="28"/>
        </w:rPr>
        <w:fldChar w:fldCharType="separate"/>
      </w:r>
      <w:r>
        <w:rPr>
          <w:rFonts w:hint="eastAsia" w:ascii="Times New Roman" w:hAnsi="Times New Roman"/>
          <w:sz w:val="28"/>
          <w:szCs w:val="28"/>
        </w:rPr>
        <w:t>一、规划背景</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_Toc29017 \h </w:instrText>
      </w:r>
      <w:r>
        <w:rPr>
          <w:rFonts w:ascii="Times New Roman" w:hAnsi="Times New Roman"/>
          <w:sz w:val="28"/>
          <w:szCs w:val="28"/>
        </w:rPr>
        <w:fldChar w:fldCharType="separate"/>
      </w:r>
      <w:r>
        <w:rPr>
          <w:rFonts w:ascii="Times New Roman" w:hAnsi="Times New Roman"/>
          <w:sz w:val="28"/>
          <w:szCs w:val="28"/>
        </w:rPr>
        <w:t>5</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_Toc5136 </w:instrText>
      </w:r>
      <w:r>
        <w:rPr>
          <w:rFonts w:ascii="Times New Roman" w:hAnsi="Times New Roman" w:eastAsia="仿宋"/>
          <w:sz w:val="28"/>
          <w:szCs w:val="28"/>
        </w:rPr>
        <w:fldChar w:fldCharType="separate"/>
      </w:r>
      <w:r>
        <w:rPr>
          <w:rFonts w:hint="eastAsia" w:ascii="Times New Roman" w:hAnsi="Times New Roman"/>
          <w:sz w:val="28"/>
          <w:szCs w:val="28"/>
        </w:rPr>
        <w:t>二、规划依据</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_Toc5136 \h </w:instrText>
      </w:r>
      <w:r>
        <w:rPr>
          <w:rFonts w:ascii="Times New Roman" w:hAnsi="Times New Roman"/>
          <w:sz w:val="28"/>
          <w:szCs w:val="28"/>
        </w:rPr>
        <w:fldChar w:fldCharType="separate"/>
      </w:r>
      <w:r>
        <w:rPr>
          <w:rFonts w:ascii="Times New Roman" w:hAnsi="Times New Roman"/>
          <w:sz w:val="28"/>
          <w:szCs w:val="28"/>
        </w:rPr>
        <w:t>6</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_Toc26057 </w:instrText>
      </w:r>
      <w:r>
        <w:rPr>
          <w:rFonts w:ascii="Times New Roman" w:hAnsi="Times New Roman" w:eastAsia="仿宋"/>
          <w:sz w:val="28"/>
          <w:szCs w:val="28"/>
        </w:rPr>
        <w:fldChar w:fldCharType="separate"/>
      </w:r>
      <w:r>
        <w:rPr>
          <w:rFonts w:hint="eastAsia" w:ascii="Times New Roman" w:hAnsi="Times New Roman"/>
          <w:sz w:val="28"/>
          <w:szCs w:val="28"/>
        </w:rPr>
        <w:t>三、规划范围</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_Toc26057 \h </w:instrText>
      </w:r>
      <w:r>
        <w:rPr>
          <w:rFonts w:ascii="Times New Roman" w:hAnsi="Times New Roman"/>
          <w:sz w:val="28"/>
          <w:szCs w:val="28"/>
        </w:rPr>
        <w:fldChar w:fldCharType="separate"/>
      </w:r>
      <w:r>
        <w:rPr>
          <w:rFonts w:ascii="Times New Roman" w:hAnsi="Times New Roman"/>
          <w:sz w:val="28"/>
          <w:szCs w:val="28"/>
        </w:rPr>
        <w:t>6</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_Toc16437 </w:instrText>
      </w:r>
      <w:r>
        <w:rPr>
          <w:rFonts w:ascii="Times New Roman" w:hAnsi="Times New Roman" w:eastAsia="仿宋"/>
          <w:sz w:val="28"/>
          <w:szCs w:val="28"/>
        </w:rPr>
        <w:fldChar w:fldCharType="separate"/>
      </w:r>
      <w:r>
        <w:rPr>
          <w:rFonts w:hint="eastAsia" w:ascii="Times New Roman" w:hAnsi="Times New Roman"/>
          <w:sz w:val="28"/>
          <w:szCs w:val="28"/>
        </w:rPr>
        <w:t>四、规划期限</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_Toc16437 \h </w:instrText>
      </w:r>
      <w:r>
        <w:rPr>
          <w:rFonts w:ascii="Times New Roman" w:hAnsi="Times New Roman"/>
          <w:sz w:val="28"/>
          <w:szCs w:val="28"/>
        </w:rPr>
        <w:fldChar w:fldCharType="separate"/>
      </w:r>
      <w:r>
        <w:rPr>
          <w:rFonts w:ascii="Times New Roman" w:hAnsi="Times New Roman"/>
          <w:sz w:val="28"/>
          <w:szCs w:val="28"/>
        </w:rPr>
        <w:t>8</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eastAsia="仿宋"/>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_Toc2713 </w:instrText>
      </w:r>
      <w:r>
        <w:rPr>
          <w:rFonts w:ascii="Times New Roman" w:hAnsi="Times New Roman" w:eastAsia="仿宋"/>
          <w:sz w:val="28"/>
          <w:szCs w:val="28"/>
        </w:rPr>
        <w:fldChar w:fldCharType="separate"/>
      </w:r>
      <w:r>
        <w:rPr>
          <w:rFonts w:hint="eastAsia" w:ascii="Times New Roman" w:hAnsi="Times New Roman"/>
          <w:sz w:val="28"/>
          <w:szCs w:val="28"/>
        </w:rPr>
        <w:t>五、规划目标</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_Toc2713 \h </w:instrText>
      </w:r>
      <w:r>
        <w:rPr>
          <w:rFonts w:ascii="Times New Roman" w:hAnsi="Times New Roman"/>
          <w:sz w:val="28"/>
          <w:szCs w:val="28"/>
        </w:rPr>
        <w:fldChar w:fldCharType="separate"/>
      </w:r>
      <w:r>
        <w:rPr>
          <w:rFonts w:ascii="Times New Roman" w:hAnsi="Times New Roman"/>
          <w:sz w:val="28"/>
          <w:szCs w:val="28"/>
        </w:rPr>
        <w:t>8</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0" w:firstLineChars="0"/>
        <w:textAlignment w:val="auto"/>
        <w:rPr>
          <w:rFonts w:ascii="Times New Roman" w:hAnsi="Times New Roman" w:eastAsia="仿宋" w:cs="Times New Roman"/>
          <w:b/>
          <w:bCs/>
          <w:sz w:val="28"/>
          <w:szCs w:val="28"/>
        </w:rPr>
      </w:pPr>
      <w:r>
        <w:rPr>
          <w:rFonts w:ascii="Times New Roman" w:hAnsi="Times New Roman" w:eastAsia="仿宋" w:cs="Times New Roman"/>
          <w:b/>
          <w:bCs/>
          <w:sz w:val="28"/>
          <w:szCs w:val="28"/>
        </w:rPr>
        <w:fldChar w:fldCharType="begin"/>
      </w:r>
      <w:r>
        <w:rPr>
          <w:rFonts w:ascii="Times New Roman" w:hAnsi="Times New Roman" w:eastAsia="仿宋" w:cs="Times New Roman"/>
          <w:b/>
          <w:bCs/>
          <w:sz w:val="28"/>
          <w:szCs w:val="28"/>
        </w:rPr>
        <w:instrText xml:space="preserve"> HYPERLINK \l _Toc1312 </w:instrText>
      </w:r>
      <w:r>
        <w:rPr>
          <w:rFonts w:ascii="Times New Roman" w:hAnsi="Times New Roman" w:eastAsia="仿宋" w:cs="Times New Roman"/>
          <w:b/>
          <w:bCs/>
          <w:sz w:val="28"/>
          <w:szCs w:val="28"/>
        </w:rPr>
        <w:fldChar w:fldCharType="separate"/>
      </w:r>
      <w:r>
        <w:rPr>
          <w:rFonts w:hint="eastAsia" w:ascii="Times New Roman" w:hAnsi="Times New Roman" w:eastAsia="仿宋" w:cs="Times New Roman"/>
          <w:b/>
          <w:bCs/>
          <w:sz w:val="28"/>
          <w:szCs w:val="28"/>
          <w:lang w:val="en-US" w:eastAsia="zh-CN"/>
        </w:rPr>
        <w:t>第二章 基本情况</w:t>
      </w:r>
      <w:r>
        <w:rPr>
          <w:rFonts w:ascii="Times New Roman" w:hAnsi="Times New Roman" w:eastAsia="仿宋" w:cs="Times New Roman"/>
          <w:b/>
          <w:bCs/>
          <w:sz w:val="28"/>
          <w:szCs w:val="28"/>
        </w:rPr>
        <w:tab/>
      </w:r>
      <w:r>
        <w:rPr>
          <w:rFonts w:ascii="Times New Roman" w:hAnsi="Times New Roman" w:eastAsia="仿宋" w:cs="Times New Roman"/>
          <w:b/>
          <w:bCs/>
          <w:sz w:val="28"/>
          <w:szCs w:val="28"/>
        </w:rPr>
        <w:fldChar w:fldCharType="begin"/>
      </w:r>
      <w:r>
        <w:rPr>
          <w:rFonts w:ascii="Times New Roman" w:hAnsi="Times New Roman" w:eastAsia="仿宋" w:cs="Times New Roman"/>
          <w:b/>
          <w:bCs/>
          <w:sz w:val="28"/>
          <w:szCs w:val="28"/>
        </w:rPr>
        <w:instrText xml:space="preserve"> PAGEREF _Toc1312 \h </w:instrText>
      </w:r>
      <w:r>
        <w:rPr>
          <w:rFonts w:ascii="Times New Roman" w:hAnsi="Times New Roman" w:eastAsia="仿宋" w:cs="Times New Roman"/>
          <w:b/>
          <w:bCs/>
          <w:sz w:val="28"/>
          <w:szCs w:val="28"/>
        </w:rPr>
        <w:fldChar w:fldCharType="separate"/>
      </w:r>
      <w:r>
        <w:rPr>
          <w:rFonts w:ascii="Times New Roman" w:hAnsi="Times New Roman" w:eastAsia="仿宋" w:cs="Times New Roman"/>
          <w:b/>
          <w:bCs/>
          <w:sz w:val="28"/>
          <w:szCs w:val="28"/>
        </w:rPr>
        <w:t>9</w:t>
      </w:r>
      <w:r>
        <w:rPr>
          <w:rFonts w:ascii="Times New Roman" w:hAnsi="Times New Roman" w:eastAsia="仿宋" w:cs="Times New Roman"/>
          <w:b/>
          <w:bCs/>
          <w:sz w:val="28"/>
          <w:szCs w:val="28"/>
        </w:rPr>
        <w:fldChar w:fldCharType="end"/>
      </w:r>
      <w:r>
        <w:rPr>
          <w:rFonts w:ascii="Times New Roman" w:hAnsi="Times New Roman" w:eastAsia="仿宋" w:cs="Times New Roman"/>
          <w:b/>
          <w:bCs/>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_Toc1312 </w:instrText>
      </w:r>
      <w:r>
        <w:rPr>
          <w:rFonts w:ascii="Times New Roman" w:hAnsi="Times New Roman" w:eastAsia="仿宋"/>
          <w:sz w:val="28"/>
          <w:szCs w:val="28"/>
        </w:rPr>
        <w:fldChar w:fldCharType="separate"/>
      </w:r>
      <w:r>
        <w:rPr>
          <w:rFonts w:hint="eastAsia" w:ascii="Times New Roman" w:hAnsi="Times New Roman"/>
          <w:sz w:val="28"/>
          <w:szCs w:val="28"/>
        </w:rPr>
        <w:t>一、项目区概况</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_Toc1312 \h </w:instrText>
      </w:r>
      <w:r>
        <w:rPr>
          <w:rFonts w:ascii="Times New Roman" w:hAnsi="Times New Roman"/>
          <w:sz w:val="28"/>
          <w:szCs w:val="28"/>
        </w:rPr>
        <w:fldChar w:fldCharType="separate"/>
      </w:r>
      <w:r>
        <w:rPr>
          <w:rFonts w:ascii="Times New Roman" w:hAnsi="Times New Roman"/>
          <w:sz w:val="28"/>
          <w:szCs w:val="28"/>
        </w:rPr>
        <w:t>9</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_Toc5222 </w:instrText>
      </w:r>
      <w:r>
        <w:rPr>
          <w:rFonts w:ascii="Times New Roman" w:hAnsi="Times New Roman" w:eastAsia="仿宋"/>
          <w:sz w:val="28"/>
          <w:szCs w:val="28"/>
        </w:rPr>
        <w:fldChar w:fldCharType="separate"/>
      </w:r>
      <w:r>
        <w:rPr>
          <w:rFonts w:hint="eastAsia" w:ascii="Times New Roman" w:hAnsi="Times New Roman"/>
          <w:sz w:val="28"/>
          <w:szCs w:val="28"/>
        </w:rPr>
        <w:t>二、森林</w:t>
      </w:r>
      <w:r>
        <w:rPr>
          <w:rFonts w:ascii="Times New Roman" w:hAnsi="Times New Roman"/>
          <w:sz w:val="28"/>
          <w:szCs w:val="28"/>
        </w:rPr>
        <w:t>资源现状</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_Toc5222 \h </w:instrText>
      </w:r>
      <w:r>
        <w:rPr>
          <w:rFonts w:ascii="Times New Roman" w:hAnsi="Times New Roman"/>
          <w:sz w:val="28"/>
          <w:szCs w:val="28"/>
        </w:rPr>
        <w:fldChar w:fldCharType="separate"/>
      </w:r>
      <w:r>
        <w:rPr>
          <w:rFonts w:ascii="Times New Roman" w:hAnsi="Times New Roman"/>
          <w:sz w:val="28"/>
          <w:szCs w:val="28"/>
        </w:rPr>
        <w:t>10</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_Toc1592 </w:instrText>
      </w:r>
      <w:r>
        <w:rPr>
          <w:rFonts w:ascii="Times New Roman" w:hAnsi="Times New Roman" w:eastAsia="仿宋"/>
          <w:sz w:val="28"/>
          <w:szCs w:val="28"/>
        </w:rPr>
        <w:fldChar w:fldCharType="separate"/>
      </w:r>
      <w:r>
        <w:rPr>
          <w:rFonts w:hint="eastAsia" w:ascii="Times New Roman" w:hAnsi="Times New Roman"/>
          <w:sz w:val="28"/>
          <w:szCs w:val="28"/>
        </w:rPr>
        <w:t>三、“十三五”济宁市林业有害生物防治情况</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_Toc1592 \h </w:instrText>
      </w:r>
      <w:r>
        <w:rPr>
          <w:rFonts w:ascii="Times New Roman" w:hAnsi="Times New Roman"/>
          <w:sz w:val="28"/>
          <w:szCs w:val="28"/>
        </w:rPr>
        <w:fldChar w:fldCharType="separate"/>
      </w:r>
      <w:r>
        <w:rPr>
          <w:rFonts w:ascii="Times New Roman" w:hAnsi="Times New Roman"/>
          <w:sz w:val="28"/>
          <w:szCs w:val="28"/>
        </w:rPr>
        <w:t>14</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_Toc15685 </w:instrText>
      </w:r>
      <w:r>
        <w:rPr>
          <w:rFonts w:ascii="Times New Roman" w:hAnsi="Times New Roman" w:eastAsia="仿宋"/>
          <w:sz w:val="28"/>
          <w:szCs w:val="28"/>
        </w:rPr>
        <w:fldChar w:fldCharType="separate"/>
      </w:r>
      <w:r>
        <w:rPr>
          <w:rFonts w:hint="eastAsia" w:ascii="Times New Roman" w:hAnsi="Times New Roman"/>
          <w:sz w:val="28"/>
          <w:szCs w:val="28"/>
        </w:rPr>
        <w:t>四、面临的形势与问题</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_Toc15685 \h </w:instrText>
      </w:r>
      <w:r>
        <w:rPr>
          <w:rFonts w:ascii="Times New Roman" w:hAnsi="Times New Roman"/>
          <w:sz w:val="28"/>
          <w:szCs w:val="28"/>
        </w:rPr>
        <w:fldChar w:fldCharType="separate"/>
      </w:r>
      <w:r>
        <w:rPr>
          <w:rFonts w:ascii="Times New Roman" w:hAnsi="Times New Roman"/>
          <w:sz w:val="28"/>
          <w:szCs w:val="28"/>
        </w:rPr>
        <w:t>17</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0" w:firstLineChars="0"/>
        <w:textAlignment w:val="auto"/>
        <w:rPr>
          <w:rFonts w:ascii="Times New Roman" w:hAnsi="Times New Roman" w:eastAsia="仿宋" w:cs="Times New Roman"/>
          <w:b/>
          <w:bCs/>
          <w:sz w:val="28"/>
          <w:szCs w:val="28"/>
        </w:rPr>
      </w:pPr>
      <w:r>
        <w:rPr>
          <w:rFonts w:ascii="Times New Roman" w:hAnsi="Times New Roman" w:eastAsia="仿宋" w:cs="Times New Roman"/>
          <w:b/>
          <w:bCs/>
          <w:sz w:val="28"/>
          <w:szCs w:val="28"/>
        </w:rPr>
        <w:fldChar w:fldCharType="begin"/>
      </w:r>
      <w:r>
        <w:rPr>
          <w:rFonts w:ascii="Times New Roman" w:hAnsi="Times New Roman" w:eastAsia="仿宋" w:cs="Times New Roman"/>
          <w:b/>
          <w:bCs/>
          <w:sz w:val="28"/>
          <w:szCs w:val="28"/>
        </w:rPr>
        <w:instrText xml:space="preserve"> HYPERLINK \l _Toc28738 </w:instrText>
      </w:r>
      <w:r>
        <w:rPr>
          <w:rFonts w:ascii="Times New Roman" w:hAnsi="Times New Roman" w:eastAsia="仿宋" w:cs="Times New Roman"/>
          <w:b/>
          <w:bCs/>
          <w:sz w:val="28"/>
          <w:szCs w:val="28"/>
        </w:rPr>
        <w:fldChar w:fldCharType="separate"/>
      </w:r>
      <w:r>
        <w:rPr>
          <w:rFonts w:hint="eastAsia" w:ascii="Times New Roman" w:hAnsi="Times New Roman" w:eastAsia="仿宋" w:cs="Times New Roman"/>
          <w:b/>
          <w:bCs/>
          <w:sz w:val="28"/>
          <w:szCs w:val="28"/>
        </w:rPr>
        <w:t>第三章 规划总体要求</w:t>
      </w:r>
      <w:r>
        <w:rPr>
          <w:rFonts w:ascii="Times New Roman" w:hAnsi="Times New Roman" w:eastAsia="仿宋" w:cs="Times New Roman"/>
          <w:b/>
          <w:bCs/>
          <w:sz w:val="28"/>
          <w:szCs w:val="28"/>
        </w:rPr>
        <w:tab/>
      </w:r>
      <w:r>
        <w:rPr>
          <w:rFonts w:ascii="Times New Roman" w:hAnsi="Times New Roman" w:eastAsia="仿宋" w:cs="Times New Roman"/>
          <w:b/>
          <w:bCs/>
          <w:sz w:val="28"/>
          <w:szCs w:val="28"/>
        </w:rPr>
        <w:fldChar w:fldCharType="begin"/>
      </w:r>
      <w:r>
        <w:rPr>
          <w:rFonts w:ascii="Times New Roman" w:hAnsi="Times New Roman" w:eastAsia="仿宋" w:cs="Times New Roman"/>
          <w:b/>
          <w:bCs/>
          <w:sz w:val="28"/>
          <w:szCs w:val="28"/>
        </w:rPr>
        <w:instrText xml:space="preserve"> PAGEREF _Toc28738 \h </w:instrText>
      </w:r>
      <w:r>
        <w:rPr>
          <w:rFonts w:ascii="Times New Roman" w:hAnsi="Times New Roman" w:eastAsia="仿宋" w:cs="Times New Roman"/>
          <w:b/>
          <w:bCs/>
          <w:sz w:val="28"/>
          <w:szCs w:val="28"/>
        </w:rPr>
        <w:fldChar w:fldCharType="separate"/>
      </w:r>
      <w:r>
        <w:rPr>
          <w:rFonts w:ascii="Times New Roman" w:hAnsi="Times New Roman" w:eastAsia="仿宋" w:cs="Times New Roman"/>
          <w:b/>
          <w:bCs/>
          <w:sz w:val="28"/>
          <w:szCs w:val="28"/>
        </w:rPr>
        <w:t>19</w:t>
      </w:r>
      <w:r>
        <w:rPr>
          <w:rFonts w:ascii="Times New Roman" w:hAnsi="Times New Roman" w:eastAsia="仿宋" w:cs="Times New Roman"/>
          <w:b/>
          <w:bCs/>
          <w:sz w:val="28"/>
          <w:szCs w:val="28"/>
        </w:rPr>
        <w:fldChar w:fldCharType="end"/>
      </w:r>
      <w:r>
        <w:rPr>
          <w:rFonts w:ascii="Times New Roman" w:hAnsi="Times New Roman" w:eastAsia="仿宋" w:cs="Times New Roman"/>
          <w:b/>
          <w:bCs/>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_Toc5581 </w:instrText>
      </w:r>
      <w:r>
        <w:rPr>
          <w:rFonts w:ascii="Times New Roman" w:hAnsi="Times New Roman" w:eastAsia="仿宋"/>
          <w:sz w:val="28"/>
          <w:szCs w:val="28"/>
        </w:rPr>
        <w:fldChar w:fldCharType="separate"/>
      </w:r>
      <w:r>
        <w:rPr>
          <w:rFonts w:hint="eastAsia" w:ascii="Times New Roman" w:hAnsi="Times New Roman"/>
          <w:sz w:val="28"/>
          <w:szCs w:val="28"/>
        </w:rPr>
        <w:t>一、指导思想</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_Toc5581 \h </w:instrText>
      </w:r>
      <w:r>
        <w:rPr>
          <w:rFonts w:ascii="Times New Roman" w:hAnsi="Times New Roman"/>
          <w:sz w:val="28"/>
          <w:szCs w:val="28"/>
        </w:rPr>
        <w:fldChar w:fldCharType="separate"/>
      </w:r>
      <w:r>
        <w:rPr>
          <w:rFonts w:ascii="Times New Roman" w:hAnsi="Times New Roman"/>
          <w:sz w:val="28"/>
          <w:szCs w:val="28"/>
        </w:rPr>
        <w:t>19</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_Toc21721 </w:instrText>
      </w:r>
      <w:r>
        <w:rPr>
          <w:rFonts w:ascii="Times New Roman" w:hAnsi="Times New Roman" w:eastAsia="仿宋"/>
          <w:sz w:val="28"/>
          <w:szCs w:val="28"/>
        </w:rPr>
        <w:fldChar w:fldCharType="separate"/>
      </w:r>
      <w:r>
        <w:rPr>
          <w:rFonts w:hint="eastAsia" w:ascii="Times New Roman" w:hAnsi="Times New Roman"/>
          <w:sz w:val="28"/>
          <w:szCs w:val="28"/>
        </w:rPr>
        <w:t>二、基本原则</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_Toc21721 \h </w:instrText>
      </w:r>
      <w:r>
        <w:rPr>
          <w:rFonts w:ascii="Times New Roman" w:hAnsi="Times New Roman"/>
          <w:sz w:val="28"/>
          <w:szCs w:val="28"/>
        </w:rPr>
        <w:fldChar w:fldCharType="separate"/>
      </w:r>
      <w:r>
        <w:rPr>
          <w:rFonts w:ascii="Times New Roman" w:hAnsi="Times New Roman"/>
          <w:sz w:val="28"/>
          <w:szCs w:val="28"/>
        </w:rPr>
        <w:t>19</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_Toc1822 </w:instrText>
      </w:r>
      <w:r>
        <w:rPr>
          <w:rFonts w:ascii="Times New Roman" w:hAnsi="Times New Roman" w:eastAsia="仿宋"/>
          <w:sz w:val="28"/>
          <w:szCs w:val="28"/>
        </w:rPr>
        <w:fldChar w:fldCharType="separate"/>
      </w:r>
      <w:r>
        <w:rPr>
          <w:rFonts w:hint="eastAsia" w:ascii="Times New Roman" w:hAnsi="Times New Roman"/>
          <w:sz w:val="28"/>
          <w:szCs w:val="28"/>
        </w:rPr>
        <w:t>三、规划主要目标</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_Toc1822 \h </w:instrText>
      </w:r>
      <w:r>
        <w:rPr>
          <w:rFonts w:ascii="Times New Roman" w:hAnsi="Times New Roman"/>
          <w:sz w:val="28"/>
          <w:szCs w:val="28"/>
        </w:rPr>
        <w:fldChar w:fldCharType="separate"/>
      </w:r>
      <w:r>
        <w:rPr>
          <w:rFonts w:ascii="Times New Roman" w:hAnsi="Times New Roman"/>
          <w:sz w:val="28"/>
          <w:szCs w:val="28"/>
        </w:rPr>
        <w:t>20</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_Toc26306 </w:instrText>
      </w:r>
      <w:r>
        <w:rPr>
          <w:rFonts w:ascii="Times New Roman" w:hAnsi="Times New Roman" w:eastAsia="仿宋"/>
          <w:sz w:val="28"/>
          <w:szCs w:val="28"/>
        </w:rPr>
        <w:fldChar w:fldCharType="separate"/>
      </w:r>
      <w:r>
        <w:rPr>
          <w:rFonts w:hint="eastAsia" w:ascii="Times New Roman" w:hAnsi="Times New Roman"/>
          <w:sz w:val="28"/>
          <w:szCs w:val="28"/>
        </w:rPr>
        <w:t>四、规划分区</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_Toc26306 \h </w:instrText>
      </w:r>
      <w:r>
        <w:rPr>
          <w:rFonts w:ascii="Times New Roman" w:hAnsi="Times New Roman"/>
          <w:sz w:val="28"/>
          <w:szCs w:val="28"/>
        </w:rPr>
        <w:fldChar w:fldCharType="separate"/>
      </w:r>
      <w:r>
        <w:rPr>
          <w:rFonts w:ascii="Times New Roman" w:hAnsi="Times New Roman"/>
          <w:sz w:val="28"/>
          <w:szCs w:val="28"/>
        </w:rPr>
        <w:t>21</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0" w:firstLineChars="0"/>
        <w:textAlignment w:val="auto"/>
        <w:rPr>
          <w:rFonts w:ascii="Times New Roman" w:hAnsi="Times New Roman" w:eastAsia="仿宋" w:cs="Times New Roman"/>
          <w:b/>
          <w:bCs/>
          <w:sz w:val="28"/>
          <w:szCs w:val="28"/>
        </w:rPr>
      </w:pPr>
      <w:r>
        <w:rPr>
          <w:rFonts w:ascii="Times New Roman" w:hAnsi="Times New Roman" w:eastAsia="仿宋" w:cs="Times New Roman"/>
          <w:b/>
          <w:bCs/>
          <w:sz w:val="28"/>
          <w:szCs w:val="28"/>
        </w:rPr>
        <w:fldChar w:fldCharType="begin"/>
      </w:r>
      <w:r>
        <w:rPr>
          <w:rFonts w:ascii="Times New Roman" w:hAnsi="Times New Roman" w:eastAsia="仿宋" w:cs="Times New Roman"/>
          <w:b/>
          <w:bCs/>
          <w:sz w:val="28"/>
          <w:szCs w:val="28"/>
        </w:rPr>
        <w:instrText xml:space="preserve"> HYPERLINK \l _Toc22123 </w:instrText>
      </w:r>
      <w:r>
        <w:rPr>
          <w:rFonts w:ascii="Times New Roman" w:hAnsi="Times New Roman" w:eastAsia="仿宋" w:cs="Times New Roman"/>
          <w:b/>
          <w:bCs/>
          <w:sz w:val="28"/>
          <w:szCs w:val="28"/>
        </w:rPr>
        <w:fldChar w:fldCharType="separate"/>
      </w:r>
      <w:r>
        <w:rPr>
          <w:rFonts w:hint="eastAsia" w:ascii="Times New Roman" w:hAnsi="Times New Roman" w:eastAsia="仿宋" w:cs="Times New Roman"/>
          <w:b/>
          <w:bCs/>
          <w:sz w:val="28"/>
          <w:szCs w:val="28"/>
        </w:rPr>
        <w:t>第四章 建设任务</w:t>
      </w:r>
      <w:r>
        <w:rPr>
          <w:rFonts w:ascii="Times New Roman" w:hAnsi="Times New Roman" w:eastAsia="仿宋" w:cs="Times New Roman"/>
          <w:b/>
          <w:bCs/>
          <w:sz w:val="28"/>
          <w:szCs w:val="28"/>
        </w:rPr>
        <w:tab/>
      </w:r>
      <w:r>
        <w:rPr>
          <w:rFonts w:ascii="Times New Roman" w:hAnsi="Times New Roman" w:eastAsia="仿宋" w:cs="Times New Roman"/>
          <w:b/>
          <w:bCs/>
          <w:sz w:val="28"/>
          <w:szCs w:val="28"/>
        </w:rPr>
        <w:fldChar w:fldCharType="begin"/>
      </w:r>
      <w:r>
        <w:rPr>
          <w:rFonts w:ascii="Times New Roman" w:hAnsi="Times New Roman" w:eastAsia="仿宋" w:cs="Times New Roman"/>
          <w:b/>
          <w:bCs/>
          <w:sz w:val="28"/>
          <w:szCs w:val="28"/>
        </w:rPr>
        <w:instrText xml:space="preserve"> PAGEREF _Toc22123 \h </w:instrText>
      </w:r>
      <w:r>
        <w:rPr>
          <w:rFonts w:ascii="Times New Roman" w:hAnsi="Times New Roman" w:eastAsia="仿宋" w:cs="Times New Roman"/>
          <w:b/>
          <w:bCs/>
          <w:sz w:val="28"/>
          <w:szCs w:val="28"/>
        </w:rPr>
        <w:fldChar w:fldCharType="separate"/>
      </w:r>
      <w:r>
        <w:rPr>
          <w:rFonts w:ascii="Times New Roman" w:hAnsi="Times New Roman" w:eastAsia="仿宋" w:cs="Times New Roman"/>
          <w:b/>
          <w:bCs/>
          <w:sz w:val="28"/>
          <w:szCs w:val="28"/>
        </w:rPr>
        <w:t>22</w:t>
      </w:r>
      <w:r>
        <w:rPr>
          <w:rFonts w:ascii="Times New Roman" w:hAnsi="Times New Roman" w:eastAsia="仿宋" w:cs="Times New Roman"/>
          <w:b/>
          <w:bCs/>
          <w:sz w:val="28"/>
          <w:szCs w:val="28"/>
        </w:rPr>
        <w:fldChar w:fldCharType="end"/>
      </w:r>
      <w:r>
        <w:rPr>
          <w:rFonts w:ascii="Times New Roman" w:hAnsi="Times New Roman" w:eastAsia="仿宋" w:cs="Times New Roman"/>
          <w:b/>
          <w:bCs/>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_Toc17891 </w:instrText>
      </w:r>
      <w:r>
        <w:rPr>
          <w:rFonts w:ascii="Times New Roman" w:hAnsi="Times New Roman" w:eastAsia="仿宋"/>
          <w:sz w:val="28"/>
          <w:szCs w:val="28"/>
        </w:rPr>
        <w:fldChar w:fldCharType="separate"/>
      </w:r>
      <w:r>
        <w:rPr>
          <w:rFonts w:hint="eastAsia" w:ascii="Times New Roman" w:hAnsi="Times New Roman"/>
          <w:sz w:val="28"/>
          <w:szCs w:val="28"/>
        </w:rPr>
        <w:t>一、监测预警体系</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_Toc17891 \h </w:instrText>
      </w:r>
      <w:r>
        <w:rPr>
          <w:rFonts w:ascii="Times New Roman" w:hAnsi="Times New Roman"/>
          <w:sz w:val="28"/>
          <w:szCs w:val="28"/>
        </w:rPr>
        <w:fldChar w:fldCharType="separate"/>
      </w:r>
      <w:r>
        <w:rPr>
          <w:rFonts w:ascii="Times New Roman" w:hAnsi="Times New Roman"/>
          <w:sz w:val="28"/>
          <w:szCs w:val="28"/>
        </w:rPr>
        <w:t>22</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_Toc15765 </w:instrText>
      </w:r>
      <w:r>
        <w:rPr>
          <w:rFonts w:ascii="Times New Roman" w:hAnsi="Times New Roman" w:eastAsia="仿宋"/>
          <w:sz w:val="28"/>
          <w:szCs w:val="28"/>
        </w:rPr>
        <w:fldChar w:fldCharType="separate"/>
      </w:r>
      <w:r>
        <w:rPr>
          <w:rFonts w:hint="eastAsia" w:ascii="Times New Roman" w:hAnsi="Times New Roman"/>
          <w:sz w:val="28"/>
          <w:szCs w:val="28"/>
          <w:highlight w:val="none"/>
        </w:rPr>
        <w:t>二、检疫御灾体系</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_Toc15765 \h </w:instrText>
      </w:r>
      <w:r>
        <w:rPr>
          <w:rFonts w:ascii="Times New Roman" w:hAnsi="Times New Roman"/>
          <w:sz w:val="28"/>
          <w:szCs w:val="28"/>
        </w:rPr>
        <w:fldChar w:fldCharType="separate"/>
      </w:r>
      <w:r>
        <w:rPr>
          <w:rFonts w:ascii="Times New Roman" w:hAnsi="Times New Roman"/>
          <w:sz w:val="28"/>
          <w:szCs w:val="28"/>
        </w:rPr>
        <w:t>24</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_Toc16351 </w:instrText>
      </w:r>
      <w:r>
        <w:rPr>
          <w:rFonts w:ascii="Times New Roman" w:hAnsi="Times New Roman" w:eastAsia="仿宋"/>
          <w:sz w:val="28"/>
          <w:szCs w:val="28"/>
        </w:rPr>
        <w:fldChar w:fldCharType="separate"/>
      </w:r>
      <w:r>
        <w:rPr>
          <w:rFonts w:hint="eastAsia" w:ascii="Times New Roman" w:hAnsi="Times New Roman"/>
          <w:sz w:val="28"/>
          <w:szCs w:val="28"/>
        </w:rPr>
        <w:t>三、防治减灾体系</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_Toc16351 \h </w:instrText>
      </w:r>
      <w:r>
        <w:rPr>
          <w:rFonts w:ascii="Times New Roman" w:hAnsi="Times New Roman"/>
          <w:sz w:val="28"/>
          <w:szCs w:val="28"/>
        </w:rPr>
        <w:fldChar w:fldCharType="separate"/>
      </w:r>
      <w:r>
        <w:rPr>
          <w:rFonts w:ascii="Times New Roman" w:hAnsi="Times New Roman"/>
          <w:sz w:val="28"/>
          <w:szCs w:val="28"/>
        </w:rPr>
        <w:t>27</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_Toc2517 </w:instrText>
      </w:r>
      <w:r>
        <w:rPr>
          <w:rFonts w:ascii="Times New Roman" w:hAnsi="Times New Roman" w:eastAsia="仿宋"/>
          <w:sz w:val="28"/>
          <w:szCs w:val="28"/>
        </w:rPr>
        <w:fldChar w:fldCharType="separate"/>
      </w:r>
      <w:r>
        <w:rPr>
          <w:rFonts w:hint="eastAsia" w:ascii="Times New Roman" w:hAnsi="Times New Roman"/>
          <w:sz w:val="28"/>
          <w:szCs w:val="28"/>
        </w:rPr>
        <w:t>四、技术保障体系</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_Toc2517 \h </w:instrText>
      </w:r>
      <w:r>
        <w:rPr>
          <w:rFonts w:ascii="Times New Roman" w:hAnsi="Times New Roman"/>
          <w:sz w:val="28"/>
          <w:szCs w:val="28"/>
        </w:rPr>
        <w:fldChar w:fldCharType="separate"/>
      </w:r>
      <w:r>
        <w:rPr>
          <w:rFonts w:ascii="Times New Roman" w:hAnsi="Times New Roman"/>
          <w:sz w:val="28"/>
          <w:szCs w:val="28"/>
        </w:rPr>
        <w:t>29</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0" w:firstLineChars="0"/>
        <w:textAlignment w:val="auto"/>
        <w:rPr>
          <w:rFonts w:ascii="Times New Roman" w:hAnsi="Times New Roman"/>
          <w:sz w:val="28"/>
          <w:szCs w:val="28"/>
        </w:rPr>
      </w:pPr>
      <w:r>
        <w:rPr>
          <w:rFonts w:ascii="Times New Roman" w:hAnsi="Times New Roman" w:eastAsia="仿宋" w:cs="Times New Roman"/>
          <w:b/>
          <w:bCs/>
          <w:sz w:val="28"/>
          <w:szCs w:val="28"/>
        </w:rPr>
        <w:fldChar w:fldCharType="begin"/>
      </w:r>
      <w:r>
        <w:rPr>
          <w:rFonts w:ascii="Times New Roman" w:hAnsi="Times New Roman" w:eastAsia="仿宋" w:cs="Times New Roman"/>
          <w:b/>
          <w:bCs/>
          <w:sz w:val="28"/>
          <w:szCs w:val="28"/>
        </w:rPr>
        <w:instrText xml:space="preserve"> HYPERLINK \l _Toc21157 </w:instrText>
      </w:r>
      <w:r>
        <w:rPr>
          <w:rFonts w:ascii="Times New Roman" w:hAnsi="Times New Roman" w:eastAsia="仿宋" w:cs="Times New Roman"/>
          <w:b/>
          <w:bCs/>
          <w:sz w:val="28"/>
          <w:szCs w:val="28"/>
        </w:rPr>
        <w:fldChar w:fldCharType="separate"/>
      </w:r>
      <w:r>
        <w:rPr>
          <w:rFonts w:hint="eastAsia" w:ascii="Times New Roman" w:hAnsi="Times New Roman" w:eastAsia="仿宋" w:cs="Times New Roman"/>
          <w:b/>
          <w:bCs/>
          <w:sz w:val="28"/>
          <w:szCs w:val="28"/>
        </w:rPr>
        <w:t>第五章 松材线虫病攻坚行动</w:t>
      </w:r>
      <w:r>
        <w:rPr>
          <w:rFonts w:ascii="Times New Roman" w:hAnsi="Times New Roman" w:eastAsia="仿宋" w:cs="Times New Roman"/>
          <w:b/>
          <w:bCs/>
          <w:sz w:val="28"/>
          <w:szCs w:val="28"/>
        </w:rPr>
        <w:tab/>
      </w:r>
      <w:r>
        <w:rPr>
          <w:rFonts w:ascii="Times New Roman" w:hAnsi="Times New Roman" w:eastAsia="仿宋" w:cs="Times New Roman"/>
          <w:b/>
          <w:bCs/>
          <w:sz w:val="28"/>
          <w:szCs w:val="28"/>
        </w:rPr>
        <w:fldChar w:fldCharType="begin"/>
      </w:r>
      <w:r>
        <w:rPr>
          <w:rFonts w:ascii="Times New Roman" w:hAnsi="Times New Roman" w:eastAsia="仿宋" w:cs="Times New Roman"/>
          <w:b/>
          <w:bCs/>
          <w:sz w:val="28"/>
          <w:szCs w:val="28"/>
        </w:rPr>
        <w:instrText xml:space="preserve"> PAGEREF _Toc21157 \h </w:instrText>
      </w:r>
      <w:r>
        <w:rPr>
          <w:rFonts w:ascii="Times New Roman" w:hAnsi="Times New Roman" w:eastAsia="仿宋" w:cs="Times New Roman"/>
          <w:b/>
          <w:bCs/>
          <w:sz w:val="28"/>
          <w:szCs w:val="28"/>
        </w:rPr>
        <w:fldChar w:fldCharType="separate"/>
      </w:r>
      <w:r>
        <w:rPr>
          <w:rFonts w:ascii="Times New Roman" w:hAnsi="Times New Roman" w:eastAsia="仿宋" w:cs="Times New Roman"/>
          <w:b/>
          <w:bCs/>
          <w:sz w:val="28"/>
          <w:szCs w:val="28"/>
        </w:rPr>
        <w:t>33</w:t>
      </w:r>
      <w:r>
        <w:rPr>
          <w:rFonts w:ascii="Times New Roman" w:hAnsi="Times New Roman" w:eastAsia="仿宋" w:cs="Times New Roman"/>
          <w:b/>
          <w:bCs/>
          <w:sz w:val="28"/>
          <w:szCs w:val="28"/>
        </w:rPr>
        <w:fldChar w:fldCharType="end"/>
      </w:r>
      <w:r>
        <w:rPr>
          <w:rFonts w:ascii="Times New Roman" w:hAnsi="Times New Roman" w:eastAsia="仿宋" w:cs="Times New Roman"/>
          <w:b/>
          <w:bCs/>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_Toc30861 </w:instrText>
      </w:r>
      <w:r>
        <w:rPr>
          <w:rFonts w:ascii="Times New Roman" w:hAnsi="Times New Roman" w:eastAsia="仿宋"/>
          <w:sz w:val="28"/>
          <w:szCs w:val="28"/>
        </w:rPr>
        <w:fldChar w:fldCharType="separate"/>
      </w:r>
      <w:r>
        <w:rPr>
          <w:rFonts w:hint="eastAsia" w:ascii="Times New Roman" w:hAnsi="Times New Roman"/>
          <w:sz w:val="28"/>
          <w:szCs w:val="28"/>
        </w:rPr>
        <w:t>一、主要任务</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_Toc30861 \h </w:instrText>
      </w:r>
      <w:r>
        <w:rPr>
          <w:rFonts w:ascii="Times New Roman" w:hAnsi="Times New Roman"/>
          <w:sz w:val="28"/>
          <w:szCs w:val="28"/>
        </w:rPr>
        <w:fldChar w:fldCharType="separate"/>
      </w:r>
      <w:r>
        <w:rPr>
          <w:rFonts w:ascii="Times New Roman" w:hAnsi="Times New Roman"/>
          <w:sz w:val="28"/>
          <w:szCs w:val="28"/>
        </w:rPr>
        <w:t>33</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eastAsia="仿宋"/>
          <w:sz w:val="28"/>
          <w:szCs w:val="28"/>
        </w:rPr>
        <w:sectPr>
          <w:headerReference r:id="rId7" w:type="default"/>
          <w:footerReference r:id="rId8" w:type="default"/>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_Toc26748 </w:instrText>
      </w:r>
      <w:r>
        <w:rPr>
          <w:rFonts w:ascii="Times New Roman" w:hAnsi="Times New Roman" w:eastAsia="仿宋"/>
          <w:sz w:val="28"/>
          <w:szCs w:val="28"/>
        </w:rPr>
        <w:fldChar w:fldCharType="separate"/>
      </w:r>
      <w:r>
        <w:rPr>
          <w:rFonts w:hint="eastAsia" w:ascii="Times New Roman" w:hAnsi="Times New Roman"/>
          <w:sz w:val="28"/>
          <w:szCs w:val="28"/>
        </w:rPr>
        <w:t>二、防控目标</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_Toc26748 \h </w:instrText>
      </w:r>
      <w:r>
        <w:rPr>
          <w:rFonts w:ascii="Times New Roman" w:hAnsi="Times New Roman"/>
          <w:sz w:val="28"/>
          <w:szCs w:val="28"/>
        </w:rPr>
        <w:fldChar w:fldCharType="separate"/>
      </w:r>
      <w:r>
        <w:rPr>
          <w:rFonts w:ascii="Times New Roman" w:hAnsi="Times New Roman"/>
          <w:sz w:val="28"/>
          <w:szCs w:val="28"/>
        </w:rPr>
        <w:t>33</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_Toc2990 </w:instrText>
      </w:r>
      <w:r>
        <w:rPr>
          <w:rFonts w:ascii="Times New Roman" w:hAnsi="Times New Roman" w:eastAsia="仿宋"/>
          <w:sz w:val="28"/>
          <w:szCs w:val="28"/>
        </w:rPr>
        <w:fldChar w:fldCharType="separate"/>
      </w:r>
      <w:r>
        <w:rPr>
          <w:rFonts w:hint="eastAsia" w:ascii="Times New Roman" w:hAnsi="Times New Roman"/>
          <w:sz w:val="28"/>
          <w:szCs w:val="28"/>
        </w:rPr>
        <w:t>三、技术路线</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_Toc2990 \h </w:instrText>
      </w:r>
      <w:r>
        <w:rPr>
          <w:rFonts w:ascii="Times New Roman" w:hAnsi="Times New Roman"/>
          <w:sz w:val="28"/>
          <w:szCs w:val="28"/>
        </w:rPr>
        <w:fldChar w:fldCharType="separate"/>
      </w:r>
      <w:r>
        <w:rPr>
          <w:rFonts w:ascii="Times New Roman" w:hAnsi="Times New Roman"/>
          <w:sz w:val="28"/>
          <w:szCs w:val="28"/>
        </w:rPr>
        <w:t>33</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0" w:firstLineChars="0"/>
        <w:textAlignment w:val="auto"/>
        <w:rPr>
          <w:rFonts w:ascii="Times New Roman" w:hAnsi="Times New Roman" w:eastAsia="仿宋" w:cs="Times New Roman"/>
          <w:b/>
          <w:bCs/>
          <w:sz w:val="28"/>
          <w:szCs w:val="28"/>
        </w:rPr>
      </w:pPr>
      <w:r>
        <w:rPr>
          <w:rFonts w:ascii="Times New Roman" w:hAnsi="Times New Roman" w:eastAsia="仿宋" w:cs="Times New Roman"/>
          <w:b/>
          <w:bCs/>
          <w:sz w:val="28"/>
          <w:szCs w:val="28"/>
        </w:rPr>
        <w:fldChar w:fldCharType="begin"/>
      </w:r>
      <w:r>
        <w:rPr>
          <w:rFonts w:ascii="Times New Roman" w:hAnsi="Times New Roman" w:eastAsia="仿宋" w:cs="Times New Roman"/>
          <w:b/>
          <w:bCs/>
          <w:sz w:val="28"/>
          <w:szCs w:val="28"/>
        </w:rPr>
        <w:instrText xml:space="preserve"> HYPERLINK \l _Toc16710 </w:instrText>
      </w:r>
      <w:r>
        <w:rPr>
          <w:rFonts w:ascii="Times New Roman" w:hAnsi="Times New Roman" w:eastAsia="仿宋" w:cs="Times New Roman"/>
          <w:b/>
          <w:bCs/>
          <w:sz w:val="28"/>
          <w:szCs w:val="28"/>
        </w:rPr>
        <w:fldChar w:fldCharType="separate"/>
      </w:r>
      <w:r>
        <w:rPr>
          <w:rFonts w:hint="eastAsia" w:ascii="Times New Roman" w:hAnsi="Times New Roman" w:eastAsia="仿宋" w:cs="Times New Roman"/>
          <w:b/>
          <w:bCs/>
          <w:sz w:val="28"/>
          <w:szCs w:val="28"/>
        </w:rPr>
        <w:t>第六章 美国白蛾防控行动</w:t>
      </w:r>
      <w:r>
        <w:rPr>
          <w:rFonts w:ascii="Times New Roman" w:hAnsi="Times New Roman" w:eastAsia="仿宋" w:cs="Times New Roman"/>
          <w:b/>
          <w:bCs/>
          <w:sz w:val="28"/>
          <w:szCs w:val="28"/>
        </w:rPr>
        <w:tab/>
      </w:r>
      <w:r>
        <w:rPr>
          <w:rFonts w:ascii="Times New Roman" w:hAnsi="Times New Roman" w:eastAsia="仿宋" w:cs="Times New Roman"/>
          <w:b/>
          <w:bCs/>
          <w:sz w:val="28"/>
          <w:szCs w:val="28"/>
        </w:rPr>
        <w:fldChar w:fldCharType="begin"/>
      </w:r>
      <w:r>
        <w:rPr>
          <w:rFonts w:ascii="Times New Roman" w:hAnsi="Times New Roman" w:eastAsia="仿宋" w:cs="Times New Roman"/>
          <w:b/>
          <w:bCs/>
          <w:sz w:val="28"/>
          <w:szCs w:val="28"/>
        </w:rPr>
        <w:instrText xml:space="preserve"> PAGEREF _Toc16710 \h </w:instrText>
      </w:r>
      <w:r>
        <w:rPr>
          <w:rFonts w:ascii="Times New Roman" w:hAnsi="Times New Roman" w:eastAsia="仿宋" w:cs="Times New Roman"/>
          <w:b/>
          <w:bCs/>
          <w:sz w:val="28"/>
          <w:szCs w:val="28"/>
        </w:rPr>
        <w:fldChar w:fldCharType="separate"/>
      </w:r>
      <w:r>
        <w:rPr>
          <w:rFonts w:ascii="Times New Roman" w:hAnsi="Times New Roman" w:eastAsia="仿宋" w:cs="Times New Roman"/>
          <w:b/>
          <w:bCs/>
          <w:sz w:val="28"/>
          <w:szCs w:val="28"/>
        </w:rPr>
        <w:t>36</w:t>
      </w:r>
      <w:r>
        <w:rPr>
          <w:rFonts w:ascii="Times New Roman" w:hAnsi="Times New Roman" w:eastAsia="仿宋" w:cs="Times New Roman"/>
          <w:b/>
          <w:bCs/>
          <w:sz w:val="28"/>
          <w:szCs w:val="28"/>
        </w:rPr>
        <w:fldChar w:fldCharType="end"/>
      </w:r>
      <w:r>
        <w:rPr>
          <w:rFonts w:ascii="Times New Roman" w:hAnsi="Times New Roman" w:eastAsia="仿宋" w:cs="Times New Roman"/>
          <w:b/>
          <w:bCs/>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_Toc6753 </w:instrText>
      </w:r>
      <w:r>
        <w:rPr>
          <w:rFonts w:ascii="Times New Roman" w:hAnsi="Times New Roman" w:eastAsia="仿宋"/>
          <w:sz w:val="28"/>
          <w:szCs w:val="28"/>
        </w:rPr>
        <w:fldChar w:fldCharType="separate"/>
      </w:r>
      <w:r>
        <w:rPr>
          <w:rFonts w:hint="eastAsia" w:ascii="Times New Roman" w:hAnsi="Times New Roman"/>
          <w:sz w:val="28"/>
          <w:szCs w:val="28"/>
        </w:rPr>
        <w:t>一、主要任务</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_Toc6753 \h </w:instrText>
      </w:r>
      <w:r>
        <w:rPr>
          <w:rFonts w:ascii="Times New Roman" w:hAnsi="Times New Roman"/>
          <w:sz w:val="28"/>
          <w:szCs w:val="28"/>
        </w:rPr>
        <w:fldChar w:fldCharType="separate"/>
      </w:r>
      <w:r>
        <w:rPr>
          <w:rFonts w:ascii="Times New Roman" w:hAnsi="Times New Roman"/>
          <w:sz w:val="28"/>
          <w:szCs w:val="28"/>
        </w:rPr>
        <w:t>36</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_Toc23320 </w:instrText>
      </w:r>
      <w:r>
        <w:rPr>
          <w:rFonts w:ascii="Times New Roman" w:hAnsi="Times New Roman" w:eastAsia="仿宋"/>
          <w:sz w:val="28"/>
          <w:szCs w:val="28"/>
        </w:rPr>
        <w:fldChar w:fldCharType="separate"/>
      </w:r>
      <w:r>
        <w:rPr>
          <w:rFonts w:hint="eastAsia" w:ascii="Times New Roman" w:hAnsi="Times New Roman"/>
          <w:sz w:val="28"/>
          <w:szCs w:val="28"/>
        </w:rPr>
        <w:t>二、防控目标</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_Toc23320 \h </w:instrText>
      </w:r>
      <w:r>
        <w:rPr>
          <w:rFonts w:ascii="Times New Roman" w:hAnsi="Times New Roman"/>
          <w:sz w:val="28"/>
          <w:szCs w:val="28"/>
        </w:rPr>
        <w:fldChar w:fldCharType="separate"/>
      </w:r>
      <w:r>
        <w:rPr>
          <w:rFonts w:ascii="Times New Roman" w:hAnsi="Times New Roman"/>
          <w:sz w:val="28"/>
          <w:szCs w:val="28"/>
        </w:rPr>
        <w:t>36</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_Toc18380 </w:instrText>
      </w:r>
      <w:r>
        <w:rPr>
          <w:rFonts w:ascii="Times New Roman" w:hAnsi="Times New Roman" w:eastAsia="仿宋"/>
          <w:sz w:val="28"/>
          <w:szCs w:val="28"/>
        </w:rPr>
        <w:fldChar w:fldCharType="separate"/>
      </w:r>
      <w:r>
        <w:rPr>
          <w:rFonts w:hint="eastAsia" w:ascii="Times New Roman" w:hAnsi="Times New Roman"/>
          <w:sz w:val="28"/>
          <w:szCs w:val="28"/>
        </w:rPr>
        <w:t>三、技术路线</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_Toc18380 \h </w:instrText>
      </w:r>
      <w:r>
        <w:rPr>
          <w:rFonts w:ascii="Times New Roman" w:hAnsi="Times New Roman"/>
          <w:sz w:val="28"/>
          <w:szCs w:val="28"/>
        </w:rPr>
        <w:fldChar w:fldCharType="separate"/>
      </w:r>
      <w:r>
        <w:rPr>
          <w:rFonts w:ascii="Times New Roman" w:hAnsi="Times New Roman"/>
          <w:sz w:val="28"/>
          <w:szCs w:val="28"/>
        </w:rPr>
        <w:t>36</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0" w:firstLineChars="0"/>
        <w:textAlignment w:val="auto"/>
        <w:rPr>
          <w:rFonts w:ascii="Times New Roman" w:hAnsi="Times New Roman" w:eastAsia="仿宋" w:cs="Times New Roman"/>
          <w:b/>
          <w:bCs/>
          <w:sz w:val="28"/>
          <w:szCs w:val="28"/>
        </w:rPr>
      </w:pPr>
      <w:r>
        <w:rPr>
          <w:rFonts w:ascii="Times New Roman" w:hAnsi="Times New Roman" w:eastAsia="仿宋" w:cs="Times New Roman"/>
          <w:b/>
          <w:bCs/>
          <w:sz w:val="28"/>
          <w:szCs w:val="28"/>
        </w:rPr>
        <w:fldChar w:fldCharType="begin"/>
      </w:r>
      <w:r>
        <w:rPr>
          <w:rFonts w:ascii="Times New Roman" w:hAnsi="Times New Roman" w:eastAsia="仿宋" w:cs="Times New Roman"/>
          <w:b/>
          <w:bCs/>
          <w:sz w:val="28"/>
          <w:szCs w:val="28"/>
        </w:rPr>
        <w:instrText xml:space="preserve"> HYPERLINK \l _Toc31833 </w:instrText>
      </w:r>
      <w:r>
        <w:rPr>
          <w:rFonts w:ascii="Times New Roman" w:hAnsi="Times New Roman" w:eastAsia="仿宋" w:cs="Times New Roman"/>
          <w:b/>
          <w:bCs/>
          <w:sz w:val="28"/>
          <w:szCs w:val="28"/>
        </w:rPr>
        <w:fldChar w:fldCharType="separate"/>
      </w:r>
      <w:r>
        <w:rPr>
          <w:rFonts w:hint="eastAsia" w:ascii="Times New Roman" w:hAnsi="Times New Roman" w:eastAsia="仿宋" w:cs="Times New Roman"/>
          <w:b/>
          <w:bCs/>
          <w:sz w:val="28"/>
          <w:szCs w:val="28"/>
        </w:rPr>
        <w:t>第七章 其他突发有害生物和外来物种入侵防控行动</w:t>
      </w:r>
      <w:r>
        <w:rPr>
          <w:rFonts w:ascii="Times New Roman" w:hAnsi="Times New Roman" w:eastAsia="仿宋" w:cs="Times New Roman"/>
          <w:b/>
          <w:bCs/>
          <w:sz w:val="28"/>
          <w:szCs w:val="28"/>
        </w:rPr>
        <w:tab/>
      </w:r>
      <w:r>
        <w:rPr>
          <w:rFonts w:ascii="Times New Roman" w:hAnsi="Times New Roman" w:eastAsia="仿宋" w:cs="Times New Roman"/>
          <w:b/>
          <w:bCs/>
          <w:sz w:val="28"/>
          <w:szCs w:val="28"/>
        </w:rPr>
        <w:fldChar w:fldCharType="begin"/>
      </w:r>
      <w:r>
        <w:rPr>
          <w:rFonts w:ascii="Times New Roman" w:hAnsi="Times New Roman" w:eastAsia="仿宋" w:cs="Times New Roman"/>
          <w:b/>
          <w:bCs/>
          <w:sz w:val="28"/>
          <w:szCs w:val="28"/>
        </w:rPr>
        <w:instrText xml:space="preserve"> PAGEREF _Toc31833 \h </w:instrText>
      </w:r>
      <w:r>
        <w:rPr>
          <w:rFonts w:ascii="Times New Roman" w:hAnsi="Times New Roman" w:eastAsia="仿宋" w:cs="Times New Roman"/>
          <w:b/>
          <w:bCs/>
          <w:sz w:val="28"/>
          <w:szCs w:val="28"/>
        </w:rPr>
        <w:fldChar w:fldCharType="separate"/>
      </w:r>
      <w:r>
        <w:rPr>
          <w:rFonts w:ascii="Times New Roman" w:hAnsi="Times New Roman" w:eastAsia="仿宋" w:cs="Times New Roman"/>
          <w:b/>
          <w:bCs/>
          <w:sz w:val="28"/>
          <w:szCs w:val="28"/>
        </w:rPr>
        <w:t>39</w:t>
      </w:r>
      <w:r>
        <w:rPr>
          <w:rFonts w:ascii="Times New Roman" w:hAnsi="Times New Roman" w:eastAsia="仿宋" w:cs="Times New Roman"/>
          <w:b/>
          <w:bCs/>
          <w:sz w:val="28"/>
          <w:szCs w:val="28"/>
        </w:rPr>
        <w:fldChar w:fldCharType="end"/>
      </w:r>
      <w:r>
        <w:rPr>
          <w:rFonts w:ascii="Times New Roman" w:hAnsi="Times New Roman" w:eastAsia="仿宋" w:cs="Times New Roman"/>
          <w:b/>
          <w:bCs/>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_Toc6441 </w:instrText>
      </w:r>
      <w:r>
        <w:rPr>
          <w:rFonts w:ascii="Times New Roman" w:hAnsi="Times New Roman" w:eastAsia="仿宋"/>
          <w:sz w:val="28"/>
          <w:szCs w:val="28"/>
        </w:rPr>
        <w:fldChar w:fldCharType="separate"/>
      </w:r>
      <w:r>
        <w:rPr>
          <w:rFonts w:hint="eastAsia" w:ascii="Times New Roman" w:hAnsi="Times New Roman"/>
          <w:sz w:val="28"/>
          <w:szCs w:val="28"/>
        </w:rPr>
        <w:t>一、主要任务</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_Toc6441 \h </w:instrText>
      </w:r>
      <w:r>
        <w:rPr>
          <w:rFonts w:ascii="Times New Roman" w:hAnsi="Times New Roman"/>
          <w:sz w:val="28"/>
          <w:szCs w:val="28"/>
        </w:rPr>
        <w:fldChar w:fldCharType="separate"/>
      </w:r>
      <w:r>
        <w:rPr>
          <w:rFonts w:ascii="Times New Roman" w:hAnsi="Times New Roman"/>
          <w:sz w:val="28"/>
          <w:szCs w:val="28"/>
        </w:rPr>
        <w:t>39</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_Toc21504 </w:instrText>
      </w:r>
      <w:r>
        <w:rPr>
          <w:rFonts w:ascii="Times New Roman" w:hAnsi="Times New Roman" w:eastAsia="仿宋"/>
          <w:sz w:val="28"/>
          <w:szCs w:val="28"/>
        </w:rPr>
        <w:fldChar w:fldCharType="separate"/>
      </w:r>
      <w:r>
        <w:rPr>
          <w:rFonts w:hint="eastAsia" w:ascii="Times New Roman" w:hAnsi="Times New Roman"/>
          <w:sz w:val="28"/>
          <w:szCs w:val="28"/>
        </w:rPr>
        <w:t>二、防控目标</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_Toc21504 \h </w:instrText>
      </w:r>
      <w:r>
        <w:rPr>
          <w:rFonts w:ascii="Times New Roman" w:hAnsi="Times New Roman"/>
          <w:sz w:val="28"/>
          <w:szCs w:val="28"/>
        </w:rPr>
        <w:fldChar w:fldCharType="separate"/>
      </w:r>
      <w:r>
        <w:rPr>
          <w:rFonts w:ascii="Times New Roman" w:hAnsi="Times New Roman"/>
          <w:sz w:val="28"/>
          <w:szCs w:val="28"/>
        </w:rPr>
        <w:t>39</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_Toc28054 </w:instrText>
      </w:r>
      <w:r>
        <w:rPr>
          <w:rFonts w:ascii="Times New Roman" w:hAnsi="Times New Roman" w:eastAsia="仿宋"/>
          <w:sz w:val="28"/>
          <w:szCs w:val="28"/>
        </w:rPr>
        <w:fldChar w:fldCharType="separate"/>
      </w:r>
      <w:r>
        <w:rPr>
          <w:rFonts w:hint="eastAsia" w:ascii="Times New Roman" w:hAnsi="Times New Roman"/>
          <w:sz w:val="28"/>
          <w:szCs w:val="28"/>
        </w:rPr>
        <w:t>三、技术路线</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_Toc28054 \h </w:instrText>
      </w:r>
      <w:r>
        <w:rPr>
          <w:rFonts w:ascii="Times New Roman" w:hAnsi="Times New Roman"/>
          <w:sz w:val="28"/>
          <w:szCs w:val="28"/>
        </w:rPr>
        <w:fldChar w:fldCharType="separate"/>
      </w:r>
      <w:r>
        <w:rPr>
          <w:rFonts w:ascii="Times New Roman" w:hAnsi="Times New Roman"/>
          <w:sz w:val="28"/>
          <w:szCs w:val="28"/>
        </w:rPr>
        <w:t>39</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0" w:firstLineChars="0"/>
        <w:textAlignment w:val="auto"/>
        <w:rPr>
          <w:rFonts w:ascii="Times New Roman" w:hAnsi="Times New Roman" w:eastAsia="仿宋" w:cs="Times New Roman"/>
          <w:b/>
          <w:bCs/>
          <w:sz w:val="28"/>
          <w:szCs w:val="28"/>
        </w:rPr>
      </w:pPr>
      <w:r>
        <w:rPr>
          <w:rFonts w:ascii="Times New Roman" w:hAnsi="Times New Roman" w:eastAsia="仿宋" w:cs="Times New Roman"/>
          <w:b/>
          <w:bCs/>
          <w:sz w:val="28"/>
          <w:szCs w:val="28"/>
        </w:rPr>
        <w:fldChar w:fldCharType="begin"/>
      </w:r>
      <w:r>
        <w:rPr>
          <w:rFonts w:ascii="Times New Roman" w:hAnsi="Times New Roman" w:eastAsia="仿宋" w:cs="Times New Roman"/>
          <w:b/>
          <w:bCs/>
          <w:sz w:val="28"/>
          <w:szCs w:val="28"/>
        </w:rPr>
        <w:instrText xml:space="preserve"> HYPERLINK \l _Toc2225 </w:instrText>
      </w:r>
      <w:r>
        <w:rPr>
          <w:rFonts w:ascii="Times New Roman" w:hAnsi="Times New Roman" w:eastAsia="仿宋" w:cs="Times New Roman"/>
          <w:b/>
          <w:bCs/>
          <w:sz w:val="28"/>
          <w:szCs w:val="28"/>
        </w:rPr>
        <w:fldChar w:fldCharType="separate"/>
      </w:r>
      <w:r>
        <w:rPr>
          <w:rFonts w:hint="eastAsia" w:ascii="Times New Roman" w:hAnsi="Times New Roman" w:eastAsia="仿宋" w:cs="Times New Roman"/>
          <w:b/>
          <w:bCs/>
          <w:sz w:val="28"/>
          <w:szCs w:val="28"/>
        </w:rPr>
        <w:t>第八章 保障措施</w:t>
      </w:r>
      <w:r>
        <w:rPr>
          <w:rFonts w:ascii="Times New Roman" w:hAnsi="Times New Roman" w:eastAsia="仿宋" w:cs="Times New Roman"/>
          <w:b/>
          <w:bCs/>
          <w:sz w:val="28"/>
          <w:szCs w:val="28"/>
        </w:rPr>
        <w:tab/>
      </w:r>
      <w:r>
        <w:rPr>
          <w:rFonts w:ascii="Times New Roman" w:hAnsi="Times New Roman" w:eastAsia="仿宋" w:cs="Times New Roman"/>
          <w:b/>
          <w:bCs/>
          <w:sz w:val="28"/>
          <w:szCs w:val="28"/>
        </w:rPr>
        <w:fldChar w:fldCharType="begin"/>
      </w:r>
      <w:r>
        <w:rPr>
          <w:rFonts w:ascii="Times New Roman" w:hAnsi="Times New Roman" w:eastAsia="仿宋" w:cs="Times New Roman"/>
          <w:b/>
          <w:bCs/>
          <w:sz w:val="28"/>
          <w:szCs w:val="28"/>
        </w:rPr>
        <w:instrText xml:space="preserve"> PAGEREF _Toc2225 \h </w:instrText>
      </w:r>
      <w:r>
        <w:rPr>
          <w:rFonts w:ascii="Times New Roman" w:hAnsi="Times New Roman" w:eastAsia="仿宋" w:cs="Times New Roman"/>
          <w:b/>
          <w:bCs/>
          <w:sz w:val="28"/>
          <w:szCs w:val="28"/>
        </w:rPr>
        <w:fldChar w:fldCharType="separate"/>
      </w:r>
      <w:r>
        <w:rPr>
          <w:rFonts w:ascii="Times New Roman" w:hAnsi="Times New Roman" w:eastAsia="仿宋" w:cs="Times New Roman"/>
          <w:b/>
          <w:bCs/>
          <w:sz w:val="28"/>
          <w:szCs w:val="28"/>
        </w:rPr>
        <w:t>42</w:t>
      </w:r>
      <w:r>
        <w:rPr>
          <w:rFonts w:ascii="Times New Roman" w:hAnsi="Times New Roman" w:eastAsia="仿宋" w:cs="Times New Roman"/>
          <w:b/>
          <w:bCs/>
          <w:sz w:val="28"/>
          <w:szCs w:val="28"/>
        </w:rPr>
        <w:fldChar w:fldCharType="end"/>
      </w:r>
      <w:r>
        <w:rPr>
          <w:rFonts w:ascii="Times New Roman" w:hAnsi="Times New Roman" w:eastAsia="仿宋" w:cs="Times New Roman"/>
          <w:b/>
          <w:bCs/>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_Toc27961 </w:instrText>
      </w:r>
      <w:r>
        <w:rPr>
          <w:rFonts w:ascii="Times New Roman" w:hAnsi="Times New Roman" w:eastAsia="仿宋"/>
          <w:sz w:val="28"/>
          <w:szCs w:val="28"/>
        </w:rPr>
        <w:fldChar w:fldCharType="separate"/>
      </w:r>
      <w:r>
        <w:rPr>
          <w:rFonts w:hint="eastAsia" w:ascii="Times New Roman" w:hAnsi="Times New Roman"/>
          <w:sz w:val="28"/>
          <w:szCs w:val="28"/>
          <w:lang w:val="en-US" w:eastAsia="zh-CN"/>
        </w:rPr>
        <w:t>一、落实防治责任</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_Toc27961 \h </w:instrText>
      </w:r>
      <w:r>
        <w:rPr>
          <w:rFonts w:ascii="Times New Roman" w:hAnsi="Times New Roman"/>
          <w:sz w:val="28"/>
          <w:szCs w:val="28"/>
        </w:rPr>
        <w:fldChar w:fldCharType="separate"/>
      </w:r>
      <w:r>
        <w:rPr>
          <w:rFonts w:ascii="Times New Roman" w:hAnsi="Times New Roman"/>
          <w:sz w:val="28"/>
          <w:szCs w:val="28"/>
        </w:rPr>
        <w:t>42</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_Toc5571 </w:instrText>
      </w:r>
      <w:r>
        <w:rPr>
          <w:rFonts w:ascii="Times New Roman" w:hAnsi="Times New Roman" w:eastAsia="仿宋"/>
          <w:sz w:val="28"/>
          <w:szCs w:val="28"/>
        </w:rPr>
        <w:fldChar w:fldCharType="separate"/>
      </w:r>
      <w:r>
        <w:rPr>
          <w:rFonts w:hint="eastAsia" w:ascii="Times New Roman" w:hAnsi="Times New Roman" w:cs="Times New Roman"/>
          <w:sz w:val="28"/>
          <w:szCs w:val="28"/>
          <w:lang w:val="en-US" w:eastAsia="zh-CN"/>
        </w:rPr>
        <w:t>二、增强行业管理</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_Toc5571 \h </w:instrText>
      </w:r>
      <w:r>
        <w:rPr>
          <w:rFonts w:ascii="Times New Roman" w:hAnsi="Times New Roman"/>
          <w:sz w:val="28"/>
          <w:szCs w:val="28"/>
        </w:rPr>
        <w:fldChar w:fldCharType="separate"/>
      </w:r>
      <w:r>
        <w:rPr>
          <w:rFonts w:ascii="Times New Roman" w:hAnsi="Times New Roman"/>
          <w:sz w:val="28"/>
          <w:szCs w:val="28"/>
        </w:rPr>
        <w:t>42</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_Toc29360 </w:instrText>
      </w:r>
      <w:r>
        <w:rPr>
          <w:rFonts w:ascii="Times New Roman" w:hAnsi="Times New Roman" w:eastAsia="仿宋"/>
          <w:sz w:val="28"/>
          <w:szCs w:val="28"/>
        </w:rPr>
        <w:fldChar w:fldCharType="separate"/>
      </w:r>
      <w:r>
        <w:rPr>
          <w:rFonts w:hint="eastAsia" w:ascii="Times New Roman" w:hAnsi="Times New Roman" w:cs="Times New Roman"/>
          <w:sz w:val="28"/>
          <w:szCs w:val="28"/>
          <w:lang w:val="en-US" w:eastAsia="zh-CN"/>
        </w:rPr>
        <w:t>三、加强检疫执法</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_Toc29360 \h </w:instrText>
      </w:r>
      <w:r>
        <w:rPr>
          <w:rFonts w:ascii="Times New Roman" w:hAnsi="Times New Roman"/>
          <w:sz w:val="28"/>
          <w:szCs w:val="28"/>
        </w:rPr>
        <w:fldChar w:fldCharType="separate"/>
      </w:r>
      <w:r>
        <w:rPr>
          <w:rFonts w:ascii="Times New Roman" w:hAnsi="Times New Roman"/>
          <w:sz w:val="28"/>
          <w:szCs w:val="28"/>
        </w:rPr>
        <w:t>42</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_Toc3447 </w:instrText>
      </w:r>
      <w:r>
        <w:rPr>
          <w:rFonts w:ascii="Times New Roman" w:hAnsi="Times New Roman" w:eastAsia="仿宋"/>
          <w:sz w:val="28"/>
          <w:szCs w:val="28"/>
        </w:rPr>
        <w:fldChar w:fldCharType="separate"/>
      </w:r>
      <w:r>
        <w:rPr>
          <w:rFonts w:hint="eastAsia" w:ascii="Times New Roman" w:hAnsi="Times New Roman" w:cs="Times New Roman"/>
          <w:sz w:val="28"/>
          <w:szCs w:val="28"/>
          <w:lang w:val="en-US" w:eastAsia="zh-CN"/>
        </w:rPr>
        <w:t>四、强化队伍建设</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_Toc3447 \h </w:instrText>
      </w:r>
      <w:r>
        <w:rPr>
          <w:rFonts w:ascii="Times New Roman" w:hAnsi="Times New Roman"/>
          <w:sz w:val="28"/>
          <w:szCs w:val="28"/>
        </w:rPr>
        <w:fldChar w:fldCharType="separate"/>
      </w:r>
      <w:r>
        <w:rPr>
          <w:rFonts w:ascii="Times New Roman" w:hAnsi="Times New Roman"/>
          <w:sz w:val="28"/>
          <w:szCs w:val="28"/>
        </w:rPr>
        <w:t>42</w:t>
      </w:r>
      <w:r>
        <w:rPr>
          <w:rFonts w:ascii="Times New Roman" w:hAnsi="Times New Roman"/>
          <w:sz w:val="28"/>
          <w:szCs w:val="28"/>
        </w:rPr>
        <w:fldChar w:fldCharType="end"/>
      </w:r>
      <w:r>
        <w:rPr>
          <w:rFonts w:ascii="Times New Roman" w:hAnsi="Times New Roman" w:eastAsia="仿宋"/>
          <w:sz w:val="28"/>
          <w:szCs w:val="28"/>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firstLine="560" w:firstLineChars="200"/>
        <w:textAlignment w:val="auto"/>
        <w:rPr>
          <w:rFonts w:ascii="Times New Roman" w:hAnsi="Times New Roman"/>
          <w:sz w:val="28"/>
          <w:szCs w:val="28"/>
        </w:rPr>
      </w:pPr>
      <w:r>
        <w:rPr>
          <w:rFonts w:ascii="Times New Roman" w:hAnsi="Times New Roman" w:eastAsia="仿宋"/>
          <w:sz w:val="28"/>
          <w:szCs w:val="28"/>
        </w:rPr>
        <w:fldChar w:fldCharType="begin"/>
      </w:r>
      <w:r>
        <w:rPr>
          <w:rFonts w:ascii="Times New Roman" w:hAnsi="Times New Roman" w:eastAsia="仿宋"/>
          <w:sz w:val="28"/>
          <w:szCs w:val="28"/>
        </w:rPr>
        <w:instrText xml:space="preserve"> HYPERLINK \l _Toc18667 </w:instrText>
      </w:r>
      <w:r>
        <w:rPr>
          <w:rFonts w:ascii="Times New Roman" w:hAnsi="Times New Roman" w:eastAsia="仿宋"/>
          <w:sz w:val="28"/>
          <w:szCs w:val="28"/>
        </w:rPr>
        <w:fldChar w:fldCharType="separate"/>
      </w:r>
      <w:r>
        <w:rPr>
          <w:rFonts w:hint="eastAsia" w:ascii="Times New Roman" w:hAnsi="Times New Roman" w:cs="Times New Roman"/>
          <w:sz w:val="28"/>
          <w:szCs w:val="28"/>
          <w:lang w:val="en-US" w:eastAsia="zh-CN"/>
        </w:rPr>
        <w:t>五、加大宣传力度</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_Toc18667 \h </w:instrText>
      </w:r>
      <w:r>
        <w:rPr>
          <w:rFonts w:ascii="Times New Roman" w:hAnsi="Times New Roman"/>
          <w:sz w:val="28"/>
          <w:szCs w:val="28"/>
        </w:rPr>
        <w:fldChar w:fldCharType="separate"/>
      </w:r>
      <w:r>
        <w:rPr>
          <w:rFonts w:ascii="Times New Roman" w:hAnsi="Times New Roman"/>
          <w:sz w:val="28"/>
          <w:szCs w:val="28"/>
        </w:rPr>
        <w:t>43</w:t>
      </w:r>
      <w:r>
        <w:rPr>
          <w:rFonts w:ascii="Times New Roman" w:hAnsi="Times New Roman"/>
          <w:sz w:val="28"/>
          <w:szCs w:val="28"/>
        </w:rPr>
        <w:fldChar w:fldCharType="end"/>
      </w:r>
      <w:r>
        <w:rPr>
          <w:rFonts w:ascii="Times New Roman" w:hAnsi="Times New Roman" w:eastAsia="仿宋"/>
          <w:sz w:val="28"/>
          <w:szCs w:val="28"/>
        </w:rPr>
        <w:fldChar w:fldCharType="end"/>
      </w:r>
    </w:p>
    <w:p>
      <w:pPr>
        <w:pageBreakBefore w:val="0"/>
        <w:kinsoku/>
        <w:overflowPunct/>
        <w:topLinePunct w:val="0"/>
        <w:autoSpaceDE/>
        <w:autoSpaceDN/>
        <w:bidi w:val="0"/>
        <w:spacing w:line="560" w:lineRule="exact"/>
        <w:ind w:firstLine="0" w:firstLineChars="0"/>
        <w:jc w:val="left"/>
        <w:rPr>
          <w:rFonts w:hint="eastAsia" w:ascii="方正仿宋简体" w:hAnsi="方正仿宋简体" w:eastAsia="方正仿宋简体" w:cs="Times New Roman"/>
          <w:b/>
          <w:bCs/>
          <w:kern w:val="2"/>
          <w:sz w:val="32"/>
          <w:szCs w:val="32"/>
          <w:lang w:val="en-US" w:eastAsia="zh-CN" w:bidi="ar-SA"/>
        </w:rPr>
      </w:pPr>
      <w:r>
        <w:rPr>
          <w:rFonts w:eastAsia="仿宋"/>
          <w:b/>
          <w:sz w:val="32"/>
          <w:szCs w:val="32"/>
        </w:rPr>
        <w:fldChar w:fldCharType="end"/>
      </w:r>
      <w:r>
        <w:rPr>
          <w:rFonts w:hint="eastAsia" w:ascii="方正仿宋简体" w:hAnsi="方正仿宋简体" w:eastAsia="方正仿宋简体" w:cs="Times New Roman"/>
          <w:b/>
          <w:bCs/>
          <w:kern w:val="2"/>
          <w:sz w:val="32"/>
          <w:szCs w:val="32"/>
          <w:lang w:val="en-US" w:eastAsia="zh-CN" w:bidi="ar-SA"/>
        </w:rPr>
        <w:t>附表：</w:t>
      </w:r>
    </w:p>
    <w:p>
      <w:pPr>
        <w:pageBreakBefore w:val="0"/>
        <w:kinsoku/>
        <w:overflowPunct/>
        <w:topLinePunct w:val="0"/>
        <w:autoSpaceDE/>
        <w:autoSpaceDN/>
        <w:bidi w:val="0"/>
        <w:spacing w:line="560" w:lineRule="exact"/>
        <w:ind w:firstLine="560"/>
        <w:rPr>
          <w:sz w:val="32"/>
          <w:szCs w:val="32"/>
        </w:rPr>
      </w:pPr>
      <w:bookmarkStart w:id="2" w:name="_Toc1988"/>
      <w:r>
        <w:rPr>
          <w:rFonts w:hint="eastAsia"/>
          <w:sz w:val="32"/>
          <w:szCs w:val="32"/>
          <w:lang w:val="en-US" w:eastAsia="zh-CN"/>
        </w:rPr>
        <w:t>1.</w:t>
      </w:r>
      <w:r>
        <w:rPr>
          <w:sz w:val="32"/>
          <w:szCs w:val="32"/>
        </w:rPr>
        <w:t>济宁市松材线虫病、美国白蛾疫区名单</w:t>
      </w:r>
    </w:p>
    <w:p>
      <w:pPr>
        <w:pageBreakBefore w:val="0"/>
        <w:kinsoku/>
        <w:overflowPunct/>
        <w:topLinePunct w:val="0"/>
        <w:autoSpaceDE/>
        <w:autoSpaceDN/>
        <w:bidi w:val="0"/>
        <w:spacing w:line="560" w:lineRule="exact"/>
        <w:ind w:firstLine="560"/>
        <w:rPr>
          <w:sz w:val="32"/>
          <w:szCs w:val="32"/>
        </w:rPr>
      </w:pPr>
      <w:r>
        <w:rPr>
          <w:rFonts w:hint="eastAsia"/>
          <w:sz w:val="32"/>
          <w:szCs w:val="32"/>
          <w:lang w:val="en-US" w:eastAsia="zh-CN"/>
        </w:rPr>
        <w:t>2.</w:t>
      </w:r>
      <w:r>
        <w:rPr>
          <w:sz w:val="32"/>
          <w:szCs w:val="32"/>
        </w:rPr>
        <w:t>松材线虫病分区分级表</w:t>
      </w:r>
    </w:p>
    <w:p>
      <w:pPr>
        <w:pageBreakBefore w:val="0"/>
        <w:kinsoku/>
        <w:overflowPunct/>
        <w:topLinePunct w:val="0"/>
        <w:autoSpaceDE/>
        <w:autoSpaceDN/>
        <w:bidi w:val="0"/>
        <w:spacing w:line="560" w:lineRule="exact"/>
        <w:ind w:firstLine="560"/>
        <w:rPr>
          <w:sz w:val="32"/>
          <w:szCs w:val="32"/>
        </w:rPr>
      </w:pPr>
      <w:r>
        <w:rPr>
          <w:rFonts w:hint="eastAsia"/>
          <w:sz w:val="32"/>
          <w:szCs w:val="32"/>
          <w:lang w:val="en-US" w:eastAsia="zh-CN"/>
        </w:rPr>
        <w:t>3.</w:t>
      </w:r>
      <w:r>
        <w:rPr>
          <w:sz w:val="32"/>
          <w:szCs w:val="32"/>
        </w:rPr>
        <w:t>济宁市林业有害生物防治</w:t>
      </w:r>
      <w:r>
        <w:rPr>
          <w:rFonts w:hint="eastAsia"/>
          <w:sz w:val="32"/>
          <w:szCs w:val="32"/>
        </w:rPr>
        <w:t>“</w:t>
      </w:r>
      <w:r>
        <w:rPr>
          <w:sz w:val="32"/>
          <w:szCs w:val="32"/>
        </w:rPr>
        <w:t>十四五</w:t>
      </w:r>
      <w:r>
        <w:rPr>
          <w:rFonts w:hint="eastAsia"/>
          <w:sz w:val="32"/>
          <w:szCs w:val="32"/>
        </w:rPr>
        <w:t>”</w:t>
      </w:r>
      <w:r>
        <w:rPr>
          <w:sz w:val="32"/>
          <w:szCs w:val="32"/>
        </w:rPr>
        <w:t>任务统计表</w:t>
      </w:r>
    </w:p>
    <w:bookmarkEnd w:id="2"/>
    <w:p>
      <w:pPr>
        <w:pageBreakBefore w:val="0"/>
        <w:kinsoku/>
        <w:overflowPunct/>
        <w:topLinePunct w:val="0"/>
        <w:autoSpaceDE/>
        <w:autoSpaceDN/>
        <w:bidi w:val="0"/>
        <w:spacing w:line="560" w:lineRule="exact"/>
        <w:ind w:firstLine="0" w:firstLineChars="0"/>
        <w:rPr>
          <w:rFonts w:hint="eastAsia"/>
          <w:b/>
          <w:bCs/>
          <w:sz w:val="32"/>
          <w:szCs w:val="32"/>
        </w:rPr>
      </w:pPr>
      <w:r>
        <w:rPr>
          <w:rFonts w:hint="eastAsia"/>
          <w:b/>
          <w:bCs/>
          <w:sz w:val="32"/>
          <w:szCs w:val="32"/>
        </w:rPr>
        <w:t>附图：</w:t>
      </w:r>
    </w:p>
    <w:p>
      <w:pPr>
        <w:pageBreakBefore w:val="0"/>
        <w:kinsoku/>
        <w:overflowPunct/>
        <w:topLinePunct w:val="0"/>
        <w:autoSpaceDE/>
        <w:autoSpaceDN/>
        <w:bidi w:val="0"/>
        <w:spacing w:line="560" w:lineRule="exact"/>
        <w:ind w:firstLine="560"/>
        <w:outlineLvl w:val="1"/>
        <w:rPr>
          <w:rFonts w:hint="eastAsia"/>
          <w:sz w:val="32"/>
          <w:szCs w:val="32"/>
        </w:rPr>
      </w:pPr>
      <w:bookmarkStart w:id="3" w:name="_Toc15107"/>
      <w:bookmarkStart w:id="4" w:name="_Toc1806"/>
      <w:bookmarkStart w:id="5" w:name="_Toc10378"/>
      <w:r>
        <w:rPr>
          <w:sz w:val="32"/>
          <w:szCs w:val="32"/>
        </w:rPr>
        <w:t>1.济宁市</w:t>
      </w:r>
      <w:r>
        <w:rPr>
          <w:rFonts w:hint="eastAsia"/>
          <w:sz w:val="32"/>
          <w:szCs w:val="32"/>
        </w:rPr>
        <w:t>森林资源分布图</w:t>
      </w:r>
      <w:bookmarkEnd w:id="3"/>
      <w:bookmarkEnd w:id="4"/>
      <w:bookmarkEnd w:id="5"/>
    </w:p>
    <w:p>
      <w:pPr>
        <w:pageBreakBefore w:val="0"/>
        <w:kinsoku/>
        <w:overflowPunct/>
        <w:topLinePunct w:val="0"/>
        <w:autoSpaceDE/>
        <w:autoSpaceDN/>
        <w:bidi w:val="0"/>
        <w:spacing w:line="560" w:lineRule="exact"/>
        <w:ind w:firstLine="560"/>
        <w:rPr>
          <w:sz w:val="32"/>
          <w:szCs w:val="32"/>
        </w:rPr>
      </w:pPr>
      <w:bookmarkStart w:id="6" w:name="_Toc12440"/>
      <w:r>
        <w:rPr>
          <w:rFonts w:hint="eastAsia"/>
          <w:sz w:val="32"/>
          <w:szCs w:val="32"/>
          <w:lang w:val="en-US" w:eastAsia="zh-CN"/>
        </w:rPr>
        <w:t>2</w:t>
      </w:r>
      <w:r>
        <w:rPr>
          <w:sz w:val="32"/>
          <w:szCs w:val="32"/>
        </w:rPr>
        <w:t>.济宁市松材线虫病分区防治图</w:t>
      </w:r>
      <w:bookmarkEnd w:id="6"/>
    </w:p>
    <w:p>
      <w:pPr>
        <w:pageBreakBefore w:val="0"/>
        <w:kinsoku/>
        <w:overflowPunct/>
        <w:topLinePunct w:val="0"/>
        <w:autoSpaceDE/>
        <w:autoSpaceDN/>
        <w:bidi w:val="0"/>
        <w:spacing w:line="560" w:lineRule="exact"/>
        <w:ind w:firstLine="560"/>
        <w:sectPr>
          <w:headerReference r:id="rId9" w:type="first"/>
          <w:footerReference r:id="rId11" w:type="first"/>
          <w:footerReference r:id="rId10" w:type="default"/>
          <w:pgSz w:w="11906" w:h="16838"/>
          <w:pgMar w:top="1440" w:right="1800" w:bottom="1440" w:left="1800" w:header="851" w:footer="992" w:gutter="0"/>
          <w:pgNumType w:fmt="decimal"/>
          <w:cols w:space="720" w:num="1"/>
          <w:titlePg/>
          <w:docGrid w:type="lines" w:linePitch="312" w:charSpace="0"/>
        </w:sectPr>
      </w:pPr>
      <w:r>
        <w:rPr>
          <w:rFonts w:hint="eastAsia"/>
          <w:sz w:val="32"/>
          <w:szCs w:val="32"/>
          <w:lang w:val="en-US" w:eastAsia="zh-CN"/>
        </w:rPr>
        <w:t>3</w:t>
      </w:r>
      <w:r>
        <w:rPr>
          <w:rFonts w:hint="eastAsia"/>
          <w:sz w:val="32"/>
          <w:szCs w:val="32"/>
        </w:rPr>
        <w:t>.济宁市美国白蛾绿色防治示范区分布图</w:t>
      </w:r>
    </w:p>
    <w:p>
      <w:pPr>
        <w:pStyle w:val="4"/>
        <w:pageBreakBefore w:val="0"/>
        <w:kinsoku/>
        <w:overflowPunct/>
        <w:topLinePunct w:val="0"/>
        <w:autoSpaceDE/>
        <w:autoSpaceDN/>
        <w:bidi w:val="0"/>
        <w:spacing w:line="560" w:lineRule="exact"/>
        <w:jc w:val="center"/>
        <w:outlineLvl w:val="0"/>
        <w:rPr>
          <w:rFonts w:hint="eastAsia"/>
        </w:rPr>
      </w:pPr>
      <w:bookmarkStart w:id="7" w:name="_Toc20855"/>
      <w:bookmarkStart w:id="8" w:name="_Toc26165"/>
      <w:r>
        <w:rPr>
          <w:rFonts w:hint="eastAsia"/>
        </w:rPr>
        <w:t>第一章 总论</w:t>
      </w:r>
      <w:bookmarkEnd w:id="7"/>
      <w:bookmarkEnd w:id="8"/>
    </w:p>
    <w:p>
      <w:pPr>
        <w:pStyle w:val="5"/>
        <w:pageBreakBefore w:val="0"/>
        <w:numPr>
          <w:ilvl w:val="0"/>
          <w:numId w:val="2"/>
        </w:numPr>
        <w:kinsoku/>
        <w:overflowPunct/>
        <w:topLinePunct w:val="0"/>
        <w:autoSpaceDE/>
        <w:autoSpaceDN/>
        <w:bidi w:val="0"/>
        <w:spacing w:line="560" w:lineRule="exact"/>
        <w:rPr>
          <w:rFonts w:hint="eastAsia"/>
        </w:rPr>
      </w:pPr>
      <w:bookmarkStart w:id="9" w:name="_Toc29017"/>
      <w:r>
        <w:rPr>
          <w:rFonts w:hint="eastAsia"/>
        </w:rPr>
        <w:t>规划背景</w:t>
      </w:r>
      <w:bookmarkEnd w:id="9"/>
    </w:p>
    <w:p>
      <w:pPr>
        <w:pageBreakBefore w:val="0"/>
        <w:kinsoku/>
        <w:overflowPunct/>
        <w:topLinePunct w:val="0"/>
        <w:autoSpaceDE/>
        <w:autoSpaceDN/>
        <w:bidi w:val="0"/>
        <w:spacing w:line="560" w:lineRule="exact"/>
        <w:ind w:firstLine="560"/>
        <w:rPr>
          <w:rFonts w:hint="eastAsia"/>
        </w:rPr>
      </w:pPr>
      <w:r>
        <w:t>建设生态文明，关系人民福祉，关乎民族未来，事关</w:t>
      </w:r>
      <w:r>
        <w:rPr>
          <w:rFonts w:hint="eastAsia"/>
        </w:rPr>
        <w:t>“</w:t>
      </w:r>
      <w:r>
        <w:t>两个一百年</w:t>
      </w:r>
      <w:r>
        <w:rPr>
          <w:rFonts w:hint="eastAsia"/>
        </w:rPr>
        <w:t>”</w:t>
      </w:r>
      <w:r>
        <w:t>奋斗目标和中华民族伟大复兴中国梦的实现。党的十九大报告指出，生态文明建设功在当代、利在千秋，建设生态文明是中华民族永续发展的千年大计。</w:t>
      </w:r>
      <w:r>
        <w:rPr>
          <w:rFonts w:hint="eastAsia"/>
        </w:rPr>
        <w:t>2021年2月14日，习近平总书记在中央全面深化改革委员会会议上指出：生物安全问题已经成为全世界全人类面临的重大生存和发展威胁之一，必须从保护人民健康、保障国家安全、维护国家长治久安的高度，把生物安全纳入国家安全体系。国务院先后印发了《国务院办公厅关于进一步加强松材线虫病预防和除治工作的通知》《国务院办公厅关于进一步加强林业有害生物防治工作的意见》等文件。山东省委、省政府领导同志也多次对有害生物防治工作作出批示，要求严厉打击违法调运、使用疫木行为，进一步加强美国白蛾、松材线虫病和日本松干蚧等林业有害生物防治工作，保障全省林业生态安全。</w:t>
      </w:r>
    </w:p>
    <w:p>
      <w:pPr>
        <w:pageBreakBefore w:val="0"/>
        <w:kinsoku/>
        <w:overflowPunct/>
        <w:topLinePunct w:val="0"/>
        <w:autoSpaceDE/>
        <w:autoSpaceDN/>
        <w:bidi w:val="0"/>
        <w:spacing w:line="560" w:lineRule="exact"/>
        <w:ind w:firstLine="560"/>
      </w:pPr>
      <w:r>
        <w:t>进入新时代以来，</w:t>
      </w:r>
      <w:r>
        <w:rPr>
          <w:rFonts w:hint="eastAsia"/>
        </w:rPr>
        <w:t>济宁市</w:t>
      </w:r>
      <w:r>
        <w:t>深入贯彻落实习近平生态文明思想，坚持</w:t>
      </w:r>
      <w:r>
        <w:rPr>
          <w:rFonts w:hint="eastAsia"/>
        </w:rPr>
        <w:t>“</w:t>
      </w:r>
      <w:r>
        <w:t>绿水青山就是金山银山</w:t>
      </w:r>
      <w:r>
        <w:rPr>
          <w:rFonts w:hint="eastAsia"/>
        </w:rPr>
        <w:t>”</w:t>
      </w:r>
      <w:r>
        <w:t>的发展理念，市政府、各</w:t>
      </w:r>
      <w:r>
        <w:rPr>
          <w:rFonts w:hint="eastAsia"/>
        </w:rPr>
        <w:t>县（市、区）</w:t>
      </w:r>
      <w:r>
        <w:t>政府相继调整完善林业和草原有害生物防控指挥部，建立了齐抓共管、分工联动、层层落实的工作机制。</w:t>
      </w:r>
      <w:r>
        <w:rPr>
          <w:rFonts w:hint="eastAsia"/>
        </w:rPr>
        <w:t>《济宁市国民经济和社会发展第十四个五年规划和2035年远景目标纲要》更是指出“十四五”期间，聚力突破生态强市，全域生态廊道初步构建，建成国家生态园林城市，夯实生物安全保障，构建森林生物安全风险防控和治理体系。</w:t>
      </w:r>
    </w:p>
    <w:p>
      <w:pPr>
        <w:pStyle w:val="5"/>
        <w:pageBreakBefore w:val="0"/>
        <w:numPr>
          <w:ilvl w:val="0"/>
          <w:numId w:val="2"/>
        </w:numPr>
        <w:kinsoku/>
        <w:overflowPunct/>
        <w:topLinePunct w:val="0"/>
        <w:autoSpaceDE/>
        <w:autoSpaceDN/>
        <w:bidi w:val="0"/>
        <w:spacing w:line="560" w:lineRule="exact"/>
        <w:outlineLvl w:val="1"/>
        <w:rPr>
          <w:rFonts w:hint="eastAsia"/>
        </w:rPr>
      </w:pPr>
      <w:bookmarkStart w:id="10" w:name="_Toc5136"/>
      <w:bookmarkStart w:id="11" w:name="_Toc26057"/>
      <w:bookmarkStart w:id="12" w:name="_Toc14029"/>
      <w:bookmarkStart w:id="13" w:name="_Toc25133"/>
      <w:bookmarkStart w:id="14" w:name="_Toc420"/>
      <w:bookmarkStart w:id="15" w:name="_Toc22292"/>
      <w:bookmarkStart w:id="16" w:name="_Toc13622"/>
      <w:bookmarkStart w:id="17" w:name="_Toc20674"/>
      <w:bookmarkStart w:id="18" w:name="_Toc28567"/>
      <w:bookmarkStart w:id="19" w:name="_Toc32509"/>
      <w:bookmarkStart w:id="20" w:name="_Toc14717"/>
      <w:bookmarkStart w:id="21" w:name="_Toc24163"/>
      <w:bookmarkStart w:id="22" w:name="_Toc10079"/>
      <w:r>
        <w:rPr>
          <w:rFonts w:hint="eastAsia"/>
        </w:rPr>
        <w:t>规划依据</w:t>
      </w:r>
      <w:bookmarkEnd w:id="10"/>
    </w:p>
    <w:p>
      <w:pPr>
        <w:pStyle w:val="6"/>
        <w:pageBreakBefore w:val="0"/>
        <w:kinsoku/>
        <w:overflowPunct/>
        <w:topLinePunct w:val="0"/>
        <w:autoSpaceDE/>
        <w:autoSpaceDN/>
        <w:bidi w:val="0"/>
        <w:spacing w:line="560" w:lineRule="exact"/>
      </w:pPr>
      <w:r>
        <w:rPr>
          <w:rFonts w:hint="eastAsia"/>
        </w:rPr>
        <w:t>（一）</w:t>
      </w:r>
      <w:r>
        <w:t>法律法规</w:t>
      </w:r>
    </w:p>
    <w:p>
      <w:pPr>
        <w:numPr>
          <w:ilvl w:val="0"/>
          <w:numId w:val="0"/>
        </w:numPr>
        <w:bidi w:val="0"/>
        <w:ind w:leftChars="200"/>
      </w:pPr>
      <w:r>
        <w:rPr>
          <w:rFonts w:hint="eastAsia"/>
          <w:lang w:eastAsia="zh-CN"/>
        </w:rPr>
        <w:t>（</w:t>
      </w:r>
      <w:r>
        <w:rPr>
          <w:rFonts w:hint="eastAsia"/>
          <w:lang w:val="en-US" w:eastAsia="zh-CN"/>
        </w:rPr>
        <w:t>1</w:t>
      </w:r>
      <w:r>
        <w:rPr>
          <w:rFonts w:hint="eastAsia"/>
          <w:lang w:eastAsia="zh-CN"/>
        </w:rPr>
        <w:t>）</w:t>
      </w:r>
      <w:r>
        <w:t>《中华人民共和国森林法》（2019年修订）；</w:t>
      </w:r>
    </w:p>
    <w:p>
      <w:pPr>
        <w:numPr>
          <w:ilvl w:val="0"/>
          <w:numId w:val="0"/>
        </w:numPr>
        <w:bidi w:val="0"/>
        <w:ind w:leftChars="200"/>
      </w:pPr>
      <w:r>
        <w:rPr>
          <w:rFonts w:hint="eastAsia"/>
          <w:lang w:eastAsia="zh-CN"/>
        </w:rPr>
        <w:t>（</w:t>
      </w:r>
      <w:r>
        <w:rPr>
          <w:rFonts w:hint="eastAsia"/>
          <w:lang w:val="en-US" w:eastAsia="zh-CN"/>
        </w:rPr>
        <w:t>2</w:t>
      </w:r>
      <w:r>
        <w:rPr>
          <w:rFonts w:hint="eastAsia"/>
          <w:lang w:eastAsia="zh-CN"/>
        </w:rPr>
        <w:t>）</w:t>
      </w:r>
      <w:r>
        <w:t>《中华人民共和国生物安全法》（2020年）；</w:t>
      </w:r>
    </w:p>
    <w:p>
      <w:pPr>
        <w:numPr>
          <w:ilvl w:val="0"/>
          <w:numId w:val="0"/>
        </w:numPr>
        <w:bidi w:val="0"/>
        <w:ind w:leftChars="200"/>
      </w:pPr>
      <w:r>
        <w:rPr>
          <w:rFonts w:hint="eastAsia"/>
          <w:lang w:eastAsia="zh-CN"/>
        </w:rPr>
        <w:t>（</w:t>
      </w:r>
      <w:r>
        <w:rPr>
          <w:rFonts w:hint="eastAsia"/>
          <w:lang w:val="en-US" w:eastAsia="zh-CN"/>
        </w:rPr>
        <w:t>3</w:t>
      </w:r>
      <w:r>
        <w:rPr>
          <w:rFonts w:hint="eastAsia"/>
          <w:lang w:eastAsia="zh-CN"/>
        </w:rPr>
        <w:t>）</w:t>
      </w:r>
      <w:r>
        <w:t>《森林病虫害防治条例》（1989年）；</w:t>
      </w:r>
    </w:p>
    <w:p>
      <w:pPr>
        <w:numPr>
          <w:ilvl w:val="0"/>
          <w:numId w:val="0"/>
        </w:numPr>
        <w:bidi w:val="0"/>
        <w:ind w:leftChars="200"/>
      </w:pPr>
      <w:r>
        <w:rPr>
          <w:rFonts w:hint="eastAsia"/>
          <w:lang w:eastAsia="zh-CN"/>
        </w:rPr>
        <w:t>（</w:t>
      </w:r>
      <w:r>
        <w:rPr>
          <w:rFonts w:hint="eastAsia"/>
          <w:lang w:val="en-US" w:eastAsia="zh-CN"/>
        </w:rPr>
        <w:t>4</w:t>
      </w:r>
      <w:r>
        <w:rPr>
          <w:rFonts w:hint="eastAsia"/>
          <w:lang w:eastAsia="zh-CN"/>
        </w:rPr>
        <w:t>）</w:t>
      </w:r>
      <w:r>
        <w:t>《植物检疫条例》（2017年修订）。</w:t>
      </w:r>
    </w:p>
    <w:p>
      <w:pPr>
        <w:pStyle w:val="6"/>
        <w:pageBreakBefore w:val="0"/>
        <w:kinsoku/>
        <w:overflowPunct/>
        <w:topLinePunct w:val="0"/>
        <w:autoSpaceDE/>
        <w:autoSpaceDN/>
        <w:bidi w:val="0"/>
        <w:spacing w:line="560" w:lineRule="exact"/>
      </w:pPr>
      <w:r>
        <w:rPr>
          <w:rFonts w:hint="eastAsia"/>
        </w:rPr>
        <w:t>（二）政策规章</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pPr>
      <w:r>
        <w:rPr>
          <w:rFonts w:hint="eastAsia"/>
          <w:lang w:eastAsia="zh-CN"/>
        </w:rPr>
        <w:t>（</w:t>
      </w:r>
      <w:r>
        <w:rPr>
          <w:rFonts w:hint="eastAsia"/>
          <w:lang w:val="en-US" w:eastAsia="zh-CN"/>
        </w:rPr>
        <w:t>1</w:t>
      </w:r>
      <w:r>
        <w:rPr>
          <w:rFonts w:hint="eastAsia"/>
          <w:lang w:eastAsia="zh-CN"/>
        </w:rPr>
        <w:t>）</w:t>
      </w:r>
      <w:r>
        <w:t>《国务院办公厅</w:t>
      </w:r>
      <w:r>
        <w:rPr>
          <w:rFonts w:hint="eastAsia"/>
          <w:lang w:val="en-US" w:eastAsia="zh-CN"/>
        </w:rPr>
        <w:t xml:space="preserve"> </w:t>
      </w:r>
      <w:r>
        <w:t>关于进一步加强林业有害生物防治工作的意见》（国办发〔2014〕26号）；</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pPr>
      <w:r>
        <w:rPr>
          <w:rFonts w:hint="eastAsia"/>
          <w:lang w:eastAsia="zh-CN"/>
        </w:rPr>
        <w:t>（</w:t>
      </w:r>
      <w:r>
        <w:rPr>
          <w:rFonts w:hint="eastAsia"/>
          <w:lang w:val="en-US" w:eastAsia="zh-CN"/>
        </w:rPr>
        <w:t>2</w:t>
      </w:r>
      <w:r>
        <w:rPr>
          <w:rFonts w:hint="eastAsia"/>
          <w:lang w:eastAsia="zh-CN"/>
        </w:rPr>
        <w:t>）</w:t>
      </w:r>
      <w:r>
        <w:t>《国家林业和草原局</w:t>
      </w:r>
      <w:r>
        <w:rPr>
          <w:rFonts w:hint="eastAsia"/>
          <w:lang w:val="en-US" w:eastAsia="zh-CN"/>
        </w:rPr>
        <w:t xml:space="preserve"> </w:t>
      </w:r>
      <w:r>
        <w:t>关于科学防控松材线虫病的指导意见》（生防函〔2020〕76号）；</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pPr>
      <w:r>
        <w:rPr>
          <w:rFonts w:hint="eastAsia"/>
          <w:lang w:eastAsia="zh-CN"/>
        </w:rPr>
        <w:t>（</w:t>
      </w:r>
      <w:r>
        <w:rPr>
          <w:rFonts w:hint="eastAsia"/>
          <w:lang w:val="en-US" w:eastAsia="zh-CN"/>
        </w:rPr>
        <w:t>3</w:t>
      </w:r>
      <w:r>
        <w:rPr>
          <w:rFonts w:hint="eastAsia"/>
          <w:lang w:eastAsia="zh-CN"/>
        </w:rPr>
        <w:t>）</w:t>
      </w:r>
      <w:r>
        <w:t>《农业农村部 自然资源部 生态环境部 海关总署 国家林草局关于印发进一部加强外来物种入侵防控工作方案的通知》（农科教发〔2021〕1号）；</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rPr>
      </w:pPr>
      <w:r>
        <w:rPr>
          <w:rFonts w:hint="eastAsia"/>
          <w:lang w:eastAsia="zh-CN"/>
        </w:rPr>
        <w:t>（</w:t>
      </w:r>
      <w:r>
        <w:rPr>
          <w:rFonts w:hint="eastAsia"/>
          <w:lang w:val="en-US" w:eastAsia="zh-CN"/>
        </w:rPr>
        <w:t>4</w:t>
      </w:r>
      <w:r>
        <w:rPr>
          <w:rFonts w:hint="eastAsia"/>
          <w:lang w:eastAsia="zh-CN"/>
        </w:rPr>
        <w:t>）</w:t>
      </w:r>
      <w:r>
        <w:t>《全国松材线虫病疫情防控五年攻坚行动计划</w:t>
      </w:r>
      <w:r>
        <w:rPr>
          <w:rFonts w:hint="eastAsia"/>
        </w:rPr>
        <w:t>（</w:t>
      </w:r>
      <w:r>
        <w:t>2021-2025</w:t>
      </w:r>
      <w:r>
        <w:rPr>
          <w:rFonts w:hint="eastAsia"/>
        </w:rPr>
        <w:t>）</w:t>
      </w:r>
      <w:r>
        <w:t>》（林生发〔2021〕56号）</w:t>
      </w:r>
      <w:r>
        <w:rPr>
          <w:rFonts w:hint="eastAsia"/>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lang w:eastAsia="zh-CN"/>
        </w:rPr>
      </w:pPr>
      <w:r>
        <w:rPr>
          <w:rFonts w:hint="eastAsia"/>
          <w:lang w:eastAsia="zh-CN"/>
        </w:rPr>
        <w:t>（</w:t>
      </w:r>
      <w:r>
        <w:rPr>
          <w:rFonts w:hint="eastAsia"/>
          <w:lang w:val="en-US" w:eastAsia="zh-CN"/>
        </w:rPr>
        <w:t>5</w:t>
      </w:r>
      <w:r>
        <w:rPr>
          <w:rFonts w:hint="eastAsia"/>
          <w:lang w:eastAsia="zh-CN"/>
        </w:rPr>
        <w:t>）《山东省人民政府办公厅</w:t>
      </w:r>
      <w:r>
        <w:rPr>
          <w:rFonts w:hint="eastAsia"/>
          <w:lang w:val="en-US" w:eastAsia="zh-CN"/>
        </w:rPr>
        <w:t xml:space="preserve"> </w:t>
      </w:r>
      <w:r>
        <w:rPr>
          <w:rFonts w:hint="eastAsia"/>
          <w:lang w:eastAsia="zh-CN"/>
        </w:rPr>
        <w:t>关于全民建立林长制的实施意见》（鲁政办字〔2019〕131号）；</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lang w:eastAsia="zh-CN"/>
        </w:rPr>
      </w:pPr>
      <w:r>
        <w:rPr>
          <w:rFonts w:hint="eastAsia"/>
          <w:lang w:eastAsia="zh-CN"/>
        </w:rPr>
        <w:t>（</w:t>
      </w:r>
      <w:r>
        <w:rPr>
          <w:rFonts w:hint="eastAsia"/>
          <w:lang w:val="en-US" w:eastAsia="zh-CN"/>
        </w:rPr>
        <w:t>6</w:t>
      </w:r>
      <w:r>
        <w:rPr>
          <w:rFonts w:hint="eastAsia"/>
          <w:lang w:eastAsia="zh-CN"/>
        </w:rPr>
        <w:t>）</w:t>
      </w:r>
      <w:r>
        <w:rPr>
          <w:rFonts w:hint="eastAsia"/>
        </w:rPr>
        <w:t>《山东省松材线虫病疫情拔除攻坚战行动方案和2020-2022年度松材线虫病疫情拔除攻坚战行动目标清单》</w:t>
      </w:r>
      <w:r>
        <w:rPr>
          <w:rFonts w:hint="eastAsia"/>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lang w:val="en-US" w:eastAsia="zh-CN"/>
        </w:rPr>
      </w:pPr>
      <w:r>
        <w:rPr>
          <w:rFonts w:hint="eastAsia"/>
          <w:lang w:val="en-US" w:eastAsia="zh-CN"/>
        </w:rPr>
        <w:t>（7）《中共济宁市自然资源和规划局党组 关于2021年美国白蛾发生原因及趋势对策专家会商意见的报告》（济自资规党呈〔2021〕19号）；</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lang w:val="en-US" w:eastAsia="zh-CN"/>
        </w:rPr>
      </w:pPr>
      <w:r>
        <w:rPr>
          <w:rFonts w:hint="eastAsia"/>
          <w:lang w:val="en-US" w:eastAsia="zh-CN"/>
        </w:rPr>
        <w:t>（8）《济宁市林业和草原有害生物防控指挥部 关于印发济宁市2022年美国白蛾等重大林业有害生物防控工作方案的通知》（济林防字〔2022〕2号）；</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lang w:val="en-US" w:eastAsia="zh-CN"/>
        </w:rPr>
      </w:pPr>
      <w:r>
        <w:rPr>
          <w:rFonts w:hint="eastAsia"/>
          <w:lang w:val="en-US" w:eastAsia="zh-CN"/>
        </w:rPr>
        <w:t>（9）《济宁市林业和草原有害生物防控指挥部 关于印发济宁市松材线虫病疫情防控五年攻坚行动方案（2021-2025年）的通知》（济林防字〔2022〕3号）；</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lang w:val="en-US" w:eastAsia="zh-CN"/>
        </w:rPr>
      </w:pPr>
      <w:r>
        <w:rPr>
          <w:rFonts w:hint="eastAsia"/>
          <w:lang w:val="en-US" w:eastAsia="zh-CN"/>
        </w:rPr>
        <w:t>（10）《济宁市林业和草原有害生物防控指挥部 关于开展2022年全市美国白蛾防控工作督查的通知》（济林防字〔2022〕6号）。</w:t>
      </w:r>
    </w:p>
    <w:p>
      <w:pPr>
        <w:pStyle w:val="6"/>
        <w:pageBreakBefore w:val="0"/>
        <w:widowControl w:val="0"/>
        <w:kinsoku/>
        <w:wordWrap/>
        <w:overflowPunct/>
        <w:topLinePunct w:val="0"/>
        <w:autoSpaceDE/>
        <w:autoSpaceDN/>
        <w:bidi w:val="0"/>
        <w:adjustRightInd/>
        <w:snapToGrid/>
        <w:spacing w:line="560" w:lineRule="exact"/>
        <w:textAlignment w:val="auto"/>
      </w:pPr>
      <w:r>
        <w:rPr>
          <w:rFonts w:hint="eastAsia"/>
        </w:rPr>
        <w:t>（三）</w:t>
      </w:r>
      <w:r>
        <w:t>标准规程</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rPr>
      </w:pPr>
      <w:r>
        <w:rPr>
          <w:rFonts w:hint="eastAsia"/>
          <w:lang w:eastAsia="zh-CN"/>
        </w:rPr>
        <w:t>（</w:t>
      </w:r>
      <w:r>
        <w:rPr>
          <w:rFonts w:hint="eastAsia"/>
          <w:lang w:val="en-US" w:eastAsia="zh-CN"/>
        </w:rPr>
        <w:t>1</w:t>
      </w:r>
      <w:r>
        <w:rPr>
          <w:rFonts w:hint="eastAsia"/>
          <w:lang w:eastAsia="zh-CN"/>
        </w:rPr>
        <w:t>）</w:t>
      </w:r>
      <w:r>
        <w:rPr>
          <w:rFonts w:hint="eastAsia"/>
        </w:rPr>
        <w:t>《松材线虫病发生区松木包装材料处理和管理》（GB/T20476-2006）；</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rPr>
      </w:pPr>
      <w:r>
        <w:rPr>
          <w:rFonts w:hint="eastAsia"/>
          <w:lang w:eastAsia="zh-CN"/>
        </w:rPr>
        <w:t>（</w:t>
      </w:r>
      <w:r>
        <w:rPr>
          <w:rFonts w:hint="eastAsia"/>
          <w:lang w:val="en-US" w:eastAsia="zh-CN"/>
        </w:rPr>
        <w:t>2</w:t>
      </w:r>
      <w:r>
        <w:rPr>
          <w:rFonts w:hint="eastAsia"/>
          <w:lang w:eastAsia="zh-CN"/>
        </w:rPr>
        <w:t>）</w:t>
      </w:r>
      <w:r>
        <w:rPr>
          <w:rFonts w:hint="eastAsia"/>
        </w:rPr>
        <w:t>《松材线虫病疫木处理技术规范》（GB/T23477-2009）；</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lang w:eastAsia="zh-CN"/>
        </w:rPr>
      </w:pPr>
      <w:r>
        <w:rPr>
          <w:rFonts w:hint="eastAsia"/>
          <w:lang w:eastAsia="zh-CN"/>
        </w:rPr>
        <w:t>（</w:t>
      </w:r>
      <w:r>
        <w:rPr>
          <w:rFonts w:hint="eastAsia"/>
          <w:lang w:val="en-US" w:eastAsia="zh-CN"/>
        </w:rPr>
        <w:t>3</w:t>
      </w:r>
      <w:r>
        <w:rPr>
          <w:rFonts w:hint="eastAsia"/>
          <w:lang w:eastAsia="zh-CN"/>
        </w:rPr>
        <w:t>）</w:t>
      </w:r>
      <w:r>
        <w:rPr>
          <w:rFonts w:hint="eastAsia"/>
        </w:rPr>
        <w:t>《飞机施药防治美国白蛾技术规程》（鲁质监标发</w:t>
      </w:r>
      <w:r>
        <w:t>〔20</w:t>
      </w:r>
      <w:r>
        <w:rPr>
          <w:rFonts w:hint="eastAsia"/>
        </w:rPr>
        <w:t>12</w:t>
      </w:r>
      <w:r>
        <w:t>〕</w:t>
      </w:r>
      <w:r>
        <w:rPr>
          <w:rFonts w:hint="eastAsia"/>
        </w:rPr>
        <w:t>45号）</w:t>
      </w:r>
      <w:r>
        <w:rPr>
          <w:rFonts w:hint="eastAsia"/>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lang w:val="en-US" w:eastAsia="zh-CN"/>
        </w:rPr>
      </w:pPr>
      <w:r>
        <w:rPr>
          <w:rFonts w:hint="eastAsia"/>
          <w:lang w:val="en-US" w:eastAsia="zh-CN"/>
        </w:rPr>
        <w:t>（4）《美国白蛾防治技术规程》</w:t>
      </w:r>
      <w:r>
        <w:rPr>
          <w:rFonts w:hint="eastAsia"/>
        </w:rPr>
        <w:t>（LY/T</w:t>
      </w:r>
      <w:r>
        <w:rPr>
          <w:rFonts w:hint="eastAsia"/>
          <w:lang w:val="en-US" w:eastAsia="zh-CN"/>
        </w:rPr>
        <w:t>2111</w:t>
      </w:r>
      <w:r>
        <w:rPr>
          <w:rFonts w:hint="eastAsia"/>
        </w:rPr>
        <w:t>-2</w:t>
      </w:r>
      <w:r>
        <w:rPr>
          <w:rFonts w:hint="eastAsia"/>
          <w:lang w:val="en-US" w:eastAsia="zh-CN"/>
        </w:rPr>
        <w:t>013</w:t>
      </w:r>
      <w:r>
        <w:rPr>
          <w:rFonts w:hint="eastAsia"/>
        </w:rPr>
        <w:t>）</w:t>
      </w:r>
      <w:r>
        <w:rPr>
          <w:rFonts w:hint="eastAsia"/>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pPr>
      <w:r>
        <w:rPr>
          <w:rFonts w:hint="eastAsia"/>
          <w:lang w:eastAsia="zh-CN"/>
        </w:rPr>
        <w:t>（</w:t>
      </w:r>
      <w:r>
        <w:rPr>
          <w:rFonts w:hint="eastAsia"/>
          <w:lang w:val="en-US" w:eastAsia="zh-CN"/>
        </w:rPr>
        <w:t>5</w:t>
      </w:r>
      <w:r>
        <w:rPr>
          <w:rFonts w:hint="eastAsia"/>
          <w:lang w:eastAsia="zh-CN"/>
        </w:rPr>
        <w:t>）</w:t>
      </w:r>
      <w:r>
        <w:t>《林业有害生物危险性等级分类》（LY/T2106-2013）；</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40" w:firstLineChars="200"/>
        <w:textAlignment w:val="auto"/>
      </w:pPr>
      <w:r>
        <w:rPr>
          <w:rFonts w:hint="eastAsia"/>
          <w:lang w:eastAsia="zh-CN"/>
        </w:rPr>
        <w:t>（</w:t>
      </w:r>
      <w:r>
        <w:rPr>
          <w:rFonts w:hint="eastAsia"/>
          <w:lang w:val="en-US" w:eastAsia="zh-CN"/>
        </w:rPr>
        <w:t>6</w:t>
      </w:r>
      <w:r>
        <w:rPr>
          <w:rFonts w:hint="eastAsia"/>
          <w:lang w:eastAsia="zh-CN"/>
        </w:rPr>
        <w:t>）</w:t>
      </w:r>
      <w:r>
        <w:t>《林业有害生物防治工程项目建设标准》（林计发〔2014〕36号）；</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40" w:firstLineChars="200"/>
        <w:textAlignment w:val="auto"/>
        <w:rPr>
          <w:rFonts w:hint="eastAsia"/>
        </w:rPr>
      </w:pPr>
      <w:r>
        <w:rPr>
          <w:rFonts w:hint="eastAsia"/>
          <w:lang w:eastAsia="zh-CN"/>
        </w:rPr>
        <w:t>（</w:t>
      </w:r>
      <w:r>
        <w:rPr>
          <w:rFonts w:hint="eastAsia"/>
          <w:lang w:val="en-US" w:eastAsia="zh-CN"/>
        </w:rPr>
        <w:t>7</w:t>
      </w:r>
      <w:r>
        <w:rPr>
          <w:rFonts w:hint="eastAsia"/>
          <w:lang w:eastAsia="zh-CN"/>
        </w:rPr>
        <w:t>）</w:t>
      </w:r>
      <w:r>
        <w:rPr>
          <w:rFonts w:hint="eastAsia"/>
        </w:rPr>
        <w:t>《林业有害生物监测预报管理规范》（LY/T2517-2015）；</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40" w:firstLineChars="200"/>
        <w:textAlignment w:val="auto"/>
        <w:rPr>
          <w:rFonts w:hint="eastAsia"/>
          <w:lang w:val="en-US" w:eastAsia="zh-CN"/>
        </w:rPr>
      </w:pPr>
      <w:r>
        <w:rPr>
          <w:rFonts w:hint="eastAsia"/>
          <w:lang w:val="en-US" w:eastAsia="zh-CN"/>
        </w:rPr>
        <w:t>（8）《林业植物产地检疫技术规程》</w:t>
      </w:r>
      <w:r>
        <w:rPr>
          <w:rFonts w:hint="eastAsia"/>
        </w:rPr>
        <w:t>（LY/T</w:t>
      </w:r>
      <w:r>
        <w:rPr>
          <w:rFonts w:hint="eastAsia"/>
          <w:lang w:val="en-US" w:eastAsia="zh-CN"/>
        </w:rPr>
        <w:t>1829-</w:t>
      </w:r>
      <w:r>
        <w:rPr>
          <w:rFonts w:hint="eastAsia"/>
        </w:rPr>
        <w:t>20</w:t>
      </w:r>
      <w:r>
        <w:rPr>
          <w:rFonts w:hint="eastAsia"/>
          <w:lang w:val="en-US" w:eastAsia="zh-CN"/>
        </w:rPr>
        <w:t>20</w:t>
      </w:r>
      <w:r>
        <w:rPr>
          <w:rFonts w:hint="eastAsia"/>
        </w:rPr>
        <w:t>）</w:t>
      </w:r>
      <w:r>
        <w:rPr>
          <w:rFonts w:hint="eastAsia"/>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40" w:firstLineChars="200"/>
        <w:textAlignment w:val="auto"/>
        <w:rPr>
          <w:rFonts w:hint="eastAsia"/>
        </w:rPr>
      </w:pPr>
      <w:r>
        <w:rPr>
          <w:rFonts w:hint="eastAsia"/>
          <w:lang w:eastAsia="zh-CN"/>
        </w:rPr>
        <w:t>（</w:t>
      </w:r>
      <w:r>
        <w:rPr>
          <w:rFonts w:hint="eastAsia"/>
          <w:lang w:val="en-US" w:eastAsia="zh-CN"/>
        </w:rPr>
        <w:t>9</w:t>
      </w:r>
      <w:r>
        <w:rPr>
          <w:rFonts w:hint="eastAsia"/>
          <w:lang w:eastAsia="zh-CN"/>
        </w:rPr>
        <w:t>）</w:t>
      </w:r>
      <w:r>
        <w:t>《松材线虫病防治技术方案</w:t>
      </w:r>
      <w:r>
        <w:rPr>
          <w:rFonts w:hint="eastAsia"/>
        </w:rPr>
        <w:t>（2021年版）</w:t>
      </w:r>
      <w:r>
        <w:t>》（林生发〔20</w:t>
      </w:r>
      <w:r>
        <w:rPr>
          <w:rFonts w:hint="eastAsia"/>
        </w:rPr>
        <w:t>21</w:t>
      </w:r>
      <w:r>
        <w:t>〕</w:t>
      </w:r>
      <w:r>
        <w:rPr>
          <w:rFonts w:hint="eastAsia"/>
        </w:rPr>
        <w:t>93</w:t>
      </w:r>
      <w:r>
        <w:t>号）</w:t>
      </w:r>
      <w:r>
        <w:rPr>
          <w:rFonts w:hint="eastAsia"/>
        </w:rPr>
        <w:t>。</w:t>
      </w:r>
    </w:p>
    <w:p>
      <w:pPr>
        <w:pStyle w:val="6"/>
        <w:pageBreakBefore w:val="0"/>
        <w:widowControl w:val="0"/>
        <w:kinsoku/>
        <w:wordWrap/>
        <w:overflowPunct/>
        <w:topLinePunct w:val="0"/>
        <w:autoSpaceDE/>
        <w:autoSpaceDN/>
        <w:bidi w:val="0"/>
        <w:adjustRightInd/>
        <w:snapToGrid/>
        <w:spacing w:line="540" w:lineRule="exact"/>
        <w:textAlignment w:val="auto"/>
        <w:rPr>
          <w:rFonts w:hint="default"/>
          <w:lang w:val="en-US"/>
        </w:rPr>
      </w:pPr>
      <w:r>
        <w:rPr>
          <w:rFonts w:hint="eastAsia"/>
        </w:rPr>
        <w:t>（四）</w:t>
      </w:r>
      <w:r>
        <w:rPr>
          <w:rFonts w:hint="eastAsia"/>
          <w:lang w:val="en-US" w:eastAsia="zh-CN"/>
        </w:rPr>
        <w:t>相关规划与材料</w:t>
      </w:r>
    </w:p>
    <w:p>
      <w:pPr>
        <w:pageBreakBefore w:val="0"/>
        <w:widowControl w:val="0"/>
        <w:numPr>
          <w:ilvl w:val="0"/>
          <w:numId w:val="0"/>
        </w:numPr>
        <w:kinsoku/>
        <w:wordWrap/>
        <w:overflowPunct/>
        <w:topLinePunct w:val="0"/>
        <w:autoSpaceDE/>
        <w:autoSpaceDN/>
        <w:bidi w:val="0"/>
        <w:adjustRightInd/>
        <w:snapToGrid/>
        <w:spacing w:line="540" w:lineRule="exact"/>
        <w:ind w:leftChars="200"/>
        <w:textAlignment w:val="auto"/>
      </w:pPr>
      <w:r>
        <w:rPr>
          <w:rFonts w:hint="eastAsia"/>
          <w:lang w:eastAsia="zh-CN"/>
        </w:rPr>
        <w:t>（</w:t>
      </w:r>
      <w:r>
        <w:rPr>
          <w:rFonts w:hint="eastAsia"/>
          <w:lang w:val="en-US" w:eastAsia="zh-CN"/>
        </w:rPr>
        <w:t>1</w:t>
      </w:r>
      <w:r>
        <w:rPr>
          <w:rFonts w:hint="eastAsia"/>
          <w:lang w:eastAsia="zh-CN"/>
        </w:rPr>
        <w:t>）</w:t>
      </w:r>
      <w:r>
        <w:t>《</w:t>
      </w:r>
      <w:r>
        <w:rPr>
          <w:rFonts w:hint="eastAsia"/>
        </w:rPr>
        <w:t>“</w:t>
      </w:r>
      <w:r>
        <w:t>十四五</w:t>
      </w:r>
      <w:r>
        <w:rPr>
          <w:rFonts w:hint="eastAsia"/>
        </w:rPr>
        <w:t>”</w:t>
      </w:r>
      <w:r>
        <w:t>林业草原保护发展</w:t>
      </w:r>
      <w:r>
        <w:rPr>
          <w:rFonts w:hint="eastAsia"/>
        </w:rPr>
        <w:t>纲要</w:t>
      </w:r>
      <w:r>
        <w:t>》；</w:t>
      </w:r>
    </w:p>
    <w:p>
      <w:pPr>
        <w:pageBreakBefore w:val="0"/>
        <w:widowControl w:val="0"/>
        <w:numPr>
          <w:ilvl w:val="0"/>
          <w:numId w:val="0"/>
        </w:numPr>
        <w:kinsoku/>
        <w:wordWrap/>
        <w:overflowPunct/>
        <w:topLinePunct w:val="0"/>
        <w:autoSpaceDE/>
        <w:autoSpaceDN/>
        <w:bidi w:val="0"/>
        <w:adjustRightInd/>
        <w:snapToGrid/>
        <w:spacing w:line="540" w:lineRule="exact"/>
        <w:ind w:leftChars="200"/>
        <w:textAlignment w:val="auto"/>
        <w:rPr>
          <w:rFonts w:hint="eastAsia"/>
        </w:rPr>
      </w:pPr>
      <w:r>
        <w:rPr>
          <w:rFonts w:hint="eastAsia"/>
          <w:lang w:eastAsia="zh-CN"/>
        </w:rPr>
        <w:t>（</w:t>
      </w:r>
      <w:r>
        <w:rPr>
          <w:rFonts w:hint="eastAsia"/>
          <w:lang w:val="en-US" w:eastAsia="zh-CN"/>
        </w:rPr>
        <w:t>2</w:t>
      </w:r>
      <w:r>
        <w:rPr>
          <w:rFonts w:hint="eastAsia"/>
          <w:lang w:eastAsia="zh-CN"/>
        </w:rPr>
        <w:t>）</w:t>
      </w:r>
      <w:r>
        <w:t>《山东省林业有害生物防治</w:t>
      </w:r>
      <w:r>
        <w:rPr>
          <w:rFonts w:hint="eastAsia"/>
        </w:rPr>
        <w:t>“</w:t>
      </w:r>
      <w:r>
        <w:t>十四五</w:t>
      </w:r>
      <w:r>
        <w:rPr>
          <w:rFonts w:hint="eastAsia"/>
        </w:rPr>
        <w:t>”</w:t>
      </w:r>
      <w:r>
        <w:t>规划》</w:t>
      </w:r>
      <w:r>
        <w:rPr>
          <w:rFonts w:hint="eastAsia"/>
        </w:rPr>
        <w:t>；</w:t>
      </w:r>
    </w:p>
    <w:p>
      <w:pPr>
        <w:pageBreakBefore w:val="0"/>
        <w:widowControl w:val="0"/>
        <w:numPr>
          <w:ilvl w:val="0"/>
          <w:numId w:val="0"/>
        </w:numPr>
        <w:kinsoku/>
        <w:wordWrap/>
        <w:overflowPunct/>
        <w:topLinePunct w:val="0"/>
        <w:autoSpaceDE/>
        <w:autoSpaceDN/>
        <w:bidi w:val="0"/>
        <w:adjustRightInd/>
        <w:snapToGrid/>
        <w:spacing w:line="540" w:lineRule="exact"/>
        <w:ind w:leftChars="200"/>
        <w:textAlignment w:val="auto"/>
        <w:rPr>
          <w:rFonts w:hint="default" w:eastAsia="仿宋"/>
          <w:lang w:val="en-US" w:eastAsia="zh-CN"/>
        </w:rPr>
      </w:pPr>
      <w:r>
        <w:rPr>
          <w:rFonts w:hint="eastAsia"/>
          <w:lang w:val="en-US" w:eastAsia="zh-CN"/>
        </w:rPr>
        <w:t>（3）各县（市、区）的相关资料。</w:t>
      </w:r>
    </w:p>
    <w:p>
      <w:pPr>
        <w:pStyle w:val="5"/>
        <w:pageBreakBefore w:val="0"/>
        <w:widowControl w:val="0"/>
        <w:kinsoku/>
        <w:wordWrap/>
        <w:overflowPunct/>
        <w:topLinePunct w:val="0"/>
        <w:autoSpaceDE/>
        <w:autoSpaceDN/>
        <w:bidi w:val="0"/>
        <w:adjustRightInd/>
        <w:snapToGrid/>
        <w:spacing w:line="540" w:lineRule="exact"/>
        <w:textAlignment w:val="auto"/>
        <w:outlineLvl w:val="1"/>
        <w:rPr>
          <w:rFonts w:hint="eastAsia"/>
        </w:rPr>
      </w:pPr>
      <w:r>
        <w:rPr>
          <w:rFonts w:hint="eastAsia"/>
        </w:rPr>
        <w:t>三、规划范围</w:t>
      </w:r>
      <w:bookmarkEnd w:id="11"/>
      <w:bookmarkEnd w:id="12"/>
      <w:bookmarkEnd w:id="13"/>
      <w:bookmarkEnd w:id="14"/>
      <w:bookmarkEnd w:id="15"/>
      <w:bookmarkEnd w:id="16"/>
      <w:bookmarkEnd w:id="17"/>
      <w:bookmarkEnd w:id="18"/>
      <w:bookmarkEnd w:id="19"/>
      <w:bookmarkEnd w:id="20"/>
      <w:bookmarkEnd w:id="21"/>
      <w:bookmarkEnd w:id="22"/>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济宁市域全部范围，包括任城区、兖州区、曲阜市、泗水县、邹城市、微山县、鱼台县、金乡县、嘉祥县、汶上县、梁山县等11个县（市、区）及济宁国家级高新区、太白湖新区、济宁经济技术开发区等3个功能区。</w:t>
      </w:r>
    </w:p>
    <w:p>
      <w:pPr>
        <w:pStyle w:val="5"/>
        <w:keepNext w:val="0"/>
        <w:keepLines w:val="0"/>
        <w:pageBreakBefore w:val="0"/>
        <w:widowControl w:val="0"/>
        <w:kinsoku/>
        <w:wordWrap/>
        <w:overflowPunct/>
        <w:topLinePunct w:val="0"/>
        <w:autoSpaceDE/>
        <w:autoSpaceDN/>
        <w:bidi w:val="0"/>
        <w:adjustRightInd/>
        <w:snapToGrid/>
        <w:spacing w:line="540" w:lineRule="exact"/>
        <w:textAlignment w:val="auto"/>
        <w:outlineLvl w:val="1"/>
        <w:rPr>
          <w:rFonts w:hint="eastAsia"/>
        </w:rPr>
      </w:pPr>
      <w:bookmarkStart w:id="23" w:name="_Toc16437"/>
      <w:r>
        <w:rPr>
          <w:rFonts w:hint="eastAsia"/>
        </w:rPr>
        <w:t>四、规划期限</w:t>
      </w:r>
      <w:bookmarkEnd w:id="23"/>
    </w:p>
    <w:p>
      <w:pPr>
        <w:keepNext w:val="0"/>
        <w:keepLines w:val="0"/>
        <w:pageBreakBefore w:val="0"/>
        <w:widowControl w:val="0"/>
        <w:kinsoku/>
        <w:wordWrap/>
        <w:overflowPunct/>
        <w:topLinePunct w:val="0"/>
        <w:autoSpaceDE/>
        <w:autoSpaceDN/>
        <w:bidi w:val="0"/>
        <w:adjustRightInd/>
        <w:snapToGrid/>
        <w:spacing w:line="540" w:lineRule="exact"/>
        <w:ind w:firstLine="560"/>
        <w:textAlignment w:val="auto"/>
        <w:rPr>
          <w:rFonts w:hint="eastAsia"/>
        </w:rPr>
      </w:pPr>
      <w:r>
        <w:rPr>
          <w:rFonts w:hint="eastAsia"/>
        </w:rPr>
        <w:t>规划期限为2021~2025年。</w:t>
      </w:r>
    </w:p>
    <w:p>
      <w:pPr>
        <w:pStyle w:val="5"/>
        <w:keepNext w:val="0"/>
        <w:keepLines w:val="0"/>
        <w:pageBreakBefore w:val="0"/>
        <w:widowControl w:val="0"/>
        <w:kinsoku/>
        <w:wordWrap/>
        <w:overflowPunct/>
        <w:topLinePunct w:val="0"/>
        <w:autoSpaceDE/>
        <w:autoSpaceDN/>
        <w:bidi w:val="0"/>
        <w:adjustRightInd/>
        <w:snapToGrid/>
        <w:spacing w:line="540" w:lineRule="exact"/>
        <w:textAlignment w:val="auto"/>
        <w:outlineLvl w:val="1"/>
      </w:pPr>
      <w:bookmarkStart w:id="24" w:name="_Toc2713"/>
      <w:r>
        <w:rPr>
          <w:rFonts w:hint="eastAsia"/>
        </w:rPr>
        <w:t>五、规划目标</w:t>
      </w:r>
      <w:bookmarkEnd w:id="24"/>
    </w:p>
    <w:p>
      <w:pPr>
        <w:keepNext w:val="0"/>
        <w:keepLines w:val="0"/>
        <w:pageBreakBefore w:val="0"/>
        <w:widowControl w:val="0"/>
        <w:kinsoku/>
        <w:wordWrap/>
        <w:overflowPunct/>
        <w:topLinePunct w:val="0"/>
        <w:autoSpaceDE/>
        <w:autoSpaceDN/>
        <w:bidi w:val="0"/>
        <w:adjustRightInd/>
        <w:snapToGrid/>
        <w:spacing w:line="540" w:lineRule="exact"/>
        <w:ind w:firstLine="560"/>
        <w:textAlignment w:val="auto"/>
        <w:rPr>
          <w:rFonts w:hint="eastAsia"/>
          <w:lang w:eastAsia="zh-CN"/>
        </w:rPr>
      </w:pPr>
      <w:r>
        <w:rPr>
          <w:rFonts w:hint="eastAsia"/>
        </w:rPr>
        <w:t>到2025年，全市林业有害生物灾害治理体系和治理能力明显提高，拔除泗水县松材线虫病疫区，全市林业有害生物成灾率控制在8‰以下</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Style w:val="56"/>
          <w:rFonts w:hint="eastAsia"/>
          <w:lang w:val="en-US" w:eastAsia="zh-CN"/>
        </w:rPr>
      </w:pPr>
      <w:r>
        <w:rPr>
          <w:rFonts w:hint="eastAsia"/>
          <w:lang w:eastAsia="zh-CN"/>
        </w:rPr>
        <w:br w:type="page"/>
      </w:r>
      <w:bookmarkStart w:id="25" w:name="_Toc32701"/>
      <w:r>
        <w:rPr>
          <w:rStyle w:val="56"/>
          <w:rFonts w:hint="eastAsia"/>
          <w:lang w:val="en-US" w:eastAsia="zh-CN"/>
        </w:rPr>
        <w:t>第二章 基本情况</w:t>
      </w:r>
      <w:bookmarkEnd w:id="25"/>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rPr>
      </w:pPr>
      <w:bookmarkStart w:id="26" w:name="_Toc1312"/>
      <w:r>
        <w:rPr>
          <w:rFonts w:hint="eastAsia"/>
        </w:rPr>
        <w:t>一、项目区概况</w:t>
      </w:r>
      <w:bookmarkEnd w:id="26"/>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（一）地理位置</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rPr>
      </w:pPr>
      <w:r>
        <w:rPr>
          <w:rFonts w:hint="eastAsia"/>
          <w:lang w:val="en-US" w:eastAsia="zh-CN"/>
        </w:rPr>
        <w:t>济宁市</w:t>
      </w:r>
      <w:r>
        <w:rPr>
          <w:rFonts w:hint="eastAsia"/>
        </w:rPr>
        <w:t>位于</w:t>
      </w:r>
      <w:r>
        <w:rPr>
          <w:rFonts w:hint="eastAsia"/>
          <w:lang w:val="en-US" w:eastAsia="zh-CN"/>
        </w:rPr>
        <w:t>山东省</w:t>
      </w:r>
      <w:r>
        <w:rPr>
          <w:rFonts w:hint="eastAsia"/>
        </w:rPr>
        <w:t>西南</w:t>
      </w:r>
      <w:r>
        <w:rPr>
          <w:rFonts w:hint="eastAsia"/>
          <w:lang w:val="en-US" w:eastAsia="zh-CN"/>
        </w:rPr>
        <w:t>部</w:t>
      </w:r>
      <w:r>
        <w:rPr>
          <w:rFonts w:hint="eastAsia"/>
        </w:rPr>
        <w:t>，地处黄淮海平原与鲁中南山地</w:t>
      </w:r>
      <w:r>
        <w:rPr>
          <w:rFonts w:hint="eastAsia"/>
        </w:rPr>
        <w:t>交接地带。东邻山清水秀的临沂地</w:t>
      </w:r>
      <w:r>
        <w:rPr>
          <w:rFonts w:hint="eastAsia"/>
        </w:rPr>
        <w:t>区，西与牡丹之乡菏泽接壤，南面是枣庄市和江苏省徐州市，北面与泰安市交界，西北角隔黄河与聊城市相望。地理坐标介于东经</w:t>
      </w:r>
      <w:r>
        <w:t>115°52′~117°36′</w:t>
      </w:r>
      <w:r>
        <w:rPr>
          <w:rFonts w:hint="eastAsia"/>
        </w:rPr>
        <w:t>、北纬</w:t>
      </w:r>
      <w:r>
        <w:t>34°26′~35°57′</w:t>
      </w:r>
      <w:r>
        <w:rPr>
          <w:rFonts w:hint="eastAsia"/>
        </w:rPr>
        <w:t>，南北长167公里，东西宽158公里。</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（二）地形地貌</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pPr>
      <w:r>
        <w:t>济宁市属鲁南泰沂低山丘陵与鲁西南黄淮海平原交接地带，地质构造上属华北地区鲁西南断块凹陷区。地形以平原洼地为主，地势东高西低，地貌较为复杂。东部山峦绵亘，丘陵起伏。东北部为鲁南尼山穹窿区，山峦绵亘，丘陵起伏，海拔500</w:t>
      </w:r>
      <w:r>
        <w:rPr>
          <w:rFonts w:hint="eastAsia"/>
        </w:rPr>
        <w:t>米</w:t>
      </w:r>
      <w:r>
        <w:t>以上的有尼山、尧山、峄山、凤凰山等，各山之间分布有许多小型盆地和谷地；南部为由微山湖、南阳湖、昭阳湖、独山湖（以下简称“南四湖”）组成的滨湖洼地区，地势四周高，中间低，如同一碟形盆地；南四湖西部为黄泛平原，地势自西向东倾斜，地面海拔在34</w:t>
      </w:r>
      <w:r>
        <w:rPr>
          <w:rFonts w:hint="eastAsia"/>
        </w:rPr>
        <w:t>米～</w:t>
      </w:r>
      <w:r>
        <w:t>39</w:t>
      </w:r>
      <w:r>
        <w:rPr>
          <w:rFonts w:hint="eastAsia"/>
        </w:rPr>
        <w:t>米</w:t>
      </w:r>
      <w:r>
        <w:t>之间，起伏较小；南四湖以东为泰沂山前冲积平原，自东向西倾斜，地面海拔35</w:t>
      </w:r>
      <w:r>
        <w:rPr>
          <w:rFonts w:hint="eastAsia"/>
        </w:rPr>
        <w:t>米～</w:t>
      </w:r>
      <w:r>
        <w:t>60</w:t>
      </w:r>
      <w:r>
        <w:rPr>
          <w:rFonts w:hint="eastAsia"/>
        </w:rPr>
        <w:t>米</w:t>
      </w:r>
      <w:r>
        <w:t>，地面起伏稍大。</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（三）气候水文</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rPr>
      </w:pPr>
      <w:r>
        <w:rPr>
          <w:rFonts w:hint="eastAsia"/>
        </w:rPr>
        <w:t>济宁市位于东亚季风气候区，属暖温带季风气候，四季分明。夏季多偏南风，受热带海洋气团或变性热带海洋气团影响，高温多雨；冬季多偏北风，受极地大陆气团影响，多晴寒天气；春秋两季为大气环流调整时期，春季易旱多风，回暖较快；秋季凉爽，但时有阴雨。</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rPr>
      </w:pPr>
      <w:r>
        <w:t>济宁市地跨黄、淮两大流域，有流域面积50</w:t>
      </w:r>
      <w:r>
        <w:rPr>
          <w:rFonts w:hint="eastAsia"/>
        </w:rPr>
        <w:t>平方千米</w:t>
      </w:r>
      <w:r>
        <w:t>以上的河流117条，其中流域面积在1000</w:t>
      </w:r>
      <w:r>
        <w:rPr>
          <w:rFonts w:hint="eastAsia"/>
        </w:rPr>
        <w:t>平方千米</w:t>
      </w:r>
      <w:r>
        <w:t>以上的大中型骨干河道12条；有各类水库314座，总库容6.15亿</w:t>
      </w:r>
      <w:r>
        <w:rPr>
          <w:rFonts w:hint="eastAsia"/>
        </w:rPr>
        <w:t>立方米</w:t>
      </w:r>
      <w:r>
        <w:t>，其中大型水库2座，中型水库4座</w:t>
      </w:r>
      <w:r>
        <w:rPr>
          <w:rFonts w:hint="eastAsia"/>
        </w:rPr>
        <w:t>。</w:t>
      </w: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outlineLvl w:val="1"/>
      </w:pPr>
      <w:bookmarkStart w:id="27" w:name="_Toc5222"/>
      <w:r>
        <w:rPr>
          <w:rFonts w:hint="eastAsia"/>
        </w:rPr>
        <w:t>二、森林</w:t>
      </w:r>
      <w:r>
        <w:t>资源现状</w:t>
      </w:r>
      <w:bookmarkEnd w:id="27"/>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（一）济宁市林业用地</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pPr>
      <w:r>
        <w:rPr>
          <w:rFonts w:hint="eastAsia"/>
        </w:rPr>
        <w:t>据济宁市2020年森林资源管理一张图显示，全市林业用地面积194304.66公顷</w:t>
      </w:r>
      <w:r>
        <w:rPr>
          <w:rFonts w:hint="eastAsia"/>
          <w:lang w:eastAsia="zh-CN"/>
        </w:rPr>
        <w:t>，</w:t>
      </w:r>
      <w:r>
        <w:rPr>
          <w:rFonts w:hint="eastAsia"/>
        </w:rPr>
        <w:t>以有林地和苗圃地为主。其中有林地面积133996.32公顷，占林业用地68.9</w:t>
      </w:r>
      <w:r>
        <w:rPr>
          <w:rFonts w:hint="eastAsia"/>
          <w:lang w:val="en-US" w:eastAsia="zh-CN"/>
        </w:rPr>
        <w:t>6</w:t>
      </w:r>
      <w:r>
        <w:rPr>
          <w:rFonts w:hint="eastAsia"/>
        </w:rPr>
        <w:t>%；苗圃地面积32229.64公顷，占林业用地16.59%。详见表2.2-1。</w:t>
      </w:r>
    </w:p>
    <w:tbl>
      <w:tblPr>
        <w:tblStyle w:val="21"/>
        <w:tblW w:w="9057" w:type="dxa"/>
        <w:jc w:val="center"/>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8"/>
        <w:gridCol w:w="2634"/>
        <w:gridCol w:w="2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9057" w:type="dxa"/>
            <w:gridSpan w:val="3"/>
            <w:tcBorders>
              <w:top w:val="nil"/>
              <w:left w:val="nil"/>
              <w:bottom w:val="single" w:color="auto" w:sz="4" w:space="0"/>
              <w:right w:val="nil"/>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bCs/>
                <w:sz w:val="24"/>
              </w:rPr>
            </w:pPr>
            <w:r>
              <w:rPr>
                <w:rFonts w:hint="eastAsia" w:ascii="Times New Roman" w:hAnsi="Times New Roman" w:cs="Times New Roman"/>
                <w:b/>
                <w:sz w:val="28"/>
                <w:szCs w:val="28"/>
              </w:rPr>
              <w:t>表</w:t>
            </w:r>
            <w:r>
              <w:rPr>
                <w:rFonts w:hint="eastAsia" w:ascii="方正仿宋简体" w:hAnsi="方正仿宋简体" w:eastAsia="方正仿宋简体" w:cs="方正仿宋简体"/>
                <w:b/>
                <w:sz w:val="28"/>
                <w:szCs w:val="28"/>
              </w:rPr>
              <w:t>2.2-1</w:t>
            </w:r>
            <w:r>
              <w:rPr>
                <w:rFonts w:hint="eastAsia" w:ascii="Times New Roman" w:hAnsi="Times New Roman" w:cs="Times New Roman"/>
                <w:b/>
                <w:sz w:val="28"/>
                <w:szCs w:val="28"/>
              </w:rPr>
              <w:t>济宁市林业用地类型汇总表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406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bCs/>
                <w:sz w:val="24"/>
              </w:rPr>
            </w:pPr>
            <w:r>
              <w:rPr>
                <w:rFonts w:hint="eastAsia" w:ascii="Times New Roman" w:hAnsi="Times New Roman" w:eastAsia="黑体" w:cs="黑体"/>
                <w:b/>
                <w:bCs/>
                <w:sz w:val="24"/>
              </w:rPr>
              <w:t>林业用地类型</w:t>
            </w:r>
          </w:p>
        </w:tc>
        <w:tc>
          <w:tcPr>
            <w:tcW w:w="263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bCs/>
                <w:sz w:val="24"/>
              </w:rPr>
            </w:pPr>
            <w:r>
              <w:rPr>
                <w:rFonts w:hint="eastAsia" w:ascii="Times New Roman" w:hAnsi="Times New Roman" w:eastAsia="黑体" w:cs="黑体"/>
                <w:b/>
                <w:bCs/>
                <w:sz w:val="24"/>
              </w:rPr>
              <w:t>面积（hm</w:t>
            </w:r>
            <w:r>
              <w:rPr>
                <w:rFonts w:hint="eastAsia" w:ascii="Times New Roman" w:hAnsi="Times New Roman" w:eastAsia="黑体" w:cs="黑体"/>
                <w:b/>
                <w:bCs/>
                <w:sz w:val="24"/>
                <w:vertAlign w:val="superscript"/>
              </w:rPr>
              <w:t>2</w:t>
            </w:r>
            <w:r>
              <w:rPr>
                <w:rFonts w:hint="eastAsia" w:ascii="Times New Roman" w:hAnsi="Times New Roman" w:eastAsia="黑体" w:cs="黑体"/>
                <w:b/>
                <w:bCs/>
                <w:sz w:val="24"/>
              </w:rPr>
              <w:t>）</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bCs/>
                <w:sz w:val="24"/>
              </w:rPr>
            </w:pPr>
            <w:r>
              <w:rPr>
                <w:rFonts w:hint="eastAsia" w:ascii="Times New Roman" w:hAnsi="Times New Roman" w:eastAsia="黑体" w:cs="黑体"/>
                <w:b/>
                <w:bCs/>
                <w:sz w:val="24"/>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06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hint="eastAsia" w:ascii="Times New Roman" w:hAnsi="Times New Roman"/>
                <w:sz w:val="24"/>
              </w:rPr>
              <w:t>有林地</w:t>
            </w:r>
          </w:p>
        </w:tc>
        <w:tc>
          <w:tcPr>
            <w:tcW w:w="263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rPr>
              <w:t>13399</w:t>
            </w:r>
            <w:r>
              <w:rPr>
                <w:rFonts w:hint="eastAsia" w:ascii="方正仿宋简体" w:hAnsi="方正仿宋简体" w:eastAsia="方正仿宋简体" w:cs="方正仿宋简体"/>
                <w:sz w:val="24"/>
                <w:lang w:val="en-US" w:eastAsia="zh-CN"/>
              </w:rPr>
              <w:t>6.32</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i w:val="0"/>
                <w:iCs w:val="0"/>
                <w:color w:val="000000"/>
                <w:kern w:val="0"/>
                <w:sz w:val="22"/>
                <w:szCs w:val="22"/>
                <w:u w:val="none"/>
                <w:lang w:val="en-US" w:eastAsia="zh-CN" w:bidi="ar"/>
              </w:rPr>
              <w:t>68.96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06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苗圃地</w:t>
            </w:r>
          </w:p>
        </w:tc>
        <w:tc>
          <w:tcPr>
            <w:tcW w:w="263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32229.64</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i w:val="0"/>
                <w:iCs w:val="0"/>
                <w:color w:val="000000"/>
                <w:kern w:val="0"/>
                <w:sz w:val="22"/>
                <w:szCs w:val="22"/>
                <w:u w:val="none"/>
                <w:lang w:val="en-US" w:eastAsia="zh-CN" w:bidi="ar"/>
              </w:rPr>
              <w:t>16.59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06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未成林地</w:t>
            </w:r>
          </w:p>
        </w:tc>
        <w:tc>
          <w:tcPr>
            <w:tcW w:w="263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14475.12</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i w:val="0"/>
                <w:iCs w:val="0"/>
                <w:color w:val="000000"/>
                <w:kern w:val="0"/>
                <w:sz w:val="22"/>
                <w:szCs w:val="22"/>
                <w:u w:val="none"/>
                <w:lang w:val="en-US" w:eastAsia="zh-CN" w:bidi="ar"/>
              </w:rPr>
              <w:t>7.45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06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无立木林地</w:t>
            </w:r>
          </w:p>
        </w:tc>
        <w:tc>
          <w:tcPr>
            <w:tcW w:w="263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6718.42</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i w:val="0"/>
                <w:iCs w:val="0"/>
                <w:color w:val="000000"/>
                <w:kern w:val="0"/>
                <w:sz w:val="22"/>
                <w:szCs w:val="22"/>
                <w:u w:val="none"/>
                <w:lang w:val="en-US" w:eastAsia="zh-CN" w:bidi="ar"/>
              </w:rPr>
              <w:t>3.46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06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hint="eastAsia" w:ascii="Times New Roman" w:hAnsi="Times New Roman"/>
                <w:sz w:val="24"/>
              </w:rPr>
              <w:t>疏林地</w:t>
            </w:r>
          </w:p>
        </w:tc>
        <w:tc>
          <w:tcPr>
            <w:tcW w:w="263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3393.44</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i w:val="0"/>
                <w:iCs w:val="0"/>
                <w:color w:val="000000"/>
                <w:kern w:val="0"/>
                <w:sz w:val="22"/>
                <w:szCs w:val="22"/>
                <w:u w:val="none"/>
                <w:lang w:val="en-US" w:eastAsia="zh-CN" w:bidi="ar"/>
              </w:rPr>
              <w:t>1.75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06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hint="eastAsia" w:ascii="Times New Roman" w:hAnsi="Times New Roman"/>
                <w:sz w:val="24"/>
              </w:rPr>
              <w:t>灌木林地</w:t>
            </w:r>
          </w:p>
        </w:tc>
        <w:tc>
          <w:tcPr>
            <w:tcW w:w="263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2258.17</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i w:val="0"/>
                <w:iCs w:val="0"/>
                <w:color w:val="000000"/>
                <w:kern w:val="0"/>
                <w:sz w:val="22"/>
                <w:szCs w:val="22"/>
                <w:u w:val="none"/>
                <w:lang w:val="en-US" w:eastAsia="zh-CN" w:bidi="ar"/>
              </w:rPr>
              <w:t>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06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hint="eastAsia" w:ascii="Times New Roman" w:hAnsi="Times New Roman"/>
                <w:sz w:val="24"/>
              </w:rPr>
              <w:t>宜林地</w:t>
            </w:r>
          </w:p>
        </w:tc>
        <w:tc>
          <w:tcPr>
            <w:tcW w:w="263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1195.84</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i w:val="0"/>
                <w:iCs w:val="0"/>
                <w:color w:val="000000"/>
                <w:kern w:val="0"/>
                <w:sz w:val="22"/>
                <w:szCs w:val="22"/>
                <w:u w:val="none"/>
                <w:lang w:val="en-US" w:eastAsia="zh-CN" w:bidi="ar"/>
              </w:rPr>
              <w:t>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06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hint="eastAsia" w:ascii="Times New Roman" w:hAnsi="Times New Roman"/>
                <w:sz w:val="24"/>
              </w:rPr>
              <w:t>林业辅助生产用地</w:t>
            </w:r>
          </w:p>
        </w:tc>
        <w:tc>
          <w:tcPr>
            <w:tcW w:w="263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37.71</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i w:val="0"/>
                <w:iCs w:val="0"/>
                <w:color w:val="000000"/>
                <w:kern w:val="0"/>
                <w:sz w:val="22"/>
                <w:szCs w:val="22"/>
                <w:u w:val="none"/>
                <w:lang w:val="en-US" w:eastAsia="zh-CN" w:bidi="ar"/>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06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b/>
                <w:bCs/>
                <w:sz w:val="24"/>
              </w:rPr>
            </w:pPr>
            <w:r>
              <w:rPr>
                <w:rFonts w:hint="eastAsia" w:ascii="Times New Roman" w:hAnsi="Times New Roman"/>
                <w:b/>
                <w:bCs/>
                <w:sz w:val="24"/>
              </w:rPr>
              <w:t>总计</w:t>
            </w:r>
          </w:p>
        </w:tc>
        <w:tc>
          <w:tcPr>
            <w:tcW w:w="263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lang w:eastAsia="zh-CN"/>
              </w:rPr>
            </w:pPr>
            <w:r>
              <w:rPr>
                <w:rFonts w:hint="eastAsia" w:ascii="方正仿宋简体" w:hAnsi="方正仿宋简体" w:eastAsia="方正仿宋简体" w:cs="方正仿宋简体"/>
                <w:b/>
                <w:bCs/>
                <w:sz w:val="24"/>
              </w:rPr>
              <w:t>194304.6</w:t>
            </w:r>
            <w:r>
              <w:rPr>
                <w:rFonts w:hint="eastAsia" w:ascii="方正仿宋简体" w:hAnsi="方正仿宋简体" w:eastAsia="方正仿宋简体" w:cs="方正仿宋简体"/>
                <w:b/>
                <w:bCs/>
                <w:sz w:val="24"/>
                <w:lang w:val="en-US" w:eastAsia="zh-CN"/>
              </w:rPr>
              <w:t>6</w:t>
            </w:r>
          </w:p>
        </w:tc>
        <w:tc>
          <w:tcPr>
            <w:tcW w:w="23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i w:val="0"/>
                <w:iCs w:val="0"/>
                <w:color w:val="000000"/>
                <w:kern w:val="0"/>
                <w:sz w:val="22"/>
                <w:szCs w:val="22"/>
                <w:u w:val="none"/>
                <w:lang w:val="en-US" w:eastAsia="zh-CN" w:bidi="ar"/>
              </w:rPr>
              <w:t>100</w:t>
            </w:r>
          </w:p>
        </w:tc>
      </w:tr>
    </w:tbl>
    <w:p>
      <w:pPr>
        <w:pStyle w:val="6"/>
        <w:pageBreakBefore w:val="0"/>
        <w:kinsoku/>
        <w:overflowPunct/>
        <w:topLinePunct w:val="0"/>
        <w:autoSpaceDE/>
        <w:autoSpaceDN/>
        <w:bidi w:val="0"/>
        <w:spacing w:line="560" w:lineRule="exact"/>
        <w:rPr>
          <w:rFonts w:hint="eastAsia"/>
          <w:highlight w:val="none"/>
        </w:rPr>
      </w:pPr>
      <w:r>
        <w:rPr>
          <w:rFonts w:hint="eastAsia"/>
          <w:highlight w:val="none"/>
        </w:rPr>
        <w:t>（二）济宁市森林植被</w:t>
      </w:r>
    </w:p>
    <w:p>
      <w:pPr>
        <w:pageBreakBefore w:val="0"/>
        <w:kinsoku/>
        <w:overflowPunct/>
        <w:topLinePunct w:val="0"/>
        <w:autoSpaceDE/>
        <w:autoSpaceDN/>
        <w:bidi w:val="0"/>
        <w:spacing w:line="560" w:lineRule="exact"/>
        <w:ind w:firstLine="560"/>
        <w:rPr>
          <w:rFonts w:hint="eastAsia"/>
        </w:rPr>
      </w:pPr>
      <w:r>
        <w:rPr>
          <w:rFonts w:hint="eastAsia"/>
        </w:rPr>
        <w:t>济宁市乔木林由针叶林、阔叶林、针阔混交林等</w:t>
      </w:r>
      <w:r>
        <w:t>3</w:t>
      </w:r>
      <w:r>
        <w:rPr>
          <w:rFonts w:hint="eastAsia"/>
        </w:rPr>
        <w:t>种类型组成。全市乔木林面积133994.85公顷。其中阔叶林面积117808.9公顷，占森林植被面积87.92%；针叶林面积13600.45公顷，占森林植被面积10.15%，详见表2.2-2。</w:t>
      </w:r>
    </w:p>
    <w:tbl>
      <w:tblPr>
        <w:tblStyle w:val="21"/>
        <w:tblW w:w="9057" w:type="dxa"/>
        <w:jc w:val="center"/>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70"/>
        <w:gridCol w:w="3224"/>
        <w:gridCol w:w="2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9057" w:type="dxa"/>
            <w:gridSpan w:val="3"/>
            <w:tcBorders>
              <w:top w:val="nil"/>
              <w:left w:val="nil"/>
              <w:bottom w:val="single" w:color="auto" w:sz="4" w:space="0"/>
              <w:right w:val="nil"/>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bCs/>
                <w:sz w:val="24"/>
              </w:rPr>
            </w:pPr>
            <w:r>
              <w:rPr>
                <w:rFonts w:hint="eastAsia" w:ascii="Times New Roman" w:hAnsi="Times New Roman" w:cs="Times New Roman"/>
                <w:b/>
                <w:sz w:val="28"/>
                <w:szCs w:val="28"/>
              </w:rPr>
              <w:t>表</w:t>
            </w:r>
            <w:r>
              <w:rPr>
                <w:rFonts w:hint="eastAsia" w:ascii="方正仿宋简体" w:hAnsi="方正仿宋简体" w:eastAsia="方正仿宋简体" w:cs="方正仿宋简体"/>
                <w:b/>
                <w:sz w:val="28"/>
                <w:szCs w:val="28"/>
              </w:rPr>
              <w:t>2.2-2</w:t>
            </w:r>
            <w:r>
              <w:rPr>
                <w:rFonts w:hint="eastAsia" w:ascii="Times New Roman" w:hAnsi="Times New Roman" w:cs="Times New Roman"/>
                <w:b/>
                <w:sz w:val="28"/>
                <w:szCs w:val="28"/>
              </w:rPr>
              <w:t>济宁市乔木林类型汇总表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37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bCs/>
                <w:sz w:val="24"/>
              </w:rPr>
            </w:pPr>
            <w:r>
              <w:rPr>
                <w:rFonts w:hint="eastAsia" w:ascii="Times New Roman" w:hAnsi="Times New Roman" w:eastAsia="黑体" w:cs="黑体"/>
                <w:b/>
                <w:bCs/>
                <w:sz w:val="24"/>
              </w:rPr>
              <w:t>乔木林类型</w:t>
            </w:r>
          </w:p>
        </w:tc>
        <w:tc>
          <w:tcPr>
            <w:tcW w:w="322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bCs/>
                <w:sz w:val="24"/>
              </w:rPr>
            </w:pPr>
            <w:r>
              <w:rPr>
                <w:rFonts w:hint="eastAsia" w:ascii="Times New Roman" w:hAnsi="Times New Roman" w:eastAsia="黑体" w:cs="黑体"/>
                <w:b/>
                <w:bCs/>
                <w:sz w:val="24"/>
              </w:rPr>
              <w:t>面积（hm</w:t>
            </w:r>
            <w:r>
              <w:rPr>
                <w:rFonts w:hint="eastAsia" w:ascii="Times New Roman" w:hAnsi="Times New Roman" w:eastAsia="黑体" w:cs="黑体"/>
                <w:b/>
                <w:bCs/>
                <w:sz w:val="24"/>
                <w:vertAlign w:val="superscript"/>
              </w:rPr>
              <w:t>2</w:t>
            </w:r>
            <w:r>
              <w:rPr>
                <w:rFonts w:hint="eastAsia" w:ascii="Times New Roman" w:hAnsi="Times New Roman" w:eastAsia="黑体" w:cs="黑体"/>
                <w:b/>
                <w:bCs/>
                <w:sz w:val="24"/>
              </w:rPr>
              <w:t>）</w:t>
            </w:r>
          </w:p>
        </w:tc>
        <w:tc>
          <w:tcPr>
            <w:tcW w:w="206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bCs/>
                <w:sz w:val="24"/>
              </w:rPr>
            </w:pPr>
            <w:r>
              <w:rPr>
                <w:rFonts w:hint="eastAsia" w:ascii="Times New Roman" w:hAnsi="Times New Roman" w:eastAsia="黑体" w:cs="黑体"/>
                <w:b/>
                <w:bCs/>
                <w:sz w:val="24"/>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7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hint="eastAsia" w:ascii="Times New Roman" w:hAnsi="Times New Roman"/>
                <w:sz w:val="24"/>
              </w:rPr>
              <w:t>阔叶林</w:t>
            </w:r>
          </w:p>
        </w:tc>
        <w:tc>
          <w:tcPr>
            <w:tcW w:w="3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eastAsia" w:ascii="方正仿宋简体" w:hAnsi="方正仿宋简体" w:eastAsia="方正仿宋简体" w:cs="方正仿宋简体"/>
                <w:i w:val="0"/>
                <w:iCs w:val="0"/>
                <w:color w:val="000000"/>
                <w:kern w:val="2"/>
                <w:sz w:val="24"/>
                <w:szCs w:val="24"/>
                <w:u w:val="none"/>
                <w:lang w:val="en-US" w:eastAsia="zh-CN" w:bidi="ar-SA"/>
              </w:rPr>
            </w:pPr>
            <w:r>
              <w:rPr>
                <w:rFonts w:hint="eastAsia" w:ascii="方正仿宋简体" w:hAnsi="方正仿宋简体" w:eastAsia="方正仿宋简体" w:cs="方正仿宋简体"/>
                <w:sz w:val="24"/>
                <w:lang w:val="en-US" w:eastAsia="zh-CN"/>
              </w:rPr>
              <w:t>117808.9</w:t>
            </w:r>
          </w:p>
        </w:tc>
        <w:tc>
          <w:tcPr>
            <w:tcW w:w="20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val="en-US" w:eastAsia="zh-CN" w:bidi="ar"/>
              </w:rPr>
            </w:pPr>
            <w:r>
              <w:rPr>
                <w:rFonts w:hint="eastAsia" w:ascii="方正仿宋简体" w:hAnsi="方正仿宋简体" w:eastAsia="方正仿宋简体" w:cs="方正仿宋简体"/>
                <w:color w:val="000000"/>
                <w:kern w:val="0"/>
                <w:sz w:val="24"/>
                <w:lang w:val="en-US" w:eastAsia="zh-CN" w:bidi="ar"/>
              </w:rPr>
              <w:t>87.92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7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ascii="Times New Roman" w:hAnsi="Times New Roman"/>
                <w:sz w:val="24"/>
              </w:rPr>
              <w:t>针叶林</w:t>
            </w:r>
          </w:p>
        </w:tc>
        <w:tc>
          <w:tcPr>
            <w:tcW w:w="322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13600.45</w:t>
            </w:r>
          </w:p>
        </w:tc>
        <w:tc>
          <w:tcPr>
            <w:tcW w:w="20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color w:val="000000"/>
                <w:kern w:val="0"/>
                <w:sz w:val="24"/>
                <w:lang w:val="en-US" w:eastAsia="zh-CN" w:bidi="ar"/>
              </w:rPr>
              <w:t>10.15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7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hint="eastAsia" w:ascii="Times New Roman" w:hAnsi="Times New Roman"/>
                <w:sz w:val="24"/>
              </w:rPr>
              <w:t>针阔混交林</w:t>
            </w:r>
          </w:p>
        </w:tc>
        <w:tc>
          <w:tcPr>
            <w:tcW w:w="322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2585.50</w:t>
            </w:r>
          </w:p>
        </w:tc>
        <w:tc>
          <w:tcPr>
            <w:tcW w:w="20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color w:val="000000"/>
                <w:kern w:val="0"/>
                <w:sz w:val="24"/>
                <w:lang w:val="en-US" w:eastAsia="zh-CN" w:bidi="ar"/>
              </w:rPr>
              <w:t>1.93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7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b/>
                <w:bCs/>
                <w:sz w:val="24"/>
              </w:rPr>
            </w:pPr>
            <w:r>
              <w:rPr>
                <w:rFonts w:hint="eastAsia" w:ascii="Times New Roman" w:hAnsi="Times New Roman"/>
                <w:b/>
                <w:bCs/>
                <w:sz w:val="24"/>
              </w:rPr>
              <w:t>总计</w:t>
            </w:r>
          </w:p>
        </w:tc>
        <w:tc>
          <w:tcPr>
            <w:tcW w:w="322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133994.85</w:t>
            </w:r>
          </w:p>
        </w:tc>
        <w:tc>
          <w:tcPr>
            <w:tcW w:w="20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color w:val="000000"/>
                <w:kern w:val="0"/>
                <w:sz w:val="24"/>
                <w:lang w:bidi="ar"/>
              </w:rPr>
              <w:t>100</w:t>
            </w:r>
          </w:p>
        </w:tc>
      </w:tr>
    </w:tbl>
    <w:p>
      <w:pPr>
        <w:pageBreakBefore w:val="0"/>
        <w:kinsoku/>
        <w:overflowPunct/>
        <w:topLinePunct w:val="0"/>
        <w:autoSpaceDE/>
        <w:autoSpaceDN/>
        <w:bidi w:val="0"/>
        <w:spacing w:line="560" w:lineRule="exact"/>
        <w:ind w:firstLine="560"/>
        <w:rPr>
          <w:rFonts w:hint="eastAsia"/>
        </w:rPr>
      </w:pPr>
      <w:r>
        <w:rPr>
          <w:rFonts w:hint="eastAsia"/>
        </w:rPr>
        <w:t>济宁市森林植被主要有松属、杨属、侧柏、悬铃木属植物构成，主要集中分布在泗水县、邹城市</w:t>
      </w:r>
      <w:r>
        <w:rPr>
          <w:rFonts w:hint="eastAsia"/>
          <w:lang w:eastAsia="zh-CN"/>
        </w:rPr>
        <w:t>、</w:t>
      </w:r>
      <w:r>
        <w:rPr>
          <w:rFonts w:hint="eastAsia"/>
        </w:rPr>
        <w:t>曲阜市、兖州区、任城区</w:t>
      </w:r>
      <w:r>
        <w:rPr>
          <w:rFonts w:hint="eastAsia"/>
          <w:lang w:val="en-US" w:eastAsia="zh-CN"/>
        </w:rPr>
        <w:t>等县（市、区）</w:t>
      </w:r>
      <w:r>
        <w:rPr>
          <w:rFonts w:hint="eastAsia"/>
        </w:rPr>
        <w:t>，详见图2.2-1。</w:t>
      </w:r>
    </w:p>
    <w:p>
      <w:pPr>
        <w:pageBreakBefore w:val="0"/>
        <w:kinsoku/>
        <w:overflowPunct/>
        <w:topLinePunct w:val="0"/>
        <w:autoSpaceDE/>
        <w:autoSpaceDN/>
        <w:bidi w:val="0"/>
        <w:spacing w:line="560" w:lineRule="exact"/>
        <w:rPr>
          <w:rFonts w:hint="eastAsia"/>
        </w:rPr>
      </w:pPr>
      <w:r>
        <w:rPr>
          <w:sz w:val="28"/>
          <w:szCs w:val="22"/>
        </w:rPr>
        <w:drawing>
          <wp:anchor distT="0" distB="0" distL="114300" distR="114300" simplePos="0" relativeHeight="251660288" behindDoc="0" locked="0" layoutInCell="1" allowOverlap="1">
            <wp:simplePos x="0" y="0"/>
            <wp:positionH relativeFrom="column">
              <wp:posOffset>398145</wp:posOffset>
            </wp:positionH>
            <wp:positionV relativeFrom="paragraph">
              <wp:posOffset>3566795</wp:posOffset>
            </wp:positionV>
            <wp:extent cx="5092700" cy="567690"/>
            <wp:effectExtent l="0" t="0" r="12700" b="11430"/>
            <wp:wrapSquare wrapText="bothSides"/>
            <wp:docPr id="3" name="图片 5" descr="7b0a202020202263686172745265734964223a202234363235373637220a7d0a"/>
            <wp:cNvGraphicFramePr/>
            <a:graphic xmlns:a="http://schemas.openxmlformats.org/drawingml/2006/main">
              <a:graphicData uri="http://schemas.openxmlformats.org/drawingml/2006/picture">
                <pic:pic xmlns:pic="http://schemas.openxmlformats.org/drawingml/2006/picture">
                  <pic:nvPicPr>
                    <pic:cNvPr id="3" name="图片 5" descr="7b0a202020202263686172745265734964223a202234363235373637220a7d0a"/>
                    <pic:cNvPicPr/>
                  </pic:nvPicPr>
                  <pic:blipFill>
                    <a:blip r:embed="rId17"/>
                    <a:srcRect l="578" t="87912" r="775" b="604"/>
                    <a:stretch>
                      <a:fillRect/>
                    </a:stretch>
                  </pic:blipFill>
                  <pic:spPr>
                    <a:xfrm>
                      <a:off x="0" y="0"/>
                      <a:ext cx="5092700" cy="567690"/>
                    </a:xfrm>
                    <a:prstGeom prst="rect">
                      <a:avLst/>
                    </a:prstGeom>
                    <a:noFill/>
                    <a:ln>
                      <a:noFill/>
                    </a:ln>
                  </pic:spPr>
                </pic:pic>
              </a:graphicData>
            </a:graphic>
          </wp:anchor>
        </w:drawing>
      </w:r>
      <w:r>
        <w:rPr>
          <w:rFonts w:hint="eastAsia" w:eastAsia="仿宋"/>
          <w:lang w:eastAsia="zh-CN"/>
        </w:rPr>
        <w:drawing>
          <wp:anchor distT="0" distB="0" distL="114300" distR="114300" simplePos="0" relativeHeight="251658240" behindDoc="0" locked="0" layoutInCell="1" allowOverlap="1">
            <wp:simplePos x="0" y="0"/>
            <wp:positionH relativeFrom="page">
              <wp:posOffset>977900</wp:posOffset>
            </wp:positionH>
            <wp:positionV relativeFrom="page">
              <wp:posOffset>1774190</wp:posOffset>
            </wp:positionV>
            <wp:extent cx="5636895" cy="3176270"/>
            <wp:effectExtent l="0" t="0" r="1905" b="8890"/>
            <wp:wrapSquare wrapText="bothSides"/>
            <wp:docPr id="1" name="图片 5" descr="1660103326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1660103326241"/>
                    <pic:cNvPicPr>
                      <a:picLocks noChangeAspect="1"/>
                    </pic:cNvPicPr>
                  </pic:nvPicPr>
                  <pic:blipFill>
                    <a:blip r:embed="rId18"/>
                    <a:stretch>
                      <a:fillRect/>
                    </a:stretch>
                  </pic:blipFill>
                  <pic:spPr>
                    <a:xfrm>
                      <a:off x="0" y="0"/>
                      <a:ext cx="5636895" cy="3176270"/>
                    </a:xfrm>
                    <a:prstGeom prst="rect">
                      <a:avLst/>
                    </a:prstGeom>
                    <a:noFill/>
                    <a:ln>
                      <a:noFill/>
                    </a:ln>
                  </pic:spPr>
                </pic:pic>
              </a:graphicData>
            </a:graphic>
          </wp:anchor>
        </w:drawing>
      </w:r>
    </w:p>
    <w:p>
      <w:pPr>
        <w:pageBreakBefore w:val="0"/>
        <w:kinsoku/>
        <w:overflowPunct/>
        <w:topLinePunct w:val="0"/>
        <w:autoSpaceDE/>
        <w:autoSpaceDN/>
        <w:bidi w:val="0"/>
        <w:spacing w:line="560" w:lineRule="exact"/>
        <w:ind w:firstLine="0" w:firstLineChars="0"/>
        <w:jc w:val="center"/>
        <w:rPr>
          <w:rFonts w:hint="eastAsia" w:ascii="Times New Roman" w:hAnsi="Times New Roman" w:cs="Times New Roman"/>
          <w:b/>
          <w:sz w:val="28"/>
          <w:szCs w:val="28"/>
        </w:rPr>
      </w:pPr>
    </w:p>
    <w:p>
      <w:pPr>
        <w:pageBreakBefore w:val="0"/>
        <w:kinsoku/>
        <w:overflowPunct/>
        <w:topLinePunct w:val="0"/>
        <w:autoSpaceDE/>
        <w:autoSpaceDN/>
        <w:bidi w:val="0"/>
        <w:spacing w:line="560" w:lineRule="exact"/>
        <w:ind w:firstLine="0" w:firstLineChars="0"/>
        <w:jc w:val="center"/>
        <w:rPr>
          <w:rFonts w:hint="eastAsia" w:ascii="Times New Roman" w:hAnsi="Times New Roman" w:cs="Times New Roman"/>
          <w:b/>
          <w:sz w:val="28"/>
          <w:szCs w:val="28"/>
        </w:rPr>
      </w:pPr>
    </w:p>
    <w:p>
      <w:pPr>
        <w:pageBreakBefore w:val="0"/>
        <w:kinsoku/>
        <w:overflowPunct/>
        <w:topLinePunct w:val="0"/>
        <w:autoSpaceDE/>
        <w:autoSpaceDN/>
        <w:bidi w:val="0"/>
        <w:spacing w:line="560" w:lineRule="exact"/>
        <w:ind w:firstLine="0" w:firstLineChars="0"/>
        <w:jc w:val="center"/>
        <w:rPr>
          <w:rFonts w:hint="eastAsia" w:ascii="Times New Roman" w:hAnsi="Times New Roman" w:cs="Times New Roman"/>
          <w:b/>
          <w:sz w:val="28"/>
          <w:szCs w:val="28"/>
        </w:rPr>
      </w:pPr>
      <w:r>
        <w:rPr>
          <w:rFonts w:hint="eastAsia" w:ascii="Times New Roman" w:hAnsi="Times New Roman" w:cs="Times New Roman"/>
          <w:b/>
          <w:sz w:val="28"/>
          <w:szCs w:val="28"/>
        </w:rPr>
        <w:t>图</w:t>
      </w:r>
      <w:r>
        <w:rPr>
          <w:rFonts w:hint="eastAsia" w:ascii="方正仿宋简体" w:hAnsi="方正仿宋简体" w:eastAsia="方正仿宋简体" w:cs="方正仿宋简体"/>
          <w:b/>
          <w:sz w:val="28"/>
          <w:szCs w:val="28"/>
        </w:rPr>
        <w:t>2.2-1</w:t>
      </w:r>
      <w:r>
        <w:rPr>
          <w:rFonts w:hint="eastAsia" w:ascii="Times New Roman" w:hAnsi="Times New Roman" w:cs="Times New Roman"/>
          <w:b/>
          <w:sz w:val="28"/>
          <w:szCs w:val="28"/>
        </w:rPr>
        <w:t>济宁市各区县森林植被类型分布图</w:t>
      </w:r>
    </w:p>
    <w:p>
      <w:pPr>
        <w:pStyle w:val="7"/>
        <w:pageBreakBefore w:val="0"/>
        <w:kinsoku/>
        <w:overflowPunct/>
        <w:topLinePunct w:val="0"/>
        <w:autoSpaceDE/>
        <w:autoSpaceDN/>
        <w:bidi w:val="0"/>
        <w:spacing w:line="560" w:lineRule="exact"/>
        <w:jc w:val="left"/>
      </w:pPr>
      <w:r>
        <w:rPr>
          <w:rFonts w:hint="eastAsia"/>
        </w:rPr>
        <w:t>1.针叶林</w:t>
      </w:r>
    </w:p>
    <w:p>
      <w:pPr>
        <w:pageBreakBefore w:val="0"/>
        <w:kinsoku/>
        <w:overflowPunct/>
        <w:topLinePunct w:val="0"/>
        <w:autoSpaceDE/>
        <w:autoSpaceDN/>
        <w:bidi w:val="0"/>
        <w:spacing w:line="560" w:lineRule="exact"/>
        <w:ind w:firstLine="560"/>
        <w:rPr>
          <w:rFonts w:hint="eastAsia"/>
        </w:rPr>
      </w:pPr>
      <w:r>
        <w:rPr>
          <w:rFonts w:hint="eastAsia"/>
        </w:rPr>
        <w:t>济宁市域内的针叶林树种主要以侧柏为主，并存在少部分的黑松、赤松。主要集中分布在邹城市、泗水县、曲阜市、嘉祥县、微山县5个县（市）。其中泗水县、邹城市、曲阜市、微山县有松林分布，需加强松材线虫病的防控工作。</w:t>
      </w:r>
    </w:p>
    <w:p>
      <w:pPr>
        <w:pageBreakBefore w:val="0"/>
        <w:kinsoku/>
        <w:overflowPunct/>
        <w:topLinePunct w:val="0"/>
        <w:autoSpaceDE/>
        <w:autoSpaceDN/>
        <w:bidi w:val="0"/>
        <w:spacing w:line="560" w:lineRule="exact"/>
        <w:ind w:firstLine="0" w:firstLineChars="0"/>
        <w:rPr>
          <w:rFonts w:hint="eastAsia"/>
        </w:rPr>
      </w:pPr>
    </w:p>
    <w:p>
      <w:pPr>
        <w:pageBreakBefore w:val="0"/>
        <w:kinsoku/>
        <w:overflowPunct/>
        <w:topLinePunct w:val="0"/>
        <w:autoSpaceDE/>
        <w:autoSpaceDN/>
        <w:bidi w:val="0"/>
        <w:spacing w:line="560" w:lineRule="exact"/>
        <w:ind w:firstLine="0" w:firstLineChars="0"/>
        <w:rPr>
          <w:rFonts w:hint="eastAsia"/>
        </w:rPr>
      </w:pPr>
    </w:p>
    <w:p>
      <w:pPr>
        <w:pageBreakBefore w:val="0"/>
        <w:kinsoku/>
        <w:overflowPunct/>
        <w:topLinePunct w:val="0"/>
        <w:autoSpaceDE/>
        <w:autoSpaceDN/>
        <w:bidi w:val="0"/>
        <w:spacing w:line="560" w:lineRule="exact"/>
        <w:ind w:firstLine="0" w:firstLineChars="0"/>
        <w:rPr>
          <w:rFonts w:hint="eastAsia"/>
        </w:rPr>
      </w:pPr>
    </w:p>
    <w:p>
      <w:pPr>
        <w:pageBreakBefore w:val="0"/>
        <w:kinsoku/>
        <w:overflowPunct/>
        <w:topLinePunct w:val="0"/>
        <w:autoSpaceDE/>
        <w:autoSpaceDN/>
        <w:bidi w:val="0"/>
        <w:spacing w:line="560" w:lineRule="exact"/>
        <w:ind w:firstLine="0" w:firstLineChars="0"/>
        <w:jc w:val="center"/>
        <w:rPr>
          <w:rFonts w:hint="eastAsia" w:ascii="Times New Roman" w:hAnsi="Times New Roman" w:cs="Times New Roman"/>
          <w:b/>
          <w:sz w:val="28"/>
          <w:szCs w:val="28"/>
        </w:rPr>
      </w:pPr>
    </w:p>
    <w:p>
      <w:pPr>
        <w:pageBreakBefore w:val="0"/>
        <w:kinsoku/>
        <w:overflowPunct/>
        <w:topLinePunct w:val="0"/>
        <w:autoSpaceDE/>
        <w:autoSpaceDN/>
        <w:bidi w:val="0"/>
        <w:spacing w:line="560" w:lineRule="exact"/>
        <w:ind w:firstLine="0" w:firstLineChars="0"/>
        <w:jc w:val="center"/>
        <w:rPr>
          <w:rFonts w:hint="eastAsia" w:ascii="Times New Roman" w:hAnsi="Times New Roman" w:cs="Times New Roman"/>
          <w:b/>
          <w:sz w:val="28"/>
          <w:szCs w:val="28"/>
        </w:rPr>
      </w:pPr>
      <w:r>
        <w:rPr>
          <w:rFonts w:hint="eastAsia" w:ascii="Times New Roman" w:hAnsi="Times New Roman" w:cs="Times New Roman"/>
          <w:b/>
          <w:sz w:val="28"/>
          <w:szCs w:val="28"/>
        </w:rPr>
        <w:t>图2.2-2济宁市针叶林分布图</w:t>
      </w:r>
    </w:p>
    <w:p>
      <w:pPr>
        <w:pStyle w:val="7"/>
        <w:pageBreakBefore w:val="0"/>
        <w:kinsoku/>
        <w:overflowPunct/>
        <w:topLinePunct w:val="0"/>
        <w:autoSpaceDE/>
        <w:autoSpaceDN/>
        <w:bidi w:val="0"/>
        <w:spacing w:line="560" w:lineRule="exact"/>
        <w:jc w:val="left"/>
      </w:pPr>
      <w:r>
        <w:rPr>
          <w:rFonts w:hint="eastAsia"/>
        </w:rPr>
        <w:drawing>
          <wp:anchor distT="0" distB="0" distL="114300" distR="114300" simplePos="0" relativeHeight="251659264" behindDoc="0" locked="0" layoutInCell="1" allowOverlap="1">
            <wp:simplePos x="0" y="0"/>
            <wp:positionH relativeFrom="page">
              <wp:posOffset>977900</wp:posOffset>
            </wp:positionH>
            <wp:positionV relativeFrom="page">
              <wp:posOffset>767080</wp:posOffset>
            </wp:positionV>
            <wp:extent cx="5518150" cy="6656705"/>
            <wp:effectExtent l="0" t="0" r="13970" b="3175"/>
            <wp:wrapSquare wrapText="bothSides"/>
            <wp:docPr id="2" name="图片 17" descr="济宁防火十四五规划作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7" descr="济宁防火十四五规划作图"/>
                    <pic:cNvPicPr>
                      <a:picLocks noChangeAspect="1"/>
                    </pic:cNvPicPr>
                  </pic:nvPicPr>
                  <pic:blipFill>
                    <a:blip r:embed="rId19"/>
                    <a:srcRect l="4419" t="8565" r="3842" b="13191"/>
                    <a:stretch>
                      <a:fillRect/>
                    </a:stretch>
                  </pic:blipFill>
                  <pic:spPr>
                    <a:xfrm>
                      <a:off x="0" y="0"/>
                      <a:ext cx="5518150" cy="6656705"/>
                    </a:xfrm>
                    <a:prstGeom prst="rect">
                      <a:avLst/>
                    </a:prstGeom>
                    <a:noFill/>
                    <a:ln>
                      <a:noFill/>
                    </a:ln>
                  </pic:spPr>
                </pic:pic>
              </a:graphicData>
            </a:graphic>
          </wp:anchor>
        </w:drawing>
      </w:r>
      <w:r>
        <w:rPr>
          <w:rFonts w:hint="eastAsia"/>
        </w:rPr>
        <w:t>2.阔叶林</w:t>
      </w:r>
    </w:p>
    <w:p>
      <w:pPr>
        <w:pageBreakBefore w:val="0"/>
        <w:kinsoku/>
        <w:overflowPunct/>
        <w:topLinePunct w:val="0"/>
        <w:autoSpaceDE/>
        <w:autoSpaceDN/>
        <w:bidi w:val="0"/>
        <w:spacing w:line="560" w:lineRule="exact"/>
        <w:ind w:firstLine="560"/>
      </w:pPr>
      <w:r>
        <w:rPr>
          <w:rFonts w:hint="eastAsia"/>
        </w:rPr>
        <w:t>济宁市域内的阔叶林树种主要以杨树为主，并存在少部分的悬铃木属、柳树</w:t>
      </w:r>
      <w:r>
        <w:rPr>
          <w:rFonts w:hint="eastAsia"/>
          <w:lang w:eastAsia="zh-CN"/>
        </w:rPr>
        <w:t>、</w:t>
      </w:r>
      <w:r>
        <w:rPr>
          <w:rFonts w:hint="eastAsia"/>
          <w:lang w:val="en-US" w:eastAsia="zh-CN"/>
        </w:rPr>
        <w:t>白蜡</w:t>
      </w:r>
      <w:r>
        <w:rPr>
          <w:rFonts w:hint="eastAsia"/>
        </w:rPr>
        <w:t>等。阔叶林多分布在道路、河流两岸、四旁等。其中泗水县、邹城市、曲阜市、梁山县阔叶林面积多，需要加强美国白蛾、杨小舟蛾、春尺蠖等食叶害虫的防治工作。</w:t>
      </w:r>
    </w:p>
    <w:p>
      <w:pPr>
        <w:pStyle w:val="7"/>
        <w:pageBreakBefore w:val="0"/>
        <w:kinsoku/>
        <w:overflowPunct/>
        <w:topLinePunct w:val="0"/>
        <w:autoSpaceDE/>
        <w:autoSpaceDN/>
        <w:bidi w:val="0"/>
        <w:spacing w:line="560" w:lineRule="exact"/>
        <w:jc w:val="left"/>
      </w:pPr>
      <w:r>
        <w:rPr>
          <w:rFonts w:hint="eastAsia"/>
        </w:rPr>
        <w:t>3.针阔混交林</w:t>
      </w:r>
    </w:p>
    <w:p>
      <w:pPr>
        <w:pageBreakBefore w:val="0"/>
        <w:kinsoku/>
        <w:overflowPunct/>
        <w:topLinePunct w:val="0"/>
        <w:autoSpaceDE/>
        <w:autoSpaceDN/>
        <w:bidi w:val="0"/>
        <w:spacing w:line="560" w:lineRule="exact"/>
        <w:ind w:firstLine="560"/>
      </w:pPr>
      <w:r>
        <w:rPr>
          <w:rFonts w:hint="eastAsia"/>
        </w:rPr>
        <w:t>针阔混交林面积2895.35公顷，在济宁市域内分布面积较少，主要是</w:t>
      </w:r>
      <w:r>
        <w:t>松类与栎类、栎类与侧柏、侧柏与黄栌等形成的混交林</w:t>
      </w:r>
      <w:r>
        <w:rPr>
          <w:rFonts w:hint="eastAsia"/>
        </w:rPr>
        <w:t>，多分布在国有</w:t>
      </w:r>
      <w:r>
        <w:rPr>
          <w:rFonts w:hint="eastAsia"/>
          <w:lang w:val="en-US" w:eastAsia="zh-CN"/>
        </w:rPr>
        <w:t>林场</w:t>
      </w:r>
      <w:r>
        <w:rPr>
          <w:rFonts w:hint="eastAsia"/>
        </w:rPr>
        <w:t>、森林公园、自然保护区等。</w:t>
      </w:r>
    </w:p>
    <w:p>
      <w:pPr>
        <w:pStyle w:val="5"/>
        <w:pageBreakBefore w:val="0"/>
        <w:kinsoku/>
        <w:overflowPunct/>
        <w:topLinePunct w:val="0"/>
        <w:autoSpaceDE/>
        <w:autoSpaceDN/>
        <w:bidi w:val="0"/>
        <w:spacing w:line="560" w:lineRule="exact"/>
        <w:outlineLvl w:val="1"/>
        <w:rPr>
          <w:rFonts w:hint="eastAsia"/>
        </w:rPr>
      </w:pPr>
      <w:bookmarkStart w:id="28" w:name="_Toc1592"/>
      <w:r>
        <w:rPr>
          <w:rFonts w:hint="eastAsia"/>
        </w:rPr>
        <w:t>三、“十三五”济宁市林业有害生物防治情况</w:t>
      </w:r>
      <w:bookmarkEnd w:id="28"/>
    </w:p>
    <w:p>
      <w:pPr>
        <w:pageBreakBefore w:val="0"/>
        <w:kinsoku/>
        <w:overflowPunct/>
        <w:topLinePunct w:val="0"/>
        <w:autoSpaceDE/>
        <w:autoSpaceDN/>
        <w:bidi w:val="0"/>
        <w:spacing w:line="560" w:lineRule="exact"/>
        <w:ind w:firstLine="560"/>
        <w:rPr>
          <w:rFonts w:hint="eastAsia"/>
        </w:rPr>
      </w:pPr>
      <w:r>
        <w:rPr>
          <w:rFonts w:hint="eastAsia"/>
        </w:rPr>
        <w:t>“</w:t>
      </w:r>
      <w:r>
        <w:t>十三五</w:t>
      </w:r>
      <w:r>
        <w:rPr>
          <w:rFonts w:hint="eastAsia"/>
        </w:rPr>
        <w:t>”</w:t>
      </w:r>
      <w:r>
        <w:t>期间，</w:t>
      </w:r>
      <w:r>
        <w:rPr>
          <w:rFonts w:hint="eastAsia"/>
        </w:rPr>
        <w:t>通过实施《济宁市林业有害生物防控“十三五”规划》，对全市林业有害生物实时监控</w:t>
      </w:r>
      <w:r>
        <w:rPr>
          <w:rFonts w:hint="eastAsia"/>
          <w:lang w:eastAsia="zh-CN"/>
        </w:rPr>
        <w:t>、</w:t>
      </w:r>
      <w:r>
        <w:rPr>
          <w:rFonts w:hint="eastAsia"/>
        </w:rPr>
        <w:t>准确预报</w:t>
      </w:r>
      <w:r>
        <w:rPr>
          <w:rFonts w:hint="eastAsia"/>
          <w:lang w:eastAsia="zh-CN"/>
        </w:rPr>
        <w:t>、</w:t>
      </w:r>
      <w:r>
        <w:rPr>
          <w:rFonts w:hint="eastAsia"/>
        </w:rPr>
        <w:t>区域封锁</w:t>
      </w:r>
      <w:r>
        <w:rPr>
          <w:rFonts w:hint="eastAsia"/>
          <w:lang w:eastAsia="zh-CN"/>
        </w:rPr>
        <w:t>、</w:t>
      </w:r>
      <w:r>
        <w:rPr>
          <w:rFonts w:hint="eastAsia"/>
        </w:rPr>
        <w:t>有效控制，重大危险性病虫害发生范围明显压缩，常发性病虫害发生危害程度大幅度下降，基本实现林业有害生物的可持续控制。</w:t>
      </w:r>
    </w:p>
    <w:p>
      <w:pPr>
        <w:pStyle w:val="6"/>
        <w:pageBreakBefore w:val="0"/>
        <w:kinsoku/>
        <w:overflowPunct/>
        <w:topLinePunct w:val="0"/>
        <w:autoSpaceDE/>
        <w:autoSpaceDN/>
        <w:bidi w:val="0"/>
        <w:spacing w:line="560" w:lineRule="exact"/>
        <w:rPr>
          <w:rFonts w:hint="eastAsia"/>
        </w:rPr>
      </w:pPr>
      <w:r>
        <w:rPr>
          <w:rFonts w:hint="eastAsia"/>
        </w:rPr>
        <w:t>（一）林业有害生物防控基础建设概况</w:t>
      </w:r>
    </w:p>
    <w:p>
      <w:pPr>
        <w:pageBreakBefore w:val="0"/>
        <w:kinsoku/>
        <w:overflowPunct/>
        <w:topLinePunct w:val="0"/>
        <w:autoSpaceDE/>
        <w:autoSpaceDN/>
        <w:bidi w:val="0"/>
        <w:spacing w:line="560" w:lineRule="exact"/>
        <w:ind w:firstLine="560"/>
      </w:pPr>
      <w:r>
        <w:rPr>
          <w:rFonts w:hint="eastAsia"/>
        </w:rPr>
        <w:t>截至2021年，监测预报方面，全市共有林业有害生物测报点2</w:t>
      </w:r>
      <w:r>
        <w:rPr>
          <w:rFonts w:hint="eastAsia"/>
          <w:lang w:val="en-US" w:eastAsia="zh-CN"/>
        </w:rPr>
        <w:t>0</w:t>
      </w:r>
      <w:r>
        <w:rPr>
          <w:rFonts w:hint="eastAsia"/>
        </w:rPr>
        <w:t>6处，其中国家级4处、省级3处、县级199处；测报员250人，其中专职53人、兼职197人。检疫御灾方面，全市共有林业植物检疫检查站2处；检疫员157人，其中专职75人、兼职82人。防灾减灾方面，全市共有林业有害生物防治机构15处，其中市级1处、县级14处；</w:t>
      </w:r>
      <w:r>
        <w:rPr>
          <w:rFonts w:hint="eastAsia"/>
          <w:lang w:val="en-US" w:eastAsia="zh-CN"/>
        </w:rPr>
        <w:t>乡镇</w:t>
      </w:r>
      <w:r>
        <w:rPr>
          <w:rFonts w:hint="eastAsia"/>
        </w:rPr>
        <w:t>级防控队伍163个；市应急指挥中心1处；各县（市、区）药剂药械储备库14处。</w:t>
      </w:r>
    </w:p>
    <w:p>
      <w:pPr>
        <w:pStyle w:val="6"/>
        <w:pageBreakBefore w:val="0"/>
        <w:kinsoku/>
        <w:overflowPunct/>
        <w:topLinePunct w:val="0"/>
        <w:autoSpaceDE/>
        <w:autoSpaceDN/>
        <w:bidi w:val="0"/>
        <w:spacing w:line="560" w:lineRule="exact"/>
        <w:rPr>
          <w:rFonts w:hint="eastAsia"/>
        </w:rPr>
      </w:pPr>
      <w:r>
        <w:rPr>
          <w:rFonts w:hint="eastAsia"/>
        </w:rPr>
        <w:t>（二）防治“三率”完成情况</w:t>
      </w:r>
    </w:p>
    <w:p>
      <w:pPr>
        <w:pageBreakBefore w:val="0"/>
        <w:kinsoku/>
        <w:overflowPunct/>
        <w:topLinePunct w:val="0"/>
        <w:autoSpaceDE/>
        <w:autoSpaceDN/>
        <w:bidi w:val="0"/>
        <w:spacing w:line="560" w:lineRule="exact"/>
        <w:ind w:firstLine="560"/>
      </w:pPr>
      <w:r>
        <w:rPr>
          <w:rFonts w:hint="eastAsia"/>
        </w:rPr>
        <w:t>“十三五”期间，全市主要林业有害生物成灾率控制在</w:t>
      </w:r>
      <w:r>
        <w:rPr>
          <w:rFonts w:hint="eastAsia"/>
          <w:lang w:val="en-US" w:eastAsia="zh-CN"/>
        </w:rPr>
        <w:t>2</w:t>
      </w:r>
      <w:r>
        <w:rPr>
          <w:rFonts w:hint="eastAsia"/>
        </w:rPr>
        <w:t>‰</w:t>
      </w:r>
      <w:r>
        <w:rPr>
          <w:rFonts w:hint="eastAsia"/>
          <w:lang w:val="en-US" w:eastAsia="zh-CN"/>
        </w:rPr>
        <w:t>以下</w:t>
      </w:r>
      <w:r>
        <w:rPr>
          <w:rFonts w:hint="eastAsia"/>
        </w:rPr>
        <w:t>，无公害防治率由</w:t>
      </w:r>
      <w:r>
        <w:t>92%</w:t>
      </w:r>
      <w:r>
        <w:rPr>
          <w:rFonts w:hint="eastAsia"/>
        </w:rPr>
        <w:t>提高到</w:t>
      </w:r>
      <w:r>
        <w:t>100%</w:t>
      </w:r>
      <w:r>
        <w:rPr>
          <w:rFonts w:hint="eastAsia"/>
        </w:rPr>
        <w:t>，种苗产地检疫率达到</w:t>
      </w:r>
      <w:r>
        <w:t>100%</w:t>
      </w:r>
      <w:r>
        <w:rPr>
          <w:rFonts w:hint="eastAsia"/>
        </w:rPr>
        <w:t>。</w:t>
      </w:r>
    </w:p>
    <w:tbl>
      <w:tblPr>
        <w:tblStyle w:val="21"/>
        <w:tblW w:w="88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2"/>
        <w:gridCol w:w="2021"/>
        <w:gridCol w:w="430"/>
        <w:gridCol w:w="844"/>
        <w:gridCol w:w="430"/>
        <w:gridCol w:w="844"/>
        <w:gridCol w:w="430"/>
        <w:gridCol w:w="844"/>
        <w:gridCol w:w="430"/>
        <w:gridCol w:w="848"/>
        <w:gridCol w:w="432"/>
        <w:gridCol w:w="8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blHeader/>
        </w:trPr>
        <w:tc>
          <w:tcPr>
            <w:tcW w:w="8847" w:type="dxa"/>
            <w:gridSpan w:val="12"/>
            <w:tcBorders>
              <w:top w:val="nil"/>
              <w:left w:val="nil"/>
              <w:bottom w:val="single" w:color="auto" w:sz="4" w:space="0"/>
              <w:right w:val="nil"/>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b/>
                <w:sz w:val="24"/>
              </w:rPr>
            </w:pPr>
            <w:r>
              <w:rPr>
                <w:rFonts w:hint="eastAsia" w:ascii="Times New Roman" w:hAnsi="Times New Roman" w:cs="Times New Roman"/>
                <w:b/>
                <w:sz w:val="28"/>
                <w:szCs w:val="28"/>
              </w:rPr>
              <w:t>表</w:t>
            </w:r>
            <w:r>
              <w:rPr>
                <w:rFonts w:hint="eastAsia" w:ascii="方正仿宋简体" w:hAnsi="方正仿宋简体" w:eastAsia="方正仿宋简体" w:cs="方正仿宋简体"/>
                <w:b/>
                <w:sz w:val="28"/>
                <w:szCs w:val="28"/>
              </w:rPr>
              <w:t>2.3-1</w:t>
            </w:r>
            <w:r>
              <w:rPr>
                <w:rFonts w:hint="eastAsia" w:ascii="Times New Roman" w:hAnsi="Times New Roman" w:cs="Times New Roman"/>
                <w:b/>
                <w:sz w:val="28"/>
                <w:szCs w:val="28"/>
              </w:rPr>
              <w:t>“十三五”</w:t>
            </w:r>
            <w:r>
              <w:rPr>
                <w:rFonts w:hint="eastAsia" w:ascii="Times New Roman" w:hAnsi="Times New Roman" w:cs="Times New Roman"/>
                <w:b/>
                <w:sz w:val="28"/>
                <w:szCs w:val="28"/>
                <w:lang w:val="en-US" w:eastAsia="zh-CN"/>
              </w:rPr>
              <w:t>济宁市</w:t>
            </w:r>
            <w:r>
              <w:rPr>
                <w:rFonts w:hint="eastAsia" w:ascii="Times New Roman" w:hAnsi="Times New Roman" w:cs="Times New Roman"/>
                <w:b/>
                <w:sz w:val="28"/>
                <w:szCs w:val="28"/>
              </w:rPr>
              <w:t>林业有害生物防治指标完成情况统计表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blHeader/>
        </w:trPr>
        <w:tc>
          <w:tcPr>
            <w:tcW w:w="422" w:type="dxa"/>
            <w:vMerge w:val="restart"/>
            <w:tcBorders>
              <w:top w:val="single" w:color="auto" w:sz="4" w:space="0"/>
              <w:bottom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sz w:val="24"/>
              </w:rPr>
            </w:pPr>
            <w:r>
              <w:rPr>
                <w:rFonts w:hint="eastAsia" w:ascii="Times New Roman" w:hAnsi="Times New Roman" w:eastAsia="黑体" w:cs="黑体"/>
                <w:b/>
                <w:sz w:val="24"/>
              </w:rPr>
              <w:t>序号</w:t>
            </w:r>
          </w:p>
        </w:tc>
        <w:tc>
          <w:tcPr>
            <w:tcW w:w="2021" w:type="dxa"/>
            <w:vMerge w:val="restart"/>
            <w:tcBorders>
              <w:top w:val="single" w:color="auto" w:sz="4" w:space="0"/>
              <w:bottom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sz w:val="24"/>
                <w:lang w:eastAsia="zh-CN"/>
              </w:rPr>
            </w:pPr>
            <w:r>
              <w:rPr>
                <w:rFonts w:hint="eastAsia" w:ascii="Times New Roman" w:hAnsi="Times New Roman" w:eastAsia="黑体" w:cs="黑体"/>
                <w:b/>
                <w:sz w:val="24"/>
              </w:rPr>
              <w:t>“</w:t>
            </w:r>
            <w:r>
              <w:rPr>
                <w:rFonts w:hint="eastAsia" w:ascii="Times New Roman" w:hAnsi="Times New Roman" w:eastAsia="黑体" w:cs="黑体"/>
                <w:b/>
                <w:sz w:val="24"/>
                <w:lang w:val="en-US" w:eastAsia="zh-CN"/>
              </w:rPr>
              <w:t>三</w:t>
            </w:r>
            <w:r>
              <w:rPr>
                <w:rFonts w:hint="eastAsia" w:ascii="Times New Roman" w:hAnsi="Times New Roman" w:eastAsia="黑体" w:cs="黑体"/>
                <w:b/>
                <w:sz w:val="24"/>
              </w:rPr>
              <w:t>率”</w:t>
            </w:r>
            <w:r>
              <w:rPr>
                <w:rFonts w:hint="eastAsia" w:ascii="Times New Roman" w:hAnsi="Times New Roman" w:eastAsia="黑体" w:cs="黑体"/>
                <w:b/>
                <w:sz w:val="24"/>
                <w:lang w:eastAsia="zh-CN"/>
              </w:rPr>
              <w:t>（</w:t>
            </w:r>
            <w:r>
              <w:rPr>
                <w:rFonts w:hint="eastAsia" w:ascii="Times New Roman" w:hAnsi="Times New Roman" w:eastAsia="黑体" w:cs="黑体"/>
                <w:b/>
                <w:sz w:val="24"/>
                <w:lang w:val="en-US" w:eastAsia="zh-CN"/>
              </w:rPr>
              <w:t>%</w:t>
            </w:r>
            <w:r>
              <w:rPr>
                <w:rFonts w:hint="eastAsia" w:ascii="Times New Roman" w:hAnsi="Times New Roman" w:eastAsia="黑体" w:cs="黑体"/>
                <w:b/>
                <w:sz w:val="24"/>
                <w:lang w:eastAsia="zh-CN"/>
              </w:rPr>
              <w:t>）</w:t>
            </w:r>
          </w:p>
        </w:tc>
        <w:tc>
          <w:tcPr>
            <w:tcW w:w="1274" w:type="dxa"/>
            <w:gridSpan w:val="2"/>
            <w:tcBorders>
              <w:top w:val="single" w:color="auto" w:sz="4" w:space="0"/>
              <w:bottom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sz w:val="24"/>
              </w:rPr>
            </w:pPr>
            <w:r>
              <w:rPr>
                <w:rFonts w:hint="eastAsia" w:ascii="方正仿宋简体" w:hAnsi="方正仿宋简体" w:eastAsia="方正仿宋简体" w:cs="方正仿宋简体"/>
                <w:b/>
                <w:sz w:val="24"/>
              </w:rPr>
              <w:t>2016年</w:t>
            </w:r>
          </w:p>
        </w:tc>
        <w:tc>
          <w:tcPr>
            <w:tcW w:w="1274" w:type="dxa"/>
            <w:gridSpan w:val="2"/>
            <w:tcBorders>
              <w:top w:val="single" w:color="auto" w:sz="4" w:space="0"/>
              <w:bottom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sz w:val="24"/>
              </w:rPr>
            </w:pPr>
            <w:r>
              <w:rPr>
                <w:rFonts w:hint="eastAsia" w:ascii="方正仿宋简体" w:hAnsi="方正仿宋简体" w:eastAsia="方正仿宋简体" w:cs="方正仿宋简体"/>
                <w:b/>
                <w:sz w:val="24"/>
              </w:rPr>
              <w:t>2017年</w:t>
            </w:r>
          </w:p>
        </w:tc>
        <w:tc>
          <w:tcPr>
            <w:tcW w:w="1274" w:type="dxa"/>
            <w:gridSpan w:val="2"/>
            <w:tcBorders>
              <w:top w:val="single" w:color="auto" w:sz="4" w:space="0"/>
              <w:bottom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sz w:val="24"/>
              </w:rPr>
            </w:pPr>
            <w:r>
              <w:rPr>
                <w:rFonts w:hint="eastAsia" w:ascii="方正仿宋简体" w:hAnsi="方正仿宋简体" w:eastAsia="方正仿宋简体" w:cs="方正仿宋简体"/>
                <w:b/>
                <w:sz w:val="24"/>
              </w:rPr>
              <w:t>2018年</w:t>
            </w:r>
          </w:p>
        </w:tc>
        <w:tc>
          <w:tcPr>
            <w:tcW w:w="1278" w:type="dxa"/>
            <w:gridSpan w:val="2"/>
            <w:tcBorders>
              <w:top w:val="single" w:color="auto" w:sz="4" w:space="0"/>
              <w:bottom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sz w:val="24"/>
              </w:rPr>
            </w:pPr>
            <w:r>
              <w:rPr>
                <w:rFonts w:hint="eastAsia" w:ascii="方正仿宋简体" w:hAnsi="方正仿宋简体" w:eastAsia="方正仿宋简体" w:cs="方正仿宋简体"/>
                <w:b/>
                <w:sz w:val="24"/>
              </w:rPr>
              <w:t>2019年</w:t>
            </w:r>
          </w:p>
        </w:tc>
        <w:tc>
          <w:tcPr>
            <w:tcW w:w="1304" w:type="dxa"/>
            <w:gridSpan w:val="2"/>
            <w:tcBorders>
              <w:top w:val="single" w:color="auto" w:sz="4" w:space="0"/>
              <w:bottom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sz w:val="24"/>
              </w:rPr>
            </w:pPr>
            <w:r>
              <w:rPr>
                <w:rFonts w:hint="eastAsia" w:ascii="方正仿宋简体" w:hAnsi="方正仿宋简体" w:eastAsia="方正仿宋简体" w:cs="方正仿宋简体"/>
                <w:b/>
                <w:sz w:val="24"/>
              </w:rPr>
              <w:t>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71" w:hRule="exact"/>
          <w:tblHeader/>
        </w:trPr>
        <w:tc>
          <w:tcPr>
            <w:tcW w:w="422" w:type="dxa"/>
            <w:vMerge w:val="continue"/>
            <w:tcBorders>
              <w:top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sz w:val="24"/>
              </w:rPr>
            </w:pPr>
          </w:p>
        </w:tc>
        <w:tc>
          <w:tcPr>
            <w:tcW w:w="2021" w:type="dxa"/>
            <w:vMerge w:val="continue"/>
            <w:tcBorders>
              <w:top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sz w:val="24"/>
              </w:rPr>
            </w:pPr>
          </w:p>
        </w:tc>
        <w:tc>
          <w:tcPr>
            <w:tcW w:w="430" w:type="dxa"/>
            <w:tcBorders>
              <w:top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sz w:val="24"/>
              </w:rPr>
            </w:pPr>
            <w:r>
              <w:rPr>
                <w:rFonts w:hint="eastAsia" w:ascii="Times New Roman" w:hAnsi="Times New Roman" w:eastAsia="黑体" w:cs="黑体"/>
                <w:b/>
                <w:sz w:val="24"/>
              </w:rPr>
              <w:t>指标</w:t>
            </w:r>
          </w:p>
        </w:tc>
        <w:tc>
          <w:tcPr>
            <w:tcW w:w="844" w:type="dxa"/>
            <w:tcBorders>
              <w:top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sz w:val="24"/>
              </w:rPr>
            </w:pPr>
            <w:r>
              <w:rPr>
                <w:rFonts w:hint="eastAsia" w:ascii="Times New Roman" w:hAnsi="Times New Roman" w:eastAsia="黑体" w:cs="黑体"/>
                <w:b/>
                <w:sz w:val="24"/>
              </w:rPr>
              <w:t>完成</w:t>
            </w:r>
          </w:p>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sz w:val="24"/>
              </w:rPr>
            </w:pPr>
            <w:r>
              <w:rPr>
                <w:rFonts w:hint="eastAsia" w:ascii="Times New Roman" w:hAnsi="Times New Roman" w:eastAsia="黑体" w:cs="黑体"/>
                <w:b/>
                <w:sz w:val="24"/>
              </w:rPr>
              <w:t>情况</w:t>
            </w:r>
          </w:p>
        </w:tc>
        <w:tc>
          <w:tcPr>
            <w:tcW w:w="430" w:type="dxa"/>
            <w:tcBorders>
              <w:top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sz w:val="24"/>
              </w:rPr>
            </w:pPr>
            <w:r>
              <w:rPr>
                <w:rFonts w:hint="eastAsia" w:ascii="Times New Roman" w:hAnsi="Times New Roman" w:eastAsia="黑体" w:cs="黑体"/>
                <w:b/>
                <w:sz w:val="24"/>
              </w:rPr>
              <w:t>指标</w:t>
            </w:r>
          </w:p>
        </w:tc>
        <w:tc>
          <w:tcPr>
            <w:tcW w:w="844" w:type="dxa"/>
            <w:tcBorders>
              <w:top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sz w:val="24"/>
              </w:rPr>
            </w:pPr>
            <w:r>
              <w:rPr>
                <w:rFonts w:hint="eastAsia" w:ascii="Times New Roman" w:hAnsi="Times New Roman" w:eastAsia="黑体" w:cs="黑体"/>
                <w:b/>
                <w:sz w:val="24"/>
              </w:rPr>
              <w:t>完成</w:t>
            </w:r>
          </w:p>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sz w:val="24"/>
              </w:rPr>
            </w:pPr>
            <w:r>
              <w:rPr>
                <w:rFonts w:hint="eastAsia" w:ascii="Times New Roman" w:hAnsi="Times New Roman" w:eastAsia="黑体" w:cs="黑体"/>
                <w:b/>
                <w:sz w:val="24"/>
              </w:rPr>
              <w:t>情况</w:t>
            </w:r>
          </w:p>
        </w:tc>
        <w:tc>
          <w:tcPr>
            <w:tcW w:w="430" w:type="dxa"/>
            <w:tcBorders>
              <w:top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sz w:val="24"/>
              </w:rPr>
            </w:pPr>
            <w:r>
              <w:rPr>
                <w:rFonts w:hint="eastAsia" w:ascii="Times New Roman" w:hAnsi="Times New Roman" w:eastAsia="黑体" w:cs="黑体"/>
                <w:b/>
                <w:sz w:val="24"/>
              </w:rPr>
              <w:t>指标</w:t>
            </w:r>
          </w:p>
        </w:tc>
        <w:tc>
          <w:tcPr>
            <w:tcW w:w="844" w:type="dxa"/>
            <w:tcBorders>
              <w:top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sz w:val="24"/>
              </w:rPr>
            </w:pPr>
            <w:r>
              <w:rPr>
                <w:rFonts w:hint="eastAsia" w:ascii="Times New Roman" w:hAnsi="Times New Roman" w:eastAsia="黑体" w:cs="黑体"/>
                <w:b/>
                <w:sz w:val="24"/>
              </w:rPr>
              <w:t>完成</w:t>
            </w:r>
          </w:p>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sz w:val="24"/>
              </w:rPr>
            </w:pPr>
            <w:r>
              <w:rPr>
                <w:rFonts w:hint="eastAsia" w:ascii="Times New Roman" w:hAnsi="Times New Roman" w:eastAsia="黑体" w:cs="黑体"/>
                <w:b/>
                <w:sz w:val="24"/>
              </w:rPr>
              <w:t>情况</w:t>
            </w:r>
          </w:p>
        </w:tc>
        <w:tc>
          <w:tcPr>
            <w:tcW w:w="430" w:type="dxa"/>
            <w:tcBorders>
              <w:top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sz w:val="24"/>
              </w:rPr>
            </w:pPr>
            <w:r>
              <w:rPr>
                <w:rFonts w:hint="eastAsia" w:ascii="Times New Roman" w:hAnsi="Times New Roman" w:eastAsia="黑体" w:cs="黑体"/>
                <w:b/>
                <w:sz w:val="24"/>
              </w:rPr>
              <w:t>指标</w:t>
            </w:r>
          </w:p>
        </w:tc>
        <w:tc>
          <w:tcPr>
            <w:tcW w:w="848" w:type="dxa"/>
            <w:tcBorders>
              <w:top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sz w:val="24"/>
              </w:rPr>
            </w:pPr>
            <w:r>
              <w:rPr>
                <w:rFonts w:hint="eastAsia" w:ascii="Times New Roman" w:hAnsi="Times New Roman" w:eastAsia="黑体" w:cs="黑体"/>
                <w:b/>
                <w:sz w:val="24"/>
              </w:rPr>
              <w:t>完成</w:t>
            </w:r>
          </w:p>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sz w:val="24"/>
              </w:rPr>
            </w:pPr>
            <w:r>
              <w:rPr>
                <w:rFonts w:hint="eastAsia" w:ascii="Times New Roman" w:hAnsi="Times New Roman" w:eastAsia="黑体" w:cs="黑体"/>
                <w:b/>
                <w:sz w:val="24"/>
              </w:rPr>
              <w:t>情况</w:t>
            </w:r>
          </w:p>
        </w:tc>
        <w:tc>
          <w:tcPr>
            <w:tcW w:w="432" w:type="dxa"/>
            <w:tcBorders>
              <w:top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sz w:val="24"/>
              </w:rPr>
            </w:pPr>
            <w:r>
              <w:rPr>
                <w:rFonts w:hint="eastAsia" w:ascii="Times New Roman" w:hAnsi="Times New Roman" w:eastAsia="黑体" w:cs="黑体"/>
                <w:b/>
                <w:sz w:val="24"/>
              </w:rPr>
              <w:t>指标</w:t>
            </w:r>
          </w:p>
        </w:tc>
        <w:tc>
          <w:tcPr>
            <w:tcW w:w="872" w:type="dxa"/>
            <w:tcBorders>
              <w:top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sz w:val="24"/>
              </w:rPr>
            </w:pPr>
            <w:r>
              <w:rPr>
                <w:rFonts w:hint="eastAsia" w:ascii="Times New Roman" w:hAnsi="Times New Roman" w:eastAsia="黑体" w:cs="黑体"/>
                <w:b/>
                <w:sz w:val="24"/>
              </w:rPr>
              <w:t>完成</w:t>
            </w:r>
          </w:p>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sz w:val="24"/>
              </w:rPr>
            </w:pPr>
            <w:r>
              <w:rPr>
                <w:rFonts w:hint="eastAsia" w:ascii="Times New Roman" w:hAnsi="Times New Roman" w:eastAsia="黑体" w:cs="黑体"/>
                <w:b/>
                <w:sz w:val="24"/>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rPr>
        <w:tc>
          <w:tcPr>
            <w:tcW w:w="422"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kern w:val="0"/>
                <w:sz w:val="24"/>
              </w:rPr>
            </w:pPr>
            <w:r>
              <w:rPr>
                <w:rFonts w:hint="eastAsia" w:ascii="方正仿宋简体" w:hAnsi="方正仿宋简体" w:eastAsia="方正仿宋简体" w:cs="方正仿宋简体"/>
                <w:kern w:val="0"/>
                <w:sz w:val="24"/>
              </w:rPr>
              <w:t>1</w:t>
            </w:r>
          </w:p>
        </w:tc>
        <w:tc>
          <w:tcPr>
            <w:tcW w:w="2021" w:type="dxa"/>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bCs/>
                <w:sz w:val="24"/>
              </w:rPr>
            </w:pPr>
            <w:r>
              <w:rPr>
                <w:rFonts w:hint="eastAsia" w:ascii="Times New Roman" w:hAnsi="Times New Roman"/>
                <w:bCs/>
                <w:sz w:val="24"/>
              </w:rPr>
              <w:t>成灾率</w:t>
            </w:r>
          </w:p>
        </w:tc>
        <w:tc>
          <w:tcPr>
            <w:tcW w:w="430"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kern w:val="0"/>
                <w:sz w:val="24"/>
              </w:rPr>
            </w:pPr>
            <w:r>
              <w:rPr>
                <w:rFonts w:hint="eastAsia" w:ascii="方正仿宋简体" w:hAnsi="方正仿宋简体" w:eastAsia="方正仿宋简体" w:cs="方正仿宋简体"/>
                <w:kern w:val="0"/>
                <w:sz w:val="24"/>
              </w:rPr>
              <w:t>2.2</w:t>
            </w:r>
          </w:p>
        </w:tc>
        <w:tc>
          <w:tcPr>
            <w:tcW w:w="844"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color w:val="000000"/>
                <w:kern w:val="0"/>
                <w:sz w:val="24"/>
                <w:highlight w:val="yellow"/>
                <w:lang w:val="en-US" w:eastAsia="zh-CN"/>
              </w:rPr>
            </w:pPr>
            <w:r>
              <w:rPr>
                <w:rFonts w:hint="eastAsia" w:ascii="方正仿宋简体" w:hAnsi="方正仿宋简体" w:eastAsia="方正仿宋简体" w:cs="方正仿宋简体"/>
                <w:color w:val="000000"/>
                <w:kern w:val="0"/>
                <w:sz w:val="24"/>
              </w:rPr>
              <w:t>0.0</w:t>
            </w:r>
            <w:r>
              <w:rPr>
                <w:rFonts w:hint="eastAsia" w:ascii="方正仿宋简体" w:hAnsi="方正仿宋简体" w:eastAsia="方正仿宋简体" w:cs="方正仿宋简体"/>
                <w:color w:val="000000"/>
                <w:kern w:val="0"/>
                <w:sz w:val="24"/>
                <w:lang w:val="en-US" w:eastAsia="zh-CN"/>
              </w:rPr>
              <w:t>0</w:t>
            </w:r>
          </w:p>
        </w:tc>
        <w:tc>
          <w:tcPr>
            <w:tcW w:w="430"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kern w:val="0"/>
                <w:sz w:val="24"/>
              </w:rPr>
            </w:pPr>
            <w:r>
              <w:rPr>
                <w:rFonts w:hint="eastAsia" w:ascii="方正仿宋简体" w:hAnsi="方正仿宋简体" w:eastAsia="方正仿宋简体" w:cs="方正仿宋简体"/>
                <w:kern w:val="0"/>
                <w:sz w:val="24"/>
              </w:rPr>
              <w:t>2.1</w:t>
            </w:r>
          </w:p>
        </w:tc>
        <w:tc>
          <w:tcPr>
            <w:tcW w:w="844"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kern w:val="0"/>
                <w:sz w:val="24"/>
                <w:lang w:val="en-US" w:eastAsia="zh-CN"/>
              </w:rPr>
            </w:pPr>
            <w:r>
              <w:rPr>
                <w:rFonts w:hint="eastAsia" w:ascii="方正仿宋简体" w:hAnsi="方正仿宋简体" w:eastAsia="方正仿宋简体" w:cs="方正仿宋简体"/>
                <w:kern w:val="0"/>
                <w:sz w:val="24"/>
              </w:rPr>
              <w:t>0.0</w:t>
            </w:r>
            <w:r>
              <w:rPr>
                <w:rFonts w:hint="eastAsia" w:ascii="方正仿宋简体" w:hAnsi="方正仿宋简体" w:eastAsia="方正仿宋简体" w:cs="方正仿宋简体"/>
                <w:kern w:val="0"/>
                <w:sz w:val="24"/>
                <w:lang w:val="en-US" w:eastAsia="zh-CN"/>
              </w:rPr>
              <w:t>0</w:t>
            </w:r>
          </w:p>
        </w:tc>
        <w:tc>
          <w:tcPr>
            <w:tcW w:w="430"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kern w:val="0"/>
                <w:sz w:val="24"/>
              </w:rPr>
            </w:pPr>
            <w:r>
              <w:rPr>
                <w:rFonts w:hint="eastAsia" w:ascii="方正仿宋简体" w:hAnsi="方正仿宋简体" w:eastAsia="方正仿宋简体" w:cs="方正仿宋简体"/>
                <w:kern w:val="0"/>
                <w:sz w:val="24"/>
              </w:rPr>
              <w:t>2.1</w:t>
            </w:r>
          </w:p>
        </w:tc>
        <w:tc>
          <w:tcPr>
            <w:tcW w:w="844"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kern w:val="0"/>
                <w:sz w:val="24"/>
                <w:lang w:val="en-US" w:eastAsia="zh-CN"/>
              </w:rPr>
            </w:pPr>
            <w:r>
              <w:rPr>
                <w:rFonts w:hint="eastAsia" w:ascii="方正仿宋简体" w:hAnsi="方正仿宋简体" w:eastAsia="方正仿宋简体" w:cs="方正仿宋简体"/>
                <w:kern w:val="0"/>
                <w:sz w:val="24"/>
              </w:rPr>
              <w:t>0.0</w:t>
            </w:r>
            <w:r>
              <w:rPr>
                <w:rFonts w:hint="eastAsia" w:ascii="方正仿宋简体" w:hAnsi="方正仿宋简体" w:eastAsia="方正仿宋简体" w:cs="方正仿宋简体"/>
                <w:kern w:val="0"/>
                <w:sz w:val="24"/>
                <w:lang w:val="en-US" w:eastAsia="zh-CN"/>
              </w:rPr>
              <w:t>0</w:t>
            </w:r>
          </w:p>
        </w:tc>
        <w:tc>
          <w:tcPr>
            <w:tcW w:w="430"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kern w:val="0"/>
                <w:sz w:val="24"/>
              </w:rPr>
            </w:pPr>
            <w:r>
              <w:rPr>
                <w:rFonts w:hint="eastAsia" w:ascii="方正仿宋简体" w:hAnsi="方正仿宋简体" w:eastAsia="方正仿宋简体" w:cs="方正仿宋简体"/>
                <w:kern w:val="0"/>
                <w:sz w:val="24"/>
              </w:rPr>
              <w:t>2.0</w:t>
            </w:r>
          </w:p>
        </w:tc>
        <w:tc>
          <w:tcPr>
            <w:tcW w:w="848"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kern w:val="0"/>
                <w:sz w:val="24"/>
                <w:lang w:val="en-US" w:eastAsia="zh-CN"/>
              </w:rPr>
            </w:pPr>
            <w:r>
              <w:rPr>
                <w:rFonts w:hint="eastAsia" w:ascii="方正仿宋简体" w:hAnsi="方正仿宋简体" w:eastAsia="方正仿宋简体" w:cs="方正仿宋简体"/>
                <w:color w:val="000000"/>
                <w:kern w:val="0"/>
                <w:sz w:val="24"/>
              </w:rPr>
              <w:t>0.0</w:t>
            </w:r>
            <w:r>
              <w:rPr>
                <w:rFonts w:hint="eastAsia" w:ascii="方正仿宋简体" w:hAnsi="方正仿宋简体" w:eastAsia="方正仿宋简体" w:cs="方正仿宋简体"/>
                <w:color w:val="000000"/>
                <w:kern w:val="0"/>
                <w:sz w:val="24"/>
                <w:lang w:val="en-US" w:eastAsia="zh-CN"/>
              </w:rPr>
              <w:t>2</w:t>
            </w:r>
          </w:p>
        </w:tc>
        <w:tc>
          <w:tcPr>
            <w:tcW w:w="432"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color w:val="000000"/>
                <w:kern w:val="0"/>
                <w:sz w:val="24"/>
              </w:rPr>
            </w:pPr>
            <w:r>
              <w:rPr>
                <w:rFonts w:hint="eastAsia" w:ascii="方正仿宋简体" w:hAnsi="方正仿宋简体" w:eastAsia="方正仿宋简体" w:cs="方正仿宋简体"/>
                <w:color w:val="000000"/>
                <w:kern w:val="0"/>
                <w:sz w:val="24"/>
              </w:rPr>
              <w:t>2.0</w:t>
            </w:r>
          </w:p>
        </w:tc>
        <w:tc>
          <w:tcPr>
            <w:tcW w:w="872"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color w:val="000000"/>
                <w:kern w:val="0"/>
                <w:sz w:val="24"/>
                <w:lang w:val="en-US" w:eastAsia="zh-CN"/>
              </w:rPr>
            </w:pPr>
            <w:r>
              <w:rPr>
                <w:rFonts w:hint="eastAsia" w:ascii="方正仿宋简体" w:hAnsi="方正仿宋简体" w:eastAsia="方正仿宋简体" w:cs="方正仿宋简体"/>
                <w:color w:val="000000"/>
                <w:kern w:val="0"/>
                <w:sz w:val="24"/>
              </w:rPr>
              <w:t>0.0</w:t>
            </w:r>
            <w:r>
              <w:rPr>
                <w:rFonts w:hint="eastAsia" w:ascii="方正仿宋简体" w:hAnsi="方正仿宋简体" w:eastAsia="方正仿宋简体" w:cs="方正仿宋简体"/>
                <w:color w:val="000000"/>
                <w:kern w:val="0"/>
                <w:sz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rPr>
        <w:tc>
          <w:tcPr>
            <w:tcW w:w="422"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kern w:val="0"/>
                <w:sz w:val="24"/>
              </w:rPr>
            </w:pPr>
            <w:r>
              <w:rPr>
                <w:rFonts w:hint="eastAsia" w:ascii="方正仿宋简体" w:hAnsi="方正仿宋简体" w:eastAsia="方正仿宋简体" w:cs="方正仿宋简体"/>
                <w:kern w:val="0"/>
                <w:sz w:val="24"/>
              </w:rPr>
              <w:t>2</w:t>
            </w:r>
          </w:p>
        </w:tc>
        <w:tc>
          <w:tcPr>
            <w:tcW w:w="2021" w:type="dxa"/>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bCs/>
                <w:sz w:val="24"/>
              </w:rPr>
            </w:pPr>
            <w:r>
              <w:rPr>
                <w:rFonts w:hint="eastAsia" w:ascii="Times New Roman" w:hAnsi="Times New Roman"/>
                <w:bCs/>
                <w:sz w:val="24"/>
              </w:rPr>
              <w:t>无公害防治率</w:t>
            </w:r>
          </w:p>
        </w:tc>
        <w:tc>
          <w:tcPr>
            <w:tcW w:w="430"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kern w:val="0"/>
                <w:sz w:val="24"/>
              </w:rPr>
            </w:pPr>
            <w:r>
              <w:rPr>
                <w:rFonts w:hint="eastAsia" w:ascii="方正仿宋简体" w:hAnsi="方正仿宋简体" w:eastAsia="方正仿宋简体" w:cs="方正仿宋简体"/>
                <w:kern w:val="0"/>
                <w:sz w:val="24"/>
              </w:rPr>
              <w:t>87</w:t>
            </w:r>
          </w:p>
        </w:tc>
        <w:tc>
          <w:tcPr>
            <w:tcW w:w="844"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kern w:val="0"/>
                <w:sz w:val="24"/>
              </w:rPr>
            </w:pPr>
            <w:r>
              <w:rPr>
                <w:rFonts w:hint="eastAsia" w:ascii="方正仿宋简体" w:hAnsi="方正仿宋简体" w:eastAsia="方正仿宋简体" w:cs="方正仿宋简体"/>
                <w:kern w:val="0"/>
                <w:sz w:val="24"/>
              </w:rPr>
              <w:t>100</w:t>
            </w:r>
          </w:p>
        </w:tc>
        <w:tc>
          <w:tcPr>
            <w:tcW w:w="430"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kern w:val="0"/>
                <w:sz w:val="24"/>
              </w:rPr>
            </w:pPr>
            <w:r>
              <w:rPr>
                <w:rFonts w:hint="eastAsia" w:ascii="方正仿宋简体" w:hAnsi="方正仿宋简体" w:eastAsia="方正仿宋简体" w:cs="方正仿宋简体"/>
                <w:color w:val="000000"/>
                <w:kern w:val="0"/>
                <w:sz w:val="24"/>
              </w:rPr>
              <w:t>87</w:t>
            </w:r>
          </w:p>
        </w:tc>
        <w:tc>
          <w:tcPr>
            <w:tcW w:w="844"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color w:val="000000"/>
                <w:kern w:val="0"/>
                <w:sz w:val="24"/>
              </w:rPr>
            </w:pPr>
            <w:r>
              <w:rPr>
                <w:rFonts w:hint="eastAsia" w:ascii="方正仿宋简体" w:hAnsi="方正仿宋简体" w:eastAsia="方正仿宋简体" w:cs="方正仿宋简体"/>
                <w:color w:val="000000"/>
                <w:kern w:val="0"/>
                <w:sz w:val="24"/>
              </w:rPr>
              <w:t>92.81</w:t>
            </w:r>
          </w:p>
        </w:tc>
        <w:tc>
          <w:tcPr>
            <w:tcW w:w="430"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color w:val="000000"/>
                <w:kern w:val="0"/>
                <w:sz w:val="24"/>
              </w:rPr>
            </w:pPr>
            <w:r>
              <w:rPr>
                <w:rFonts w:hint="eastAsia" w:ascii="方正仿宋简体" w:hAnsi="方正仿宋简体" w:eastAsia="方正仿宋简体" w:cs="方正仿宋简体"/>
                <w:color w:val="000000"/>
                <w:kern w:val="0"/>
                <w:sz w:val="24"/>
              </w:rPr>
              <w:t>89</w:t>
            </w:r>
          </w:p>
        </w:tc>
        <w:tc>
          <w:tcPr>
            <w:tcW w:w="844"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kern w:val="0"/>
                <w:sz w:val="24"/>
                <w:lang w:val="en-US" w:eastAsia="zh-CN"/>
              </w:rPr>
            </w:pPr>
            <w:r>
              <w:rPr>
                <w:rFonts w:hint="eastAsia" w:ascii="方正仿宋简体" w:hAnsi="方正仿宋简体" w:eastAsia="方正仿宋简体" w:cs="方正仿宋简体"/>
                <w:kern w:val="0"/>
                <w:sz w:val="24"/>
              </w:rPr>
              <w:t>99.9</w:t>
            </w:r>
          </w:p>
        </w:tc>
        <w:tc>
          <w:tcPr>
            <w:tcW w:w="430"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kern w:val="0"/>
                <w:sz w:val="24"/>
              </w:rPr>
            </w:pPr>
            <w:r>
              <w:rPr>
                <w:rFonts w:hint="eastAsia" w:ascii="方正仿宋简体" w:hAnsi="方正仿宋简体" w:eastAsia="方正仿宋简体" w:cs="方正仿宋简体"/>
                <w:color w:val="000000"/>
                <w:kern w:val="0"/>
                <w:sz w:val="24"/>
              </w:rPr>
              <w:t>89</w:t>
            </w:r>
          </w:p>
        </w:tc>
        <w:tc>
          <w:tcPr>
            <w:tcW w:w="848"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kern w:val="0"/>
                <w:sz w:val="24"/>
                <w:lang w:val="en-US" w:eastAsia="zh-CN"/>
              </w:rPr>
            </w:pPr>
            <w:r>
              <w:rPr>
                <w:rFonts w:hint="eastAsia" w:ascii="方正仿宋简体" w:hAnsi="方正仿宋简体" w:eastAsia="方正仿宋简体" w:cs="方正仿宋简体"/>
                <w:kern w:val="0"/>
                <w:sz w:val="24"/>
                <w:lang w:val="en-US" w:eastAsia="zh-CN"/>
              </w:rPr>
              <w:t>100</w:t>
            </w:r>
          </w:p>
        </w:tc>
        <w:tc>
          <w:tcPr>
            <w:tcW w:w="432"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color w:val="000000"/>
                <w:kern w:val="0"/>
                <w:sz w:val="24"/>
              </w:rPr>
            </w:pPr>
            <w:r>
              <w:rPr>
                <w:rFonts w:hint="eastAsia" w:ascii="方正仿宋简体" w:hAnsi="方正仿宋简体" w:eastAsia="方正仿宋简体" w:cs="方正仿宋简体"/>
                <w:color w:val="000000"/>
                <w:kern w:val="0"/>
                <w:sz w:val="24"/>
              </w:rPr>
              <w:t>90</w:t>
            </w:r>
          </w:p>
        </w:tc>
        <w:tc>
          <w:tcPr>
            <w:tcW w:w="872"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color w:val="000000"/>
                <w:kern w:val="0"/>
                <w:sz w:val="24"/>
              </w:rPr>
            </w:pPr>
            <w:r>
              <w:rPr>
                <w:rFonts w:hint="eastAsia" w:ascii="方正仿宋简体" w:hAnsi="方正仿宋简体" w:eastAsia="方正仿宋简体" w:cs="方正仿宋简体"/>
                <w:color w:val="000000"/>
                <w:kern w:val="0"/>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exact"/>
        </w:trPr>
        <w:tc>
          <w:tcPr>
            <w:tcW w:w="422"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kern w:val="0"/>
                <w:sz w:val="24"/>
              </w:rPr>
            </w:pPr>
            <w:r>
              <w:rPr>
                <w:rFonts w:hint="eastAsia" w:ascii="方正仿宋简体" w:hAnsi="方正仿宋简体" w:eastAsia="方正仿宋简体" w:cs="方正仿宋简体"/>
                <w:kern w:val="0"/>
                <w:sz w:val="24"/>
              </w:rPr>
              <w:t>3</w:t>
            </w:r>
          </w:p>
        </w:tc>
        <w:tc>
          <w:tcPr>
            <w:tcW w:w="2021" w:type="dxa"/>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bCs/>
                <w:sz w:val="24"/>
              </w:rPr>
            </w:pPr>
            <w:r>
              <w:rPr>
                <w:rFonts w:hint="eastAsia" w:ascii="Times New Roman" w:hAnsi="Times New Roman"/>
                <w:bCs/>
                <w:sz w:val="24"/>
              </w:rPr>
              <w:t>种苗产地检疫率</w:t>
            </w:r>
          </w:p>
        </w:tc>
        <w:tc>
          <w:tcPr>
            <w:tcW w:w="430"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color w:val="000000"/>
                <w:kern w:val="0"/>
                <w:sz w:val="24"/>
              </w:rPr>
            </w:pPr>
            <w:r>
              <w:rPr>
                <w:rFonts w:hint="eastAsia" w:ascii="方正仿宋简体" w:hAnsi="方正仿宋简体" w:eastAsia="方正仿宋简体" w:cs="方正仿宋简体"/>
                <w:color w:val="000000"/>
                <w:kern w:val="0"/>
                <w:sz w:val="24"/>
              </w:rPr>
              <w:t>100</w:t>
            </w:r>
          </w:p>
        </w:tc>
        <w:tc>
          <w:tcPr>
            <w:tcW w:w="844"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color w:val="000000"/>
                <w:kern w:val="0"/>
                <w:sz w:val="24"/>
              </w:rPr>
            </w:pPr>
            <w:r>
              <w:rPr>
                <w:rFonts w:hint="eastAsia" w:ascii="方正仿宋简体" w:hAnsi="方正仿宋简体" w:eastAsia="方正仿宋简体" w:cs="方正仿宋简体"/>
                <w:color w:val="000000"/>
                <w:kern w:val="0"/>
                <w:sz w:val="24"/>
              </w:rPr>
              <w:t>100</w:t>
            </w:r>
          </w:p>
        </w:tc>
        <w:tc>
          <w:tcPr>
            <w:tcW w:w="430"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color w:val="000000"/>
                <w:kern w:val="0"/>
                <w:sz w:val="24"/>
              </w:rPr>
            </w:pPr>
            <w:r>
              <w:rPr>
                <w:rFonts w:hint="eastAsia" w:ascii="方正仿宋简体" w:hAnsi="方正仿宋简体" w:eastAsia="方正仿宋简体" w:cs="方正仿宋简体"/>
                <w:color w:val="000000"/>
                <w:kern w:val="0"/>
                <w:sz w:val="24"/>
              </w:rPr>
              <w:t>100</w:t>
            </w:r>
          </w:p>
        </w:tc>
        <w:tc>
          <w:tcPr>
            <w:tcW w:w="844"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color w:val="000000"/>
                <w:kern w:val="0"/>
                <w:sz w:val="24"/>
              </w:rPr>
            </w:pPr>
            <w:r>
              <w:rPr>
                <w:rFonts w:hint="eastAsia" w:ascii="方正仿宋简体" w:hAnsi="方正仿宋简体" w:eastAsia="方正仿宋简体" w:cs="方正仿宋简体"/>
                <w:color w:val="000000"/>
                <w:kern w:val="0"/>
                <w:sz w:val="24"/>
              </w:rPr>
              <w:t>100</w:t>
            </w:r>
          </w:p>
        </w:tc>
        <w:tc>
          <w:tcPr>
            <w:tcW w:w="430"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color w:val="000000"/>
                <w:kern w:val="0"/>
                <w:sz w:val="24"/>
              </w:rPr>
            </w:pPr>
            <w:r>
              <w:rPr>
                <w:rFonts w:hint="eastAsia" w:ascii="方正仿宋简体" w:hAnsi="方正仿宋简体" w:eastAsia="方正仿宋简体" w:cs="方正仿宋简体"/>
                <w:color w:val="000000"/>
                <w:kern w:val="0"/>
                <w:sz w:val="24"/>
              </w:rPr>
              <w:t>100</w:t>
            </w:r>
          </w:p>
        </w:tc>
        <w:tc>
          <w:tcPr>
            <w:tcW w:w="844"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color w:val="000000"/>
                <w:kern w:val="0"/>
                <w:sz w:val="24"/>
              </w:rPr>
            </w:pPr>
            <w:r>
              <w:rPr>
                <w:rFonts w:hint="eastAsia" w:ascii="方正仿宋简体" w:hAnsi="方正仿宋简体" w:eastAsia="方正仿宋简体" w:cs="方正仿宋简体"/>
                <w:color w:val="000000"/>
                <w:kern w:val="0"/>
                <w:sz w:val="24"/>
              </w:rPr>
              <w:t>100</w:t>
            </w:r>
          </w:p>
        </w:tc>
        <w:tc>
          <w:tcPr>
            <w:tcW w:w="430"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color w:val="000000"/>
                <w:kern w:val="0"/>
                <w:sz w:val="24"/>
              </w:rPr>
            </w:pPr>
            <w:r>
              <w:rPr>
                <w:rFonts w:hint="eastAsia" w:ascii="方正仿宋简体" w:hAnsi="方正仿宋简体" w:eastAsia="方正仿宋简体" w:cs="方正仿宋简体"/>
                <w:color w:val="000000"/>
                <w:kern w:val="0"/>
                <w:sz w:val="24"/>
              </w:rPr>
              <w:t>100</w:t>
            </w:r>
          </w:p>
        </w:tc>
        <w:tc>
          <w:tcPr>
            <w:tcW w:w="848"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color w:val="000000"/>
                <w:kern w:val="0"/>
                <w:sz w:val="24"/>
              </w:rPr>
            </w:pPr>
            <w:r>
              <w:rPr>
                <w:rFonts w:hint="eastAsia" w:ascii="方正仿宋简体" w:hAnsi="方正仿宋简体" w:eastAsia="方正仿宋简体" w:cs="方正仿宋简体"/>
                <w:color w:val="000000"/>
                <w:kern w:val="0"/>
                <w:sz w:val="24"/>
              </w:rPr>
              <w:t>100</w:t>
            </w:r>
          </w:p>
        </w:tc>
        <w:tc>
          <w:tcPr>
            <w:tcW w:w="432"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color w:val="000000"/>
                <w:kern w:val="0"/>
                <w:sz w:val="24"/>
              </w:rPr>
            </w:pPr>
            <w:r>
              <w:rPr>
                <w:rFonts w:hint="eastAsia" w:ascii="方正仿宋简体" w:hAnsi="方正仿宋简体" w:eastAsia="方正仿宋简体" w:cs="方正仿宋简体"/>
                <w:color w:val="000000"/>
                <w:kern w:val="0"/>
                <w:sz w:val="24"/>
              </w:rPr>
              <w:t>100</w:t>
            </w:r>
          </w:p>
        </w:tc>
        <w:tc>
          <w:tcPr>
            <w:tcW w:w="872" w:type="dxa"/>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color w:val="000000"/>
                <w:kern w:val="0"/>
                <w:sz w:val="24"/>
              </w:rPr>
            </w:pPr>
            <w:r>
              <w:rPr>
                <w:rFonts w:hint="eastAsia" w:ascii="方正仿宋简体" w:hAnsi="方正仿宋简体" w:eastAsia="方正仿宋简体" w:cs="方正仿宋简体"/>
                <w:color w:val="000000"/>
                <w:kern w:val="0"/>
                <w:sz w:val="24"/>
              </w:rPr>
              <w:t>100</w:t>
            </w:r>
          </w:p>
        </w:tc>
      </w:tr>
    </w:tbl>
    <w:p>
      <w:pPr>
        <w:pStyle w:val="6"/>
        <w:pageBreakBefore w:val="0"/>
        <w:kinsoku/>
        <w:overflowPunct/>
        <w:topLinePunct w:val="0"/>
        <w:autoSpaceDE/>
        <w:autoSpaceDN/>
        <w:bidi w:val="0"/>
        <w:spacing w:line="560" w:lineRule="exact"/>
        <w:rPr>
          <w:rFonts w:hint="eastAsia"/>
        </w:rPr>
      </w:pPr>
      <w:r>
        <w:rPr>
          <w:rFonts w:hint="eastAsia"/>
        </w:rPr>
        <w:t>（三）林业有害生物发生防治情况</w:t>
      </w:r>
    </w:p>
    <w:p>
      <w:pPr>
        <w:pageBreakBefore w:val="0"/>
        <w:kinsoku/>
        <w:overflowPunct/>
        <w:topLinePunct w:val="0"/>
        <w:autoSpaceDE/>
        <w:autoSpaceDN/>
        <w:bidi w:val="0"/>
        <w:spacing w:line="560" w:lineRule="exact"/>
        <w:ind w:firstLine="560"/>
      </w:pPr>
      <w:r>
        <w:rPr>
          <w:rFonts w:hint="eastAsia"/>
        </w:rPr>
        <w:t>“十三五”期间，济宁市构建了以县、乡级林业有害生物防控专业队伍为骨干，以村级防控队伍为主体，统筹规划、资源共享、突出重点、分级管理、群防群治、整体推进的防控减灾体系。合理布局药剂药械库，采用飞机防治、地面药械防治、灯光诱杀、人工物理防治等综合防治措施，切实提高全市林业有害生物防控成效。</w:t>
      </w:r>
    </w:p>
    <w:tbl>
      <w:tblPr>
        <w:tblStyle w:val="21"/>
        <w:tblW w:w="9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
        <w:gridCol w:w="1561"/>
        <w:gridCol w:w="1561"/>
        <w:gridCol w:w="1397"/>
        <w:gridCol w:w="1243"/>
        <w:gridCol w:w="2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trPr>
        <w:tc>
          <w:tcPr>
            <w:tcW w:w="9057" w:type="dxa"/>
            <w:gridSpan w:val="6"/>
            <w:tcBorders>
              <w:top w:val="nil"/>
              <w:left w:val="nil"/>
              <w:bottom w:val="single" w:color="auto" w:sz="4" w:space="0"/>
              <w:right w:val="nil"/>
            </w:tcBorders>
            <w:noWrap w:val="0"/>
            <w:vAlign w:val="center"/>
          </w:tcPr>
          <w:p>
            <w:pPr>
              <w:pageBreakBefore w:val="0"/>
              <w:kinsoku/>
              <w:overflowPunct/>
              <w:topLinePunct w:val="0"/>
              <w:autoSpaceDE/>
              <w:autoSpaceDN/>
              <w:bidi w:val="0"/>
              <w:spacing w:line="560" w:lineRule="exact"/>
              <w:ind w:left="0" w:leftChars="0" w:firstLine="0" w:firstLineChars="0"/>
              <w:jc w:val="center"/>
              <w:rPr>
                <w:rFonts w:hint="eastAsia" w:ascii="Times New Roman" w:hAnsi="Times New Roman"/>
                <w:b/>
              </w:rPr>
            </w:pPr>
            <w:r>
              <w:rPr>
                <w:rFonts w:hint="eastAsia" w:ascii="Times New Roman" w:hAnsi="Times New Roman" w:cs="Times New Roman"/>
                <w:b/>
                <w:sz w:val="28"/>
                <w:szCs w:val="28"/>
              </w:rPr>
              <w:t>表</w:t>
            </w:r>
            <w:r>
              <w:rPr>
                <w:rFonts w:hint="eastAsia" w:ascii="方正仿宋简体" w:hAnsi="方正仿宋简体" w:eastAsia="方正仿宋简体" w:cs="方正仿宋简体"/>
                <w:b/>
                <w:sz w:val="28"/>
                <w:szCs w:val="28"/>
              </w:rPr>
              <w:t>2.3-2</w:t>
            </w:r>
            <w:r>
              <w:rPr>
                <w:rFonts w:hint="eastAsia" w:ascii="Times New Roman" w:hAnsi="Times New Roman" w:cs="Times New Roman"/>
                <w:b/>
                <w:sz w:val="28"/>
                <w:szCs w:val="28"/>
              </w:rPr>
              <w:t>“十三五”</w:t>
            </w:r>
            <w:r>
              <w:rPr>
                <w:rFonts w:hint="eastAsia" w:ascii="Times New Roman" w:hAnsi="Times New Roman" w:cs="Times New Roman"/>
                <w:b/>
                <w:sz w:val="28"/>
                <w:szCs w:val="28"/>
                <w:lang w:val="en-US" w:eastAsia="zh-CN"/>
              </w:rPr>
              <w:t>济宁市</w:t>
            </w:r>
            <w:r>
              <w:rPr>
                <w:rFonts w:hint="eastAsia" w:ascii="Times New Roman" w:hAnsi="Times New Roman" w:cs="Times New Roman"/>
                <w:b/>
                <w:sz w:val="28"/>
                <w:szCs w:val="28"/>
              </w:rPr>
              <w:t>林业有害生物发生防治情况汇总表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trPr>
        <w:tc>
          <w:tcPr>
            <w:tcW w:w="991" w:type="dxa"/>
            <w:vMerge w:val="restart"/>
            <w:tcBorders>
              <w:top w:val="single" w:color="auto" w:sz="4" w:space="0"/>
              <w:bottom w:val="single" w:color="auto" w:sz="4" w:space="0"/>
            </w:tcBorders>
            <w:noWrap w:val="0"/>
            <w:vAlign w:val="center"/>
          </w:tcPr>
          <w:p>
            <w:pPr>
              <w:pageBreakBefore w:val="0"/>
              <w:kinsoku/>
              <w:overflowPunct/>
              <w:topLinePunct w:val="0"/>
              <w:autoSpaceDE/>
              <w:autoSpaceDN/>
              <w:bidi w:val="0"/>
              <w:spacing w:after="0" w:line="560" w:lineRule="exact"/>
              <w:ind w:left="0" w:leftChars="0" w:firstLine="0" w:firstLineChars="0"/>
              <w:jc w:val="center"/>
              <w:rPr>
                <w:rFonts w:hint="eastAsia" w:ascii="Times New Roman" w:hAnsi="Times New Roman" w:eastAsia="黑体"/>
                <w:b/>
                <w:bCs w:val="0"/>
                <w:sz w:val="24"/>
                <w:szCs w:val="21"/>
              </w:rPr>
            </w:pPr>
            <w:r>
              <w:rPr>
                <w:rFonts w:hint="eastAsia" w:ascii="Times New Roman" w:hAnsi="Times New Roman" w:eastAsia="黑体"/>
                <w:b/>
                <w:bCs w:val="0"/>
                <w:sz w:val="24"/>
                <w:szCs w:val="21"/>
              </w:rPr>
              <w:t>时间</w:t>
            </w:r>
          </w:p>
        </w:tc>
        <w:tc>
          <w:tcPr>
            <w:tcW w:w="5762" w:type="dxa"/>
            <w:gridSpan w:val="4"/>
            <w:tcBorders>
              <w:top w:val="single" w:color="auto" w:sz="4" w:space="0"/>
              <w:bottom w:val="single" w:color="auto" w:sz="4" w:space="0"/>
            </w:tcBorders>
            <w:noWrap w:val="0"/>
            <w:vAlign w:val="center"/>
          </w:tcPr>
          <w:p>
            <w:pPr>
              <w:pageBreakBefore w:val="0"/>
              <w:kinsoku/>
              <w:overflowPunct/>
              <w:topLinePunct w:val="0"/>
              <w:autoSpaceDE/>
              <w:autoSpaceDN/>
              <w:bidi w:val="0"/>
              <w:spacing w:after="0" w:line="560" w:lineRule="exact"/>
              <w:ind w:left="0" w:leftChars="0" w:firstLine="0" w:firstLineChars="0"/>
              <w:jc w:val="center"/>
              <w:rPr>
                <w:rFonts w:ascii="Times New Roman" w:hAnsi="Times New Roman" w:eastAsia="黑体"/>
                <w:b/>
                <w:bCs w:val="0"/>
                <w:sz w:val="24"/>
                <w:szCs w:val="21"/>
              </w:rPr>
            </w:pPr>
            <w:r>
              <w:rPr>
                <w:rFonts w:hint="eastAsia" w:ascii="Times New Roman" w:hAnsi="Times New Roman" w:eastAsia="黑体"/>
                <w:b/>
                <w:bCs w:val="0"/>
                <w:sz w:val="24"/>
                <w:szCs w:val="21"/>
              </w:rPr>
              <w:t>发生面积（hm</w:t>
            </w:r>
            <w:r>
              <w:rPr>
                <w:rFonts w:hint="eastAsia" w:ascii="Times New Roman" w:hAnsi="Times New Roman" w:eastAsia="黑体"/>
                <w:b/>
                <w:bCs w:val="0"/>
                <w:sz w:val="24"/>
                <w:szCs w:val="21"/>
                <w:vertAlign w:val="superscript"/>
              </w:rPr>
              <w:t>2</w:t>
            </w:r>
            <w:r>
              <w:rPr>
                <w:rFonts w:hint="eastAsia" w:ascii="Times New Roman" w:hAnsi="Times New Roman" w:eastAsia="黑体"/>
                <w:b/>
                <w:bCs w:val="0"/>
                <w:sz w:val="24"/>
                <w:szCs w:val="21"/>
              </w:rPr>
              <w:t>）</w:t>
            </w:r>
          </w:p>
        </w:tc>
        <w:tc>
          <w:tcPr>
            <w:tcW w:w="2304" w:type="dxa"/>
            <w:vMerge w:val="restart"/>
            <w:tcBorders>
              <w:top w:val="single" w:color="auto" w:sz="4" w:space="0"/>
              <w:bottom w:val="single" w:color="auto" w:sz="4" w:space="0"/>
            </w:tcBorders>
            <w:noWrap w:val="0"/>
            <w:vAlign w:val="center"/>
          </w:tcPr>
          <w:p>
            <w:pPr>
              <w:pageBreakBefore w:val="0"/>
              <w:kinsoku/>
              <w:overflowPunct/>
              <w:topLinePunct w:val="0"/>
              <w:autoSpaceDE/>
              <w:autoSpaceDN/>
              <w:bidi w:val="0"/>
              <w:spacing w:after="0" w:line="560" w:lineRule="exact"/>
              <w:ind w:left="0" w:leftChars="0" w:firstLine="0" w:firstLineChars="0"/>
              <w:jc w:val="center"/>
              <w:rPr>
                <w:rFonts w:ascii="Times New Roman" w:hAnsi="Times New Roman" w:eastAsia="黑体"/>
                <w:b/>
                <w:bCs w:val="0"/>
                <w:szCs w:val="24"/>
              </w:rPr>
            </w:pPr>
            <w:r>
              <w:rPr>
                <w:rFonts w:hint="eastAsia" w:ascii="Times New Roman" w:hAnsi="Times New Roman" w:eastAsia="黑体"/>
                <w:b/>
                <w:bCs w:val="0"/>
                <w:sz w:val="24"/>
                <w:szCs w:val="21"/>
              </w:rPr>
              <w:t>防治面积（hm</w:t>
            </w:r>
            <w:r>
              <w:rPr>
                <w:rFonts w:hint="eastAsia" w:ascii="Times New Roman" w:hAnsi="Times New Roman" w:eastAsia="黑体"/>
                <w:b/>
                <w:bCs w:val="0"/>
                <w:sz w:val="24"/>
                <w:szCs w:val="21"/>
                <w:vertAlign w:val="superscript"/>
              </w:rPr>
              <w:t>2</w:t>
            </w:r>
            <w:r>
              <w:rPr>
                <w:rFonts w:hint="eastAsia" w:ascii="Times New Roman" w:hAnsi="Times New Roman" w:eastAsia="黑体"/>
                <w:b/>
                <w:bCs w:val="0"/>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trPr>
        <w:tc>
          <w:tcPr>
            <w:tcW w:w="991" w:type="dxa"/>
            <w:vMerge w:val="continue"/>
            <w:tcBorders>
              <w:top w:val="single" w:color="auto" w:sz="4" w:space="0"/>
            </w:tcBorders>
            <w:noWrap w:val="0"/>
            <w:vAlign w:val="center"/>
          </w:tcPr>
          <w:p>
            <w:pPr>
              <w:pageBreakBefore w:val="0"/>
              <w:kinsoku/>
              <w:overflowPunct/>
              <w:topLinePunct w:val="0"/>
              <w:autoSpaceDE/>
              <w:autoSpaceDN/>
              <w:bidi w:val="0"/>
              <w:spacing w:after="0" w:line="560" w:lineRule="exact"/>
              <w:ind w:left="0" w:leftChars="0" w:firstLine="0" w:firstLineChars="0"/>
              <w:jc w:val="center"/>
              <w:rPr>
                <w:rFonts w:hint="eastAsia" w:ascii="Times New Roman" w:hAnsi="Times New Roman" w:eastAsia="仿宋"/>
                <w:b/>
                <w:bCs w:val="0"/>
                <w:sz w:val="24"/>
                <w:szCs w:val="21"/>
              </w:rPr>
            </w:pPr>
          </w:p>
        </w:tc>
        <w:tc>
          <w:tcPr>
            <w:tcW w:w="1561" w:type="dxa"/>
            <w:tcBorders>
              <w:top w:val="single" w:color="auto" w:sz="4" w:space="0"/>
            </w:tcBorders>
            <w:noWrap w:val="0"/>
            <w:vAlign w:val="center"/>
          </w:tcPr>
          <w:p>
            <w:pPr>
              <w:pageBreakBefore w:val="0"/>
              <w:kinsoku/>
              <w:overflowPunct/>
              <w:topLinePunct w:val="0"/>
              <w:autoSpaceDE/>
              <w:autoSpaceDN/>
              <w:bidi w:val="0"/>
              <w:spacing w:after="0" w:line="560" w:lineRule="exact"/>
              <w:ind w:left="0" w:leftChars="0" w:firstLine="0" w:firstLineChars="0"/>
              <w:jc w:val="center"/>
              <w:rPr>
                <w:rFonts w:hint="eastAsia" w:ascii="Times New Roman" w:hAnsi="Times New Roman" w:eastAsia="黑体" w:cs="黑体"/>
                <w:b/>
                <w:bCs w:val="0"/>
                <w:sz w:val="24"/>
                <w:szCs w:val="21"/>
              </w:rPr>
            </w:pPr>
            <w:r>
              <w:rPr>
                <w:rFonts w:hint="eastAsia" w:ascii="Times New Roman" w:hAnsi="Times New Roman" w:eastAsia="黑体" w:cs="黑体"/>
                <w:b/>
                <w:bCs w:val="0"/>
                <w:sz w:val="24"/>
                <w:szCs w:val="21"/>
              </w:rPr>
              <w:t>合计</w:t>
            </w:r>
          </w:p>
        </w:tc>
        <w:tc>
          <w:tcPr>
            <w:tcW w:w="1561" w:type="dxa"/>
            <w:tcBorders>
              <w:top w:val="single" w:color="auto" w:sz="4" w:space="0"/>
            </w:tcBorders>
            <w:noWrap w:val="0"/>
            <w:vAlign w:val="center"/>
          </w:tcPr>
          <w:p>
            <w:pPr>
              <w:pageBreakBefore w:val="0"/>
              <w:kinsoku/>
              <w:overflowPunct/>
              <w:topLinePunct w:val="0"/>
              <w:autoSpaceDE/>
              <w:autoSpaceDN/>
              <w:bidi w:val="0"/>
              <w:spacing w:after="0" w:line="560" w:lineRule="exact"/>
              <w:ind w:left="0" w:leftChars="0" w:firstLine="0" w:firstLineChars="0"/>
              <w:jc w:val="center"/>
              <w:rPr>
                <w:rFonts w:hint="eastAsia" w:ascii="Times New Roman" w:hAnsi="Times New Roman" w:eastAsia="黑体" w:cs="黑体"/>
                <w:b/>
                <w:bCs w:val="0"/>
                <w:sz w:val="24"/>
                <w:szCs w:val="21"/>
              </w:rPr>
            </w:pPr>
            <w:r>
              <w:rPr>
                <w:rFonts w:hint="eastAsia" w:ascii="Times New Roman" w:hAnsi="Times New Roman" w:eastAsia="黑体" w:cs="黑体"/>
                <w:b/>
                <w:bCs w:val="0"/>
                <w:sz w:val="24"/>
                <w:szCs w:val="21"/>
              </w:rPr>
              <w:t>轻度</w:t>
            </w:r>
          </w:p>
        </w:tc>
        <w:tc>
          <w:tcPr>
            <w:tcW w:w="1397" w:type="dxa"/>
            <w:tcBorders>
              <w:top w:val="single" w:color="auto" w:sz="4" w:space="0"/>
            </w:tcBorders>
            <w:noWrap w:val="0"/>
            <w:vAlign w:val="center"/>
          </w:tcPr>
          <w:p>
            <w:pPr>
              <w:pageBreakBefore w:val="0"/>
              <w:kinsoku/>
              <w:overflowPunct/>
              <w:topLinePunct w:val="0"/>
              <w:autoSpaceDE/>
              <w:autoSpaceDN/>
              <w:bidi w:val="0"/>
              <w:spacing w:after="0" w:line="560" w:lineRule="exact"/>
              <w:ind w:left="0" w:leftChars="0" w:firstLine="0" w:firstLineChars="0"/>
              <w:jc w:val="center"/>
              <w:rPr>
                <w:rFonts w:hint="eastAsia" w:ascii="Times New Roman" w:hAnsi="Times New Roman" w:eastAsia="黑体" w:cs="黑体"/>
                <w:b/>
                <w:bCs w:val="0"/>
                <w:sz w:val="24"/>
                <w:szCs w:val="21"/>
              </w:rPr>
            </w:pPr>
            <w:r>
              <w:rPr>
                <w:rFonts w:hint="eastAsia" w:ascii="Times New Roman" w:hAnsi="Times New Roman" w:eastAsia="黑体" w:cs="黑体"/>
                <w:b/>
                <w:bCs w:val="0"/>
                <w:sz w:val="24"/>
                <w:szCs w:val="21"/>
              </w:rPr>
              <w:t>中度</w:t>
            </w:r>
          </w:p>
        </w:tc>
        <w:tc>
          <w:tcPr>
            <w:tcW w:w="1243" w:type="dxa"/>
            <w:tcBorders>
              <w:top w:val="single" w:color="auto" w:sz="4" w:space="0"/>
            </w:tcBorders>
            <w:noWrap w:val="0"/>
            <w:vAlign w:val="center"/>
          </w:tcPr>
          <w:p>
            <w:pPr>
              <w:pageBreakBefore w:val="0"/>
              <w:kinsoku/>
              <w:overflowPunct/>
              <w:topLinePunct w:val="0"/>
              <w:autoSpaceDE/>
              <w:autoSpaceDN/>
              <w:bidi w:val="0"/>
              <w:spacing w:after="0" w:line="560" w:lineRule="exact"/>
              <w:ind w:left="0" w:leftChars="0" w:firstLine="0" w:firstLineChars="0"/>
              <w:jc w:val="center"/>
              <w:rPr>
                <w:rFonts w:hint="eastAsia" w:ascii="Times New Roman" w:hAnsi="Times New Roman" w:eastAsia="黑体" w:cs="黑体"/>
                <w:b/>
                <w:bCs w:val="0"/>
                <w:sz w:val="24"/>
                <w:szCs w:val="21"/>
              </w:rPr>
            </w:pPr>
            <w:r>
              <w:rPr>
                <w:rFonts w:hint="eastAsia" w:ascii="Times New Roman" w:hAnsi="Times New Roman" w:eastAsia="黑体" w:cs="黑体"/>
                <w:b/>
                <w:bCs w:val="0"/>
                <w:sz w:val="24"/>
                <w:szCs w:val="21"/>
              </w:rPr>
              <w:t>重度</w:t>
            </w:r>
          </w:p>
        </w:tc>
        <w:tc>
          <w:tcPr>
            <w:tcW w:w="2304" w:type="dxa"/>
            <w:vMerge w:val="continue"/>
            <w:tcBorders>
              <w:top w:val="single" w:color="auto" w:sz="4" w:space="0"/>
            </w:tcBorders>
            <w:noWrap w:val="0"/>
            <w:vAlign w:val="center"/>
          </w:tcPr>
          <w:p>
            <w:pPr>
              <w:pageBreakBefore w:val="0"/>
              <w:kinsoku/>
              <w:overflowPunct/>
              <w:topLinePunct w:val="0"/>
              <w:autoSpaceDE/>
              <w:autoSpaceDN/>
              <w:bidi w:val="0"/>
              <w:spacing w:after="0" w:line="560" w:lineRule="exact"/>
              <w:ind w:left="0" w:leftChars="0" w:firstLine="0" w:firstLineChars="0"/>
              <w:jc w:val="center"/>
              <w:rPr>
                <w:rFonts w:hint="eastAsia" w:ascii="Times New Roman" w:hAnsi="Times New Roman" w:eastAsia="仿宋"/>
                <w:b/>
                <w:bCs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991" w:type="dxa"/>
            <w:noWrap w:val="0"/>
            <w:vAlign w:val="center"/>
          </w:tcPr>
          <w:p>
            <w:pPr>
              <w:pageBreakBefore w:val="0"/>
              <w:kinsoku/>
              <w:overflowPunct/>
              <w:topLinePunct w:val="0"/>
              <w:autoSpaceDE/>
              <w:autoSpaceDN/>
              <w:bidi w:val="0"/>
              <w:spacing w:after="0" w:line="560" w:lineRule="exact"/>
              <w:ind w:left="0" w:leftChars="0" w:firstLine="0" w:firstLineChars="0"/>
              <w:jc w:val="center"/>
              <w:rPr>
                <w:rFonts w:hint="eastAsia" w:ascii="方正仿宋简体" w:hAnsi="方正仿宋简体" w:eastAsia="方正仿宋简体" w:cs="方正仿宋简体"/>
                <w:sz w:val="28"/>
                <w:szCs w:val="22"/>
              </w:rPr>
            </w:pPr>
            <w:r>
              <w:rPr>
                <w:rFonts w:hint="eastAsia" w:ascii="方正仿宋简体" w:hAnsi="方正仿宋简体" w:eastAsia="方正仿宋简体" w:cs="方正仿宋简体"/>
                <w:sz w:val="28"/>
                <w:szCs w:val="22"/>
              </w:rPr>
              <w:t>2016</w:t>
            </w:r>
          </w:p>
        </w:tc>
        <w:tc>
          <w:tcPr>
            <w:tcW w:w="1561"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17426.67</w:t>
            </w:r>
          </w:p>
        </w:tc>
        <w:tc>
          <w:tcPr>
            <w:tcW w:w="1561"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16100.00</w:t>
            </w:r>
          </w:p>
        </w:tc>
        <w:tc>
          <w:tcPr>
            <w:tcW w:w="1397"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993.33</w:t>
            </w:r>
          </w:p>
        </w:tc>
        <w:tc>
          <w:tcPr>
            <w:tcW w:w="1243"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360.00</w:t>
            </w:r>
          </w:p>
        </w:tc>
        <w:tc>
          <w:tcPr>
            <w:tcW w:w="2304"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sz w:val="24"/>
              </w:rPr>
            </w:pPr>
            <w:r>
              <w:rPr>
                <w:rFonts w:hint="eastAsia" w:ascii="方正仿宋简体" w:hAnsi="方正仿宋简体" w:eastAsia="方正仿宋简体" w:cs="方正仿宋简体"/>
                <w:color w:val="000000"/>
                <w:kern w:val="0"/>
                <w:sz w:val="24"/>
                <w:lang w:bidi="ar"/>
              </w:rPr>
              <w:t>17426.67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991" w:type="dxa"/>
            <w:noWrap w:val="0"/>
            <w:vAlign w:val="center"/>
          </w:tcPr>
          <w:p>
            <w:pPr>
              <w:pageBreakBefore w:val="0"/>
              <w:kinsoku/>
              <w:overflowPunct/>
              <w:topLinePunct w:val="0"/>
              <w:autoSpaceDE/>
              <w:autoSpaceDN/>
              <w:bidi w:val="0"/>
              <w:spacing w:after="0" w:line="560" w:lineRule="exact"/>
              <w:ind w:left="0" w:leftChars="0" w:firstLine="0" w:firstLineChars="0"/>
              <w:jc w:val="center"/>
              <w:rPr>
                <w:rFonts w:hint="eastAsia" w:ascii="方正仿宋简体" w:hAnsi="方正仿宋简体" w:eastAsia="方正仿宋简体" w:cs="方正仿宋简体"/>
                <w:sz w:val="28"/>
                <w:szCs w:val="22"/>
              </w:rPr>
            </w:pPr>
            <w:r>
              <w:rPr>
                <w:rFonts w:hint="eastAsia" w:ascii="方正仿宋简体" w:hAnsi="方正仿宋简体" w:eastAsia="方正仿宋简体" w:cs="方正仿宋简体"/>
                <w:sz w:val="28"/>
                <w:szCs w:val="22"/>
              </w:rPr>
              <w:t>2017</w:t>
            </w:r>
          </w:p>
        </w:tc>
        <w:tc>
          <w:tcPr>
            <w:tcW w:w="1561"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16248.53</w:t>
            </w:r>
          </w:p>
        </w:tc>
        <w:tc>
          <w:tcPr>
            <w:tcW w:w="1561"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15190.20</w:t>
            </w:r>
          </w:p>
        </w:tc>
        <w:tc>
          <w:tcPr>
            <w:tcW w:w="1397"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938.00</w:t>
            </w:r>
          </w:p>
        </w:tc>
        <w:tc>
          <w:tcPr>
            <w:tcW w:w="1243"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120.33</w:t>
            </w:r>
          </w:p>
        </w:tc>
        <w:tc>
          <w:tcPr>
            <w:tcW w:w="2304"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16248.53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991" w:type="dxa"/>
            <w:noWrap w:val="0"/>
            <w:vAlign w:val="center"/>
          </w:tcPr>
          <w:p>
            <w:pPr>
              <w:pageBreakBefore w:val="0"/>
              <w:kinsoku/>
              <w:overflowPunct/>
              <w:topLinePunct w:val="0"/>
              <w:autoSpaceDE/>
              <w:autoSpaceDN/>
              <w:bidi w:val="0"/>
              <w:spacing w:after="0" w:line="560" w:lineRule="exact"/>
              <w:ind w:left="0" w:leftChars="0" w:firstLine="0" w:firstLineChars="0"/>
              <w:jc w:val="center"/>
              <w:rPr>
                <w:rFonts w:hint="eastAsia" w:ascii="方正仿宋简体" w:hAnsi="方正仿宋简体" w:eastAsia="方正仿宋简体" w:cs="方正仿宋简体"/>
                <w:sz w:val="28"/>
                <w:szCs w:val="22"/>
              </w:rPr>
            </w:pPr>
            <w:r>
              <w:rPr>
                <w:rFonts w:hint="eastAsia" w:ascii="方正仿宋简体" w:hAnsi="方正仿宋简体" w:eastAsia="方正仿宋简体" w:cs="方正仿宋简体"/>
                <w:sz w:val="28"/>
                <w:szCs w:val="22"/>
              </w:rPr>
              <w:t>2018</w:t>
            </w:r>
          </w:p>
        </w:tc>
        <w:tc>
          <w:tcPr>
            <w:tcW w:w="1561"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16725.67</w:t>
            </w:r>
          </w:p>
        </w:tc>
        <w:tc>
          <w:tcPr>
            <w:tcW w:w="1561"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16341.67</w:t>
            </w:r>
          </w:p>
        </w:tc>
        <w:tc>
          <w:tcPr>
            <w:tcW w:w="1397"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372.00</w:t>
            </w:r>
          </w:p>
        </w:tc>
        <w:tc>
          <w:tcPr>
            <w:tcW w:w="1243"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12.00</w:t>
            </w:r>
          </w:p>
        </w:tc>
        <w:tc>
          <w:tcPr>
            <w:tcW w:w="2304"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16725.67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991" w:type="dxa"/>
            <w:noWrap w:val="0"/>
            <w:vAlign w:val="center"/>
          </w:tcPr>
          <w:p>
            <w:pPr>
              <w:pageBreakBefore w:val="0"/>
              <w:kinsoku/>
              <w:overflowPunct/>
              <w:topLinePunct w:val="0"/>
              <w:autoSpaceDE/>
              <w:autoSpaceDN/>
              <w:bidi w:val="0"/>
              <w:spacing w:after="0" w:line="560" w:lineRule="exact"/>
              <w:ind w:left="0" w:leftChars="0" w:firstLine="0" w:firstLineChars="0"/>
              <w:jc w:val="center"/>
              <w:rPr>
                <w:rFonts w:hint="eastAsia" w:ascii="方正仿宋简体" w:hAnsi="方正仿宋简体" w:eastAsia="方正仿宋简体" w:cs="方正仿宋简体"/>
                <w:sz w:val="28"/>
                <w:szCs w:val="22"/>
              </w:rPr>
            </w:pPr>
            <w:r>
              <w:rPr>
                <w:rFonts w:hint="eastAsia" w:ascii="方正仿宋简体" w:hAnsi="方正仿宋简体" w:eastAsia="方正仿宋简体" w:cs="方正仿宋简体"/>
                <w:sz w:val="28"/>
                <w:szCs w:val="22"/>
              </w:rPr>
              <w:t>2019</w:t>
            </w:r>
          </w:p>
        </w:tc>
        <w:tc>
          <w:tcPr>
            <w:tcW w:w="1561"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12604.53</w:t>
            </w:r>
          </w:p>
        </w:tc>
        <w:tc>
          <w:tcPr>
            <w:tcW w:w="1561"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12089.20</w:t>
            </w:r>
          </w:p>
        </w:tc>
        <w:tc>
          <w:tcPr>
            <w:tcW w:w="1397"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495.33</w:t>
            </w:r>
          </w:p>
        </w:tc>
        <w:tc>
          <w:tcPr>
            <w:tcW w:w="1243"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20.00</w:t>
            </w:r>
          </w:p>
        </w:tc>
        <w:tc>
          <w:tcPr>
            <w:tcW w:w="2304"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12597.87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991" w:type="dxa"/>
            <w:noWrap w:val="0"/>
            <w:vAlign w:val="center"/>
          </w:tcPr>
          <w:p>
            <w:pPr>
              <w:pageBreakBefore w:val="0"/>
              <w:kinsoku/>
              <w:overflowPunct/>
              <w:topLinePunct w:val="0"/>
              <w:autoSpaceDE/>
              <w:autoSpaceDN/>
              <w:bidi w:val="0"/>
              <w:spacing w:after="0" w:line="560" w:lineRule="exact"/>
              <w:ind w:left="0" w:leftChars="0" w:firstLine="0" w:firstLineChars="0"/>
              <w:jc w:val="center"/>
              <w:rPr>
                <w:rFonts w:hint="eastAsia" w:ascii="方正仿宋简体" w:hAnsi="方正仿宋简体" w:eastAsia="方正仿宋简体" w:cs="方正仿宋简体"/>
                <w:sz w:val="28"/>
                <w:szCs w:val="22"/>
              </w:rPr>
            </w:pPr>
            <w:r>
              <w:rPr>
                <w:rFonts w:hint="eastAsia" w:ascii="方正仿宋简体" w:hAnsi="方正仿宋简体" w:eastAsia="方正仿宋简体" w:cs="方正仿宋简体"/>
                <w:sz w:val="28"/>
                <w:szCs w:val="22"/>
              </w:rPr>
              <w:t>2020</w:t>
            </w:r>
          </w:p>
        </w:tc>
        <w:tc>
          <w:tcPr>
            <w:tcW w:w="1561" w:type="dxa"/>
            <w:tcBorders>
              <w:bottom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16592.93</w:t>
            </w:r>
          </w:p>
        </w:tc>
        <w:tc>
          <w:tcPr>
            <w:tcW w:w="1561" w:type="dxa"/>
            <w:tcBorders>
              <w:bottom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16132.93</w:t>
            </w:r>
          </w:p>
        </w:tc>
        <w:tc>
          <w:tcPr>
            <w:tcW w:w="1397" w:type="dxa"/>
            <w:tcBorders>
              <w:bottom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460.00</w:t>
            </w:r>
          </w:p>
        </w:tc>
        <w:tc>
          <w:tcPr>
            <w:tcW w:w="1243" w:type="dxa"/>
            <w:tcBorders>
              <w:bottom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default" w:ascii="方正仿宋简体" w:hAnsi="方正仿宋简体" w:eastAsia="方正仿宋简体" w:cs="方正仿宋简体"/>
                <w:color w:val="000000"/>
                <w:kern w:val="0"/>
                <w:sz w:val="24"/>
                <w:lang w:val="en-US" w:eastAsia="zh-CN" w:bidi="ar"/>
              </w:rPr>
            </w:pPr>
            <w:r>
              <w:rPr>
                <w:rFonts w:hint="eastAsia" w:ascii="方正仿宋简体" w:hAnsi="方正仿宋简体" w:eastAsia="方正仿宋简体" w:cs="方正仿宋简体"/>
                <w:color w:val="000000"/>
                <w:kern w:val="0"/>
                <w:sz w:val="24"/>
                <w:lang w:bidi="ar"/>
              </w:rPr>
              <w:t>0</w:t>
            </w:r>
            <w:r>
              <w:rPr>
                <w:rFonts w:hint="eastAsia" w:ascii="方正仿宋简体" w:hAnsi="方正仿宋简体" w:eastAsia="方正仿宋简体" w:cs="方正仿宋简体"/>
                <w:color w:val="000000"/>
                <w:kern w:val="0"/>
                <w:sz w:val="24"/>
                <w:lang w:val="en-US" w:eastAsia="zh-CN" w:bidi="ar"/>
              </w:rPr>
              <w:t>.00</w:t>
            </w:r>
          </w:p>
        </w:tc>
        <w:tc>
          <w:tcPr>
            <w:tcW w:w="2304" w:type="dxa"/>
            <w:tcBorders>
              <w:bottom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16592.93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991" w:type="dxa"/>
            <w:tcBorders>
              <w:right w:val="single" w:color="auto" w:sz="4" w:space="0"/>
            </w:tcBorders>
            <w:noWrap w:val="0"/>
            <w:vAlign w:val="center"/>
          </w:tcPr>
          <w:p>
            <w:pPr>
              <w:pageBreakBefore w:val="0"/>
              <w:kinsoku/>
              <w:overflowPunct/>
              <w:topLinePunct w:val="0"/>
              <w:autoSpaceDE/>
              <w:autoSpaceDN/>
              <w:bidi w:val="0"/>
              <w:spacing w:after="0" w:line="560" w:lineRule="exact"/>
              <w:ind w:left="0" w:leftChars="0" w:firstLine="0" w:firstLineChars="0"/>
              <w:jc w:val="center"/>
              <w:rPr>
                <w:rFonts w:hint="eastAsia" w:ascii="方正仿宋简体" w:hAnsi="方正仿宋简体" w:eastAsia="方正仿宋简体" w:cs="方正仿宋简体"/>
                <w:szCs w:val="24"/>
              </w:rPr>
            </w:pPr>
            <w:r>
              <w:rPr>
                <w:rFonts w:hint="eastAsia" w:ascii="方正仿宋简体" w:hAnsi="方正仿宋简体" w:eastAsia="方正仿宋简体" w:cs="方正仿宋简体"/>
                <w:szCs w:val="24"/>
              </w:rPr>
              <w:t>合计</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79598.33</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75854</w:t>
            </w:r>
          </w:p>
        </w:tc>
        <w:tc>
          <w:tcPr>
            <w:tcW w:w="139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3258.66</w:t>
            </w:r>
          </w:p>
        </w:tc>
        <w:tc>
          <w:tcPr>
            <w:tcW w:w="1243"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512.33</w:t>
            </w:r>
          </w:p>
        </w:tc>
        <w:tc>
          <w:tcPr>
            <w:tcW w:w="2304"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79591.67</w:t>
            </w:r>
          </w:p>
        </w:tc>
      </w:tr>
    </w:tbl>
    <w:p>
      <w:pPr>
        <w:pageBreakBefore w:val="0"/>
        <w:kinsoku/>
        <w:overflowPunct/>
        <w:topLinePunct w:val="0"/>
        <w:autoSpaceDE/>
        <w:autoSpaceDN/>
        <w:bidi w:val="0"/>
        <w:spacing w:line="560" w:lineRule="exact"/>
        <w:ind w:firstLine="560"/>
        <w:rPr>
          <w:rFonts w:hint="eastAsia"/>
        </w:rPr>
      </w:pPr>
      <w:r>
        <w:rPr>
          <w:rFonts w:hint="eastAsia"/>
        </w:rPr>
        <w:t>近五年，全市林业有害生物总发生面积79598.33公顷，总防治作业面积79591.67公顷。</w:t>
      </w:r>
    </w:p>
    <w:p>
      <w:pPr>
        <w:pStyle w:val="6"/>
        <w:pageBreakBefore w:val="0"/>
        <w:kinsoku/>
        <w:overflowPunct/>
        <w:topLinePunct w:val="0"/>
        <w:autoSpaceDE/>
        <w:autoSpaceDN/>
        <w:bidi w:val="0"/>
        <w:spacing w:line="560" w:lineRule="exact"/>
      </w:pPr>
      <w:r>
        <w:rPr>
          <w:rFonts w:hint="eastAsia"/>
        </w:rPr>
        <w:t>（四）林业植物检疫情况</w:t>
      </w:r>
    </w:p>
    <w:p>
      <w:pPr>
        <w:pageBreakBefore w:val="0"/>
        <w:kinsoku/>
        <w:overflowPunct/>
        <w:topLinePunct w:val="0"/>
        <w:autoSpaceDE/>
        <w:autoSpaceDN/>
        <w:bidi w:val="0"/>
        <w:spacing w:line="560" w:lineRule="exact"/>
        <w:ind w:firstLine="560"/>
        <w:rPr>
          <w:rFonts w:hint="eastAsia"/>
        </w:rPr>
      </w:pPr>
      <w:r>
        <w:rPr>
          <w:rFonts w:hint="eastAsia"/>
          <w:highlight w:val="none"/>
        </w:rPr>
        <w:t>“</w:t>
      </w:r>
      <w:r>
        <w:rPr>
          <w:highlight w:val="none"/>
        </w:rPr>
        <w:t>十三五</w:t>
      </w:r>
      <w:r>
        <w:rPr>
          <w:rFonts w:hint="eastAsia"/>
          <w:highlight w:val="none"/>
        </w:rPr>
        <w:t>”</w:t>
      </w:r>
      <w:r>
        <w:rPr>
          <w:highlight w:val="none"/>
        </w:rPr>
        <w:t>期间，</w:t>
      </w:r>
      <w:r>
        <w:rPr>
          <w:rFonts w:hint="eastAsia"/>
          <w:highlight w:val="none"/>
        </w:rPr>
        <w:t>济宁市完善全市14处检疫站、2处检疫检查站</w:t>
      </w:r>
      <w:r>
        <w:rPr>
          <w:rFonts w:hint="eastAsia"/>
          <w:highlight w:val="none"/>
          <w:lang w:eastAsia="zh-CN"/>
        </w:rPr>
        <w:t>，合理布设检疫设施、设备</w:t>
      </w:r>
      <w:r>
        <w:rPr>
          <w:rFonts w:hint="eastAsia"/>
          <w:highlight w:val="none"/>
        </w:rPr>
        <w:t>；全市检疫木材23万立方米</w:t>
      </w:r>
      <w:r>
        <w:rPr>
          <w:rFonts w:hint="eastAsia"/>
          <w:highlight w:val="none"/>
          <w:lang w:eastAsia="zh-CN"/>
        </w:rPr>
        <w:t>、</w:t>
      </w:r>
      <w:r>
        <w:rPr>
          <w:rFonts w:hint="eastAsia"/>
        </w:rPr>
        <w:t>果品20吨</w:t>
      </w:r>
      <w:r>
        <w:rPr>
          <w:rFonts w:hint="eastAsia"/>
          <w:lang w:eastAsia="zh-CN"/>
        </w:rPr>
        <w:t>、</w:t>
      </w:r>
      <w:r>
        <w:rPr>
          <w:rFonts w:hint="eastAsia"/>
        </w:rPr>
        <w:t>苗木16104万株</w:t>
      </w:r>
      <w:r>
        <w:rPr>
          <w:rFonts w:hint="eastAsia"/>
          <w:lang w:eastAsia="zh-CN"/>
        </w:rPr>
        <w:t>、</w:t>
      </w:r>
      <w:r>
        <w:rPr>
          <w:rFonts w:hint="eastAsia"/>
        </w:rPr>
        <w:t>花卉52万株</w:t>
      </w:r>
      <w:r>
        <w:rPr>
          <w:rFonts w:hint="eastAsia"/>
          <w:lang w:eastAsia="zh-CN"/>
        </w:rPr>
        <w:t>，</w:t>
      </w:r>
      <w:r>
        <w:rPr>
          <w:rFonts w:hint="eastAsia"/>
        </w:rPr>
        <w:t>有效地遏制了林业有害生物的传播蔓延。</w:t>
      </w:r>
    </w:p>
    <w:tbl>
      <w:tblPr>
        <w:tblStyle w:val="21"/>
        <w:tblW w:w="9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2058"/>
        <w:gridCol w:w="1947"/>
        <w:gridCol w:w="1768"/>
        <w:gridCol w:w="2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exact"/>
          <w:tblHeader/>
        </w:trPr>
        <w:tc>
          <w:tcPr>
            <w:tcW w:w="9057" w:type="dxa"/>
            <w:gridSpan w:val="5"/>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b/>
              </w:rPr>
            </w:pPr>
            <w:r>
              <w:rPr>
                <w:rFonts w:hint="eastAsia" w:ascii="Times New Roman" w:hAnsi="Times New Roman" w:cs="Times New Roman"/>
                <w:b/>
                <w:sz w:val="28"/>
                <w:szCs w:val="28"/>
              </w:rPr>
              <w:t>表</w:t>
            </w:r>
            <w:r>
              <w:rPr>
                <w:rFonts w:hint="eastAsia" w:ascii="方正仿宋简体" w:hAnsi="方正仿宋简体" w:eastAsia="方正仿宋简体" w:cs="方正仿宋简体"/>
                <w:b/>
                <w:sz w:val="28"/>
                <w:szCs w:val="28"/>
              </w:rPr>
              <w:t>2.3-3</w:t>
            </w:r>
            <w:r>
              <w:rPr>
                <w:rFonts w:hint="eastAsia" w:ascii="Times New Roman" w:hAnsi="Times New Roman" w:cs="Times New Roman"/>
                <w:b/>
                <w:sz w:val="28"/>
                <w:szCs w:val="28"/>
              </w:rPr>
              <w:t>“十三五”</w:t>
            </w:r>
            <w:r>
              <w:rPr>
                <w:rFonts w:hint="eastAsia" w:ascii="Times New Roman" w:hAnsi="Times New Roman" w:cs="Times New Roman"/>
                <w:b/>
                <w:sz w:val="28"/>
                <w:szCs w:val="28"/>
                <w:lang w:val="en-US" w:eastAsia="zh-CN"/>
              </w:rPr>
              <w:t>济宁市</w:t>
            </w:r>
            <w:r>
              <w:rPr>
                <w:rFonts w:hint="eastAsia" w:ascii="Times New Roman" w:hAnsi="Times New Roman" w:cs="Times New Roman"/>
                <w:b/>
                <w:sz w:val="28"/>
                <w:szCs w:val="28"/>
              </w:rPr>
              <w:t>林业植物检疫情况汇总表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exact"/>
          <w:tblHeader/>
        </w:trPr>
        <w:tc>
          <w:tcPr>
            <w:tcW w:w="1217" w:type="dxa"/>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szCs w:val="24"/>
              </w:rPr>
            </w:pPr>
            <w:r>
              <w:rPr>
                <w:rFonts w:hint="eastAsia" w:ascii="Times New Roman" w:hAnsi="Times New Roman" w:eastAsia="黑体" w:cs="黑体"/>
                <w:b/>
                <w:sz w:val="24"/>
                <w:szCs w:val="24"/>
              </w:rPr>
              <w:t>单位</w:t>
            </w:r>
          </w:p>
        </w:tc>
        <w:tc>
          <w:tcPr>
            <w:tcW w:w="2058" w:type="dxa"/>
            <w:noWrap w:val="0"/>
            <w:vAlign w:val="center"/>
          </w:tcPr>
          <w:p>
            <w:pPr>
              <w:pageBreakBefore w:val="0"/>
              <w:kinsoku/>
              <w:overflowPunct/>
              <w:topLinePunct w:val="0"/>
              <w:autoSpaceDE/>
              <w:autoSpaceDN/>
              <w:bidi w:val="0"/>
              <w:spacing w:after="0" w:line="560" w:lineRule="exact"/>
              <w:ind w:left="0" w:leftChars="0" w:firstLine="0" w:firstLineChars="0"/>
              <w:jc w:val="center"/>
              <w:rPr>
                <w:rFonts w:ascii="Times New Roman" w:hAnsi="Times New Roman" w:eastAsia="黑体" w:cs="黑体"/>
                <w:b/>
                <w:bCs/>
                <w:sz w:val="24"/>
                <w:szCs w:val="24"/>
              </w:rPr>
            </w:pPr>
            <w:r>
              <w:rPr>
                <w:rFonts w:hint="eastAsia" w:ascii="Times New Roman" w:hAnsi="Times New Roman" w:eastAsia="黑体" w:cs="黑体"/>
                <w:b/>
                <w:bCs/>
                <w:sz w:val="24"/>
                <w:szCs w:val="24"/>
              </w:rPr>
              <w:t>苗木（万株）</w:t>
            </w:r>
          </w:p>
        </w:tc>
        <w:tc>
          <w:tcPr>
            <w:tcW w:w="1947" w:type="dxa"/>
            <w:noWrap w:val="0"/>
            <w:vAlign w:val="center"/>
          </w:tcPr>
          <w:p>
            <w:pPr>
              <w:pageBreakBefore w:val="0"/>
              <w:kinsoku/>
              <w:overflowPunct/>
              <w:topLinePunct w:val="0"/>
              <w:autoSpaceDE/>
              <w:autoSpaceDN/>
              <w:bidi w:val="0"/>
              <w:spacing w:after="0" w:line="560" w:lineRule="exact"/>
              <w:ind w:left="0" w:leftChars="0" w:firstLine="0" w:firstLineChars="0"/>
              <w:jc w:val="center"/>
              <w:rPr>
                <w:rFonts w:ascii="Times New Roman" w:hAnsi="Times New Roman" w:eastAsia="黑体" w:cs="黑体"/>
                <w:b/>
                <w:bCs/>
                <w:sz w:val="24"/>
                <w:szCs w:val="24"/>
              </w:rPr>
            </w:pPr>
            <w:r>
              <w:rPr>
                <w:rFonts w:hint="eastAsia" w:ascii="Times New Roman" w:hAnsi="Times New Roman" w:eastAsia="黑体" w:cs="黑体"/>
                <w:b/>
                <w:bCs/>
                <w:sz w:val="24"/>
                <w:szCs w:val="24"/>
              </w:rPr>
              <w:t>木材（万m</w:t>
            </w:r>
            <w:r>
              <w:rPr>
                <w:rFonts w:hint="eastAsia" w:ascii="Times New Roman" w:hAnsi="Times New Roman" w:eastAsia="黑体" w:cs="黑体"/>
                <w:b/>
                <w:bCs/>
                <w:sz w:val="24"/>
                <w:szCs w:val="24"/>
                <w:vertAlign w:val="superscript"/>
              </w:rPr>
              <w:t>3</w:t>
            </w:r>
            <w:r>
              <w:rPr>
                <w:rFonts w:hint="eastAsia" w:ascii="Times New Roman" w:hAnsi="Times New Roman" w:eastAsia="黑体" w:cs="黑体"/>
                <w:b/>
                <w:bCs/>
                <w:sz w:val="24"/>
                <w:szCs w:val="24"/>
              </w:rPr>
              <w:t>）</w:t>
            </w:r>
          </w:p>
        </w:tc>
        <w:tc>
          <w:tcPr>
            <w:tcW w:w="1768" w:type="dxa"/>
            <w:noWrap w:val="0"/>
            <w:vAlign w:val="center"/>
          </w:tcPr>
          <w:p>
            <w:pPr>
              <w:pageBreakBefore w:val="0"/>
              <w:kinsoku/>
              <w:overflowPunct/>
              <w:topLinePunct w:val="0"/>
              <w:autoSpaceDE/>
              <w:autoSpaceDN/>
              <w:bidi w:val="0"/>
              <w:spacing w:after="0" w:line="560" w:lineRule="exact"/>
              <w:ind w:left="0" w:leftChars="0" w:firstLine="0" w:firstLineChars="0"/>
              <w:jc w:val="center"/>
              <w:rPr>
                <w:rFonts w:ascii="Times New Roman" w:hAnsi="Times New Roman" w:eastAsia="黑体" w:cs="黑体"/>
                <w:b/>
                <w:bCs/>
                <w:sz w:val="24"/>
                <w:szCs w:val="24"/>
              </w:rPr>
            </w:pPr>
            <w:r>
              <w:rPr>
                <w:rFonts w:hint="eastAsia" w:ascii="Times New Roman" w:hAnsi="Times New Roman" w:eastAsia="黑体" w:cs="黑体"/>
                <w:b/>
                <w:bCs/>
                <w:sz w:val="24"/>
                <w:szCs w:val="24"/>
              </w:rPr>
              <w:t>果品（kg）</w:t>
            </w:r>
          </w:p>
        </w:tc>
        <w:tc>
          <w:tcPr>
            <w:tcW w:w="2067" w:type="dxa"/>
            <w:noWrap w:val="0"/>
            <w:vAlign w:val="center"/>
          </w:tcPr>
          <w:p>
            <w:pPr>
              <w:pageBreakBefore w:val="0"/>
              <w:kinsoku/>
              <w:overflowPunct/>
              <w:topLinePunct w:val="0"/>
              <w:autoSpaceDE/>
              <w:autoSpaceDN/>
              <w:bidi w:val="0"/>
              <w:spacing w:after="0" w:line="560" w:lineRule="exact"/>
              <w:ind w:left="0" w:leftChars="0" w:firstLine="0" w:firstLineChars="0"/>
              <w:jc w:val="center"/>
              <w:rPr>
                <w:rFonts w:ascii="Times New Roman" w:hAnsi="Times New Roman" w:eastAsia="黑体" w:cs="黑体"/>
                <w:b/>
                <w:bCs/>
                <w:sz w:val="24"/>
                <w:szCs w:val="24"/>
              </w:rPr>
            </w:pPr>
            <w:r>
              <w:rPr>
                <w:rFonts w:hint="eastAsia" w:ascii="Times New Roman" w:hAnsi="Times New Roman" w:eastAsia="黑体" w:cs="黑体"/>
                <w:b/>
                <w:bCs/>
                <w:sz w:val="24"/>
                <w:szCs w:val="24"/>
              </w:rPr>
              <w:t>花卉（万株）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7"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ascii="Times New Roman" w:hAnsi="Times New Roman"/>
                <w:sz w:val="24"/>
              </w:rPr>
            </w:pPr>
            <w:r>
              <w:rPr>
                <w:rFonts w:hint="eastAsia" w:ascii="Times New Roman" w:hAnsi="Times New Roman" w:cs="宋体"/>
                <w:color w:val="000000"/>
                <w:kern w:val="0"/>
                <w:sz w:val="24"/>
                <w:szCs w:val="20"/>
                <w:lang w:bidi="ar"/>
              </w:rPr>
              <w:t>任城区</w:t>
            </w:r>
          </w:p>
        </w:tc>
        <w:tc>
          <w:tcPr>
            <w:tcW w:w="2058" w:type="dxa"/>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663.00</w:t>
            </w:r>
          </w:p>
        </w:tc>
        <w:tc>
          <w:tcPr>
            <w:tcW w:w="1947" w:type="dxa"/>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2.20</w:t>
            </w:r>
          </w:p>
        </w:tc>
        <w:tc>
          <w:tcPr>
            <w:tcW w:w="1768" w:type="dxa"/>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20000.00</w:t>
            </w:r>
          </w:p>
        </w:tc>
        <w:tc>
          <w:tcPr>
            <w:tcW w:w="2067" w:type="dxa"/>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7"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ascii="Times New Roman" w:hAnsi="Times New Roman"/>
                <w:sz w:val="24"/>
              </w:rPr>
            </w:pPr>
            <w:r>
              <w:rPr>
                <w:rFonts w:hint="eastAsia" w:ascii="Times New Roman" w:hAnsi="Times New Roman" w:cs="宋体"/>
                <w:color w:val="000000"/>
                <w:kern w:val="0"/>
                <w:sz w:val="24"/>
                <w:szCs w:val="20"/>
                <w:lang w:bidi="ar"/>
              </w:rPr>
              <w:t>兖州区</w:t>
            </w:r>
          </w:p>
        </w:tc>
        <w:tc>
          <w:tcPr>
            <w:tcW w:w="2058" w:type="dxa"/>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1844.50</w:t>
            </w:r>
          </w:p>
        </w:tc>
        <w:tc>
          <w:tcPr>
            <w:tcW w:w="1947" w:type="dxa"/>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14.31</w:t>
            </w:r>
          </w:p>
        </w:tc>
        <w:tc>
          <w:tcPr>
            <w:tcW w:w="1768" w:type="dxa"/>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0.00</w:t>
            </w:r>
          </w:p>
        </w:tc>
        <w:tc>
          <w:tcPr>
            <w:tcW w:w="2067" w:type="dxa"/>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7"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ascii="Times New Roman" w:hAnsi="Times New Roman"/>
                <w:sz w:val="24"/>
              </w:rPr>
            </w:pPr>
            <w:r>
              <w:rPr>
                <w:rFonts w:hint="eastAsia" w:ascii="Times New Roman" w:hAnsi="Times New Roman" w:cs="宋体"/>
                <w:color w:val="000000"/>
                <w:kern w:val="0"/>
                <w:sz w:val="24"/>
                <w:szCs w:val="20"/>
                <w:lang w:bidi="ar"/>
              </w:rPr>
              <w:t>曲阜市</w:t>
            </w:r>
          </w:p>
        </w:tc>
        <w:tc>
          <w:tcPr>
            <w:tcW w:w="2058" w:type="dxa"/>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32.13</w:t>
            </w:r>
          </w:p>
        </w:tc>
        <w:tc>
          <w:tcPr>
            <w:tcW w:w="1947" w:type="dxa"/>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1.16</w:t>
            </w:r>
          </w:p>
        </w:tc>
        <w:tc>
          <w:tcPr>
            <w:tcW w:w="1768" w:type="dxa"/>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0.00</w:t>
            </w:r>
          </w:p>
        </w:tc>
        <w:tc>
          <w:tcPr>
            <w:tcW w:w="2067" w:type="dxa"/>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7" w:type="dxa"/>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ascii="Times New Roman" w:hAnsi="Times New Roman"/>
                <w:sz w:val="24"/>
              </w:rPr>
            </w:pPr>
            <w:r>
              <w:rPr>
                <w:rFonts w:hint="eastAsia" w:ascii="Times New Roman" w:hAnsi="Times New Roman" w:cs="宋体"/>
                <w:color w:val="000000"/>
                <w:kern w:val="0"/>
                <w:sz w:val="24"/>
                <w:szCs w:val="20"/>
                <w:lang w:bidi="ar"/>
              </w:rPr>
              <w:t>泗水县</w:t>
            </w:r>
          </w:p>
        </w:tc>
        <w:tc>
          <w:tcPr>
            <w:tcW w:w="2058" w:type="dxa"/>
            <w:tcBorders>
              <w:bottom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26.80</w:t>
            </w:r>
          </w:p>
        </w:tc>
        <w:tc>
          <w:tcPr>
            <w:tcW w:w="1947" w:type="dxa"/>
            <w:tcBorders>
              <w:bottom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0.00</w:t>
            </w:r>
          </w:p>
        </w:tc>
        <w:tc>
          <w:tcPr>
            <w:tcW w:w="1768" w:type="dxa"/>
            <w:tcBorders>
              <w:bottom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0.00</w:t>
            </w:r>
          </w:p>
        </w:tc>
        <w:tc>
          <w:tcPr>
            <w:tcW w:w="2067" w:type="dxa"/>
            <w:tcBorders>
              <w:bottom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7" w:type="dxa"/>
            <w:tcBorders>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ascii="Times New Roman" w:hAnsi="Times New Roman"/>
                <w:b/>
                <w:sz w:val="24"/>
              </w:rPr>
            </w:pPr>
            <w:r>
              <w:rPr>
                <w:rFonts w:hint="eastAsia" w:ascii="Times New Roman" w:hAnsi="Times New Roman" w:cs="宋体"/>
                <w:color w:val="000000"/>
                <w:kern w:val="0"/>
                <w:sz w:val="24"/>
                <w:szCs w:val="20"/>
                <w:lang w:bidi="ar"/>
              </w:rPr>
              <w:t>邹城市</w:t>
            </w:r>
          </w:p>
        </w:tc>
        <w:tc>
          <w:tcPr>
            <w:tcW w:w="205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sz w:val="24"/>
              </w:rPr>
            </w:pPr>
            <w:r>
              <w:rPr>
                <w:rFonts w:hint="eastAsia" w:ascii="方正仿宋简体" w:hAnsi="方正仿宋简体" w:eastAsia="方正仿宋简体" w:cs="方正仿宋简体"/>
                <w:color w:val="000000"/>
                <w:kern w:val="0"/>
                <w:sz w:val="24"/>
                <w:lang w:bidi="ar"/>
              </w:rPr>
              <w:t>60.54</w:t>
            </w:r>
          </w:p>
        </w:tc>
        <w:tc>
          <w:tcPr>
            <w:tcW w:w="194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sz w:val="24"/>
              </w:rPr>
            </w:pPr>
            <w:r>
              <w:rPr>
                <w:rFonts w:hint="eastAsia" w:ascii="方正仿宋简体" w:hAnsi="方正仿宋简体" w:eastAsia="方正仿宋简体" w:cs="方正仿宋简体"/>
                <w:color w:val="000000"/>
                <w:kern w:val="0"/>
                <w:sz w:val="24"/>
                <w:lang w:bidi="ar"/>
              </w:rPr>
              <w:t>0.00</w:t>
            </w:r>
          </w:p>
        </w:tc>
        <w:tc>
          <w:tcPr>
            <w:tcW w:w="176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sz w:val="24"/>
              </w:rPr>
            </w:pPr>
            <w:r>
              <w:rPr>
                <w:rFonts w:hint="eastAsia" w:ascii="方正仿宋简体" w:hAnsi="方正仿宋简体" w:eastAsia="方正仿宋简体" w:cs="方正仿宋简体"/>
                <w:color w:val="000000"/>
                <w:kern w:val="0"/>
                <w:sz w:val="24"/>
                <w:lang w:bidi="ar"/>
              </w:rPr>
              <w:t>0.00</w:t>
            </w:r>
          </w:p>
        </w:tc>
        <w:tc>
          <w:tcPr>
            <w:tcW w:w="206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sz w:val="24"/>
              </w:rPr>
            </w:pPr>
            <w:r>
              <w:rPr>
                <w:rFonts w:hint="eastAsia" w:ascii="方正仿宋简体" w:hAnsi="方正仿宋简体" w:eastAsia="方正仿宋简体" w:cs="方正仿宋简体"/>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7" w:type="dxa"/>
            <w:tcBorders>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ascii="Times New Roman" w:hAnsi="Times New Roman" w:cs="黑体"/>
                <w:b/>
                <w:sz w:val="24"/>
              </w:rPr>
            </w:pPr>
            <w:r>
              <w:rPr>
                <w:rFonts w:hint="eastAsia" w:ascii="Times New Roman" w:hAnsi="Times New Roman" w:cs="宋体"/>
                <w:color w:val="000000"/>
                <w:kern w:val="0"/>
                <w:sz w:val="24"/>
                <w:szCs w:val="20"/>
                <w:lang w:bidi="ar"/>
              </w:rPr>
              <w:t>微山县</w:t>
            </w:r>
          </w:p>
        </w:tc>
        <w:tc>
          <w:tcPr>
            <w:tcW w:w="205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5.40</w:t>
            </w:r>
          </w:p>
        </w:tc>
        <w:tc>
          <w:tcPr>
            <w:tcW w:w="194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0.69</w:t>
            </w:r>
          </w:p>
        </w:tc>
        <w:tc>
          <w:tcPr>
            <w:tcW w:w="176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0.00</w:t>
            </w:r>
          </w:p>
        </w:tc>
        <w:tc>
          <w:tcPr>
            <w:tcW w:w="206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7" w:type="dxa"/>
            <w:tcBorders>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ascii="Times New Roman" w:hAnsi="Times New Roman" w:cs="黑体"/>
                <w:b/>
                <w:sz w:val="24"/>
              </w:rPr>
            </w:pPr>
            <w:r>
              <w:rPr>
                <w:rFonts w:hint="eastAsia" w:ascii="Times New Roman" w:hAnsi="Times New Roman" w:cs="宋体"/>
                <w:color w:val="000000"/>
                <w:kern w:val="0"/>
                <w:sz w:val="24"/>
                <w:szCs w:val="20"/>
                <w:lang w:bidi="ar"/>
              </w:rPr>
              <w:t>鱼台县</w:t>
            </w:r>
          </w:p>
        </w:tc>
        <w:tc>
          <w:tcPr>
            <w:tcW w:w="205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13108.04</w:t>
            </w:r>
          </w:p>
        </w:tc>
        <w:tc>
          <w:tcPr>
            <w:tcW w:w="194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0.03</w:t>
            </w:r>
          </w:p>
        </w:tc>
        <w:tc>
          <w:tcPr>
            <w:tcW w:w="176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0.00</w:t>
            </w:r>
          </w:p>
        </w:tc>
        <w:tc>
          <w:tcPr>
            <w:tcW w:w="206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7" w:type="dxa"/>
            <w:tcBorders>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ascii="Times New Roman" w:hAnsi="Times New Roman" w:cs="黑体"/>
                <w:b/>
                <w:sz w:val="24"/>
              </w:rPr>
            </w:pPr>
            <w:r>
              <w:rPr>
                <w:rFonts w:hint="eastAsia" w:ascii="Times New Roman" w:hAnsi="Times New Roman" w:cs="宋体"/>
                <w:color w:val="000000"/>
                <w:kern w:val="0"/>
                <w:sz w:val="24"/>
                <w:szCs w:val="20"/>
                <w:lang w:bidi="ar"/>
              </w:rPr>
              <w:t>金乡县</w:t>
            </w:r>
          </w:p>
        </w:tc>
        <w:tc>
          <w:tcPr>
            <w:tcW w:w="205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1.45</w:t>
            </w:r>
          </w:p>
        </w:tc>
        <w:tc>
          <w:tcPr>
            <w:tcW w:w="194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0.04</w:t>
            </w:r>
          </w:p>
        </w:tc>
        <w:tc>
          <w:tcPr>
            <w:tcW w:w="176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0.00</w:t>
            </w:r>
          </w:p>
        </w:tc>
        <w:tc>
          <w:tcPr>
            <w:tcW w:w="206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27.00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7" w:type="dxa"/>
            <w:tcBorders>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ascii="Times New Roman" w:hAnsi="Times New Roman" w:cs="黑体"/>
                <w:b/>
                <w:sz w:val="24"/>
              </w:rPr>
            </w:pPr>
            <w:r>
              <w:rPr>
                <w:rFonts w:hint="eastAsia" w:ascii="Times New Roman" w:hAnsi="Times New Roman" w:cs="宋体"/>
                <w:color w:val="000000"/>
                <w:kern w:val="0"/>
                <w:sz w:val="24"/>
                <w:szCs w:val="20"/>
                <w:lang w:bidi="ar"/>
              </w:rPr>
              <w:t>嘉祥县</w:t>
            </w:r>
          </w:p>
        </w:tc>
        <w:tc>
          <w:tcPr>
            <w:tcW w:w="205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7.77</w:t>
            </w:r>
          </w:p>
        </w:tc>
        <w:tc>
          <w:tcPr>
            <w:tcW w:w="194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0.03</w:t>
            </w:r>
          </w:p>
        </w:tc>
        <w:tc>
          <w:tcPr>
            <w:tcW w:w="176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0.00</w:t>
            </w:r>
          </w:p>
        </w:tc>
        <w:tc>
          <w:tcPr>
            <w:tcW w:w="206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7" w:type="dxa"/>
            <w:tcBorders>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ascii="Times New Roman" w:hAnsi="Times New Roman" w:cs="黑体"/>
                <w:b/>
                <w:sz w:val="24"/>
              </w:rPr>
            </w:pPr>
            <w:r>
              <w:rPr>
                <w:rFonts w:hint="eastAsia" w:ascii="Times New Roman" w:hAnsi="Times New Roman" w:cs="宋体"/>
                <w:color w:val="000000"/>
                <w:kern w:val="0"/>
                <w:sz w:val="24"/>
                <w:szCs w:val="20"/>
                <w:lang w:bidi="ar"/>
              </w:rPr>
              <w:t>汶上县</w:t>
            </w:r>
          </w:p>
        </w:tc>
        <w:tc>
          <w:tcPr>
            <w:tcW w:w="205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341.96</w:t>
            </w:r>
          </w:p>
        </w:tc>
        <w:tc>
          <w:tcPr>
            <w:tcW w:w="194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2.60</w:t>
            </w:r>
          </w:p>
        </w:tc>
        <w:tc>
          <w:tcPr>
            <w:tcW w:w="176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0.00</w:t>
            </w:r>
          </w:p>
        </w:tc>
        <w:tc>
          <w:tcPr>
            <w:tcW w:w="206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7" w:type="dxa"/>
            <w:tcBorders>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ascii="Times New Roman" w:hAnsi="Times New Roman" w:cs="黑体"/>
                <w:b/>
                <w:sz w:val="24"/>
              </w:rPr>
            </w:pPr>
            <w:r>
              <w:rPr>
                <w:rFonts w:hint="eastAsia" w:ascii="Times New Roman" w:hAnsi="Times New Roman" w:cs="宋体"/>
                <w:color w:val="000000"/>
                <w:kern w:val="0"/>
                <w:sz w:val="24"/>
                <w:szCs w:val="20"/>
                <w:lang w:bidi="ar"/>
              </w:rPr>
              <w:t>梁山县</w:t>
            </w:r>
          </w:p>
        </w:tc>
        <w:tc>
          <w:tcPr>
            <w:tcW w:w="205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12.41</w:t>
            </w:r>
          </w:p>
        </w:tc>
        <w:tc>
          <w:tcPr>
            <w:tcW w:w="194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2.33</w:t>
            </w:r>
          </w:p>
        </w:tc>
        <w:tc>
          <w:tcPr>
            <w:tcW w:w="1768"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560.00</w:t>
            </w:r>
          </w:p>
        </w:tc>
        <w:tc>
          <w:tcPr>
            <w:tcW w:w="2067"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bottom"/>
              <w:rPr>
                <w:rFonts w:hint="eastAsia" w:ascii="方正仿宋简体" w:hAnsi="方正仿宋简体" w:eastAsia="方正仿宋简体" w:cs="方正仿宋简体"/>
                <w:b/>
                <w:color w:val="000000"/>
                <w:kern w:val="0"/>
                <w:sz w:val="24"/>
                <w:lang w:bidi="ar"/>
              </w:rPr>
            </w:pPr>
            <w:r>
              <w:rPr>
                <w:rFonts w:hint="eastAsia" w:ascii="方正仿宋简体" w:hAnsi="方正仿宋简体" w:eastAsia="方正仿宋简体" w:cs="方正仿宋简体"/>
                <w:color w:val="000000"/>
                <w:kern w:val="0"/>
                <w:sz w:val="24"/>
                <w:lang w:bidi="ar"/>
              </w:rPr>
              <w:t>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7" w:type="dxa"/>
            <w:tcBorders>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仿宋" w:cs="黑体"/>
                <w:b/>
                <w:sz w:val="24"/>
              </w:rPr>
            </w:pPr>
            <w:r>
              <w:rPr>
                <w:rFonts w:hint="eastAsia" w:ascii="Times New Roman" w:hAnsi="Times New Roman" w:eastAsia="仿宋" w:cs="黑体"/>
                <w:b/>
                <w:sz w:val="24"/>
              </w:rPr>
              <w:t>合计</w:t>
            </w:r>
          </w:p>
        </w:tc>
        <w:tc>
          <w:tcPr>
            <w:tcW w:w="205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sz w:val="24"/>
              </w:rPr>
            </w:pPr>
            <w:r>
              <w:rPr>
                <w:rFonts w:hint="eastAsia" w:ascii="方正仿宋简体" w:hAnsi="方正仿宋简体" w:eastAsia="方正仿宋简体" w:cs="方正仿宋简体"/>
                <w:b/>
                <w:sz w:val="24"/>
              </w:rPr>
              <w:t>16104.00</w:t>
            </w:r>
          </w:p>
        </w:tc>
        <w:tc>
          <w:tcPr>
            <w:tcW w:w="1947"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sz w:val="24"/>
              </w:rPr>
            </w:pPr>
            <w:r>
              <w:rPr>
                <w:rFonts w:hint="eastAsia" w:ascii="方正仿宋简体" w:hAnsi="方正仿宋简体" w:eastAsia="方正仿宋简体" w:cs="方正仿宋简体"/>
                <w:b/>
                <w:sz w:val="24"/>
              </w:rPr>
              <w:t>23.39</w:t>
            </w:r>
          </w:p>
        </w:tc>
        <w:tc>
          <w:tcPr>
            <w:tcW w:w="176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sz w:val="24"/>
              </w:rPr>
            </w:pPr>
            <w:r>
              <w:rPr>
                <w:rFonts w:hint="eastAsia" w:ascii="方正仿宋简体" w:hAnsi="方正仿宋简体" w:eastAsia="方正仿宋简体" w:cs="方正仿宋简体"/>
                <w:b/>
                <w:sz w:val="24"/>
              </w:rPr>
              <w:t>20560.00</w:t>
            </w:r>
          </w:p>
        </w:tc>
        <w:tc>
          <w:tcPr>
            <w:tcW w:w="2067"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sz w:val="24"/>
              </w:rPr>
            </w:pPr>
            <w:r>
              <w:rPr>
                <w:rFonts w:hint="eastAsia" w:ascii="方正仿宋简体" w:hAnsi="方正仿宋简体" w:eastAsia="方正仿宋简体" w:cs="方正仿宋简体"/>
                <w:b/>
                <w:sz w:val="24"/>
              </w:rPr>
              <w:t>52.26</w:t>
            </w:r>
          </w:p>
        </w:tc>
      </w:tr>
    </w:tbl>
    <w:p>
      <w:pPr>
        <w:pStyle w:val="5"/>
        <w:pageBreakBefore w:val="0"/>
        <w:kinsoku/>
        <w:overflowPunct/>
        <w:topLinePunct w:val="0"/>
        <w:autoSpaceDE/>
        <w:autoSpaceDN/>
        <w:bidi w:val="0"/>
        <w:spacing w:line="560" w:lineRule="exact"/>
        <w:outlineLvl w:val="1"/>
      </w:pPr>
      <w:bookmarkStart w:id="29" w:name="_Toc15685"/>
      <w:r>
        <w:rPr>
          <w:rFonts w:hint="eastAsia"/>
        </w:rPr>
        <w:t>四、面临的形势与问题</w:t>
      </w:r>
      <w:bookmarkEnd w:id="29"/>
    </w:p>
    <w:p>
      <w:pPr>
        <w:pStyle w:val="6"/>
        <w:pageBreakBefore w:val="0"/>
        <w:kinsoku/>
        <w:overflowPunct/>
        <w:topLinePunct w:val="0"/>
        <w:autoSpaceDE/>
        <w:autoSpaceDN/>
        <w:bidi w:val="0"/>
        <w:spacing w:line="560" w:lineRule="exact"/>
        <w:rPr>
          <w:rFonts w:hint="eastAsia"/>
          <w:highlight w:val="none"/>
          <w:lang w:val="en-US" w:eastAsia="zh-CN"/>
        </w:rPr>
      </w:pPr>
      <w:r>
        <w:rPr>
          <w:rFonts w:hint="eastAsia"/>
          <w:highlight w:val="none"/>
          <w:lang w:eastAsia="zh-CN"/>
        </w:rPr>
        <w:t>（</w:t>
      </w:r>
      <w:r>
        <w:rPr>
          <w:rFonts w:hint="eastAsia"/>
          <w:highlight w:val="none"/>
          <w:lang w:val="en-US" w:eastAsia="zh-CN"/>
        </w:rPr>
        <w:t>一</w:t>
      </w:r>
      <w:r>
        <w:rPr>
          <w:rFonts w:hint="eastAsia"/>
          <w:highlight w:val="none"/>
          <w:lang w:eastAsia="zh-CN"/>
        </w:rPr>
        <w:t>）</w:t>
      </w:r>
      <w:r>
        <w:rPr>
          <w:rFonts w:hint="eastAsia"/>
          <w:highlight w:val="none"/>
          <w:lang w:val="en-US" w:eastAsia="zh-CN"/>
        </w:rPr>
        <w:t>林业有害生物种类多、分布广</w:t>
      </w:r>
    </w:p>
    <w:p>
      <w:pPr>
        <w:pageBreakBefore w:val="0"/>
        <w:kinsoku/>
        <w:overflowPunct/>
        <w:topLinePunct w:val="0"/>
        <w:autoSpaceDE/>
        <w:autoSpaceDN/>
        <w:bidi w:val="0"/>
        <w:spacing w:line="560" w:lineRule="exact"/>
        <w:rPr>
          <w:rFonts w:hint="default"/>
          <w:lang w:val="en-US" w:eastAsia="zh-CN"/>
        </w:rPr>
      </w:pPr>
      <w:r>
        <w:rPr>
          <w:rFonts w:hint="eastAsia"/>
          <w:lang w:val="en-US" w:eastAsia="zh-CN"/>
        </w:rPr>
        <w:t>近几年，</w:t>
      </w:r>
      <w:r>
        <w:rPr>
          <w:rFonts w:hint="eastAsia"/>
        </w:rPr>
        <w:t>美国白蛾、杨小舟蛾、春尺蠖、杨扇舟蛾、悬铃木方翅网蝽、杨树溃疡病、杨树黑斑病等</w:t>
      </w:r>
      <w:r>
        <w:rPr>
          <w:rFonts w:hint="eastAsia"/>
          <w:lang w:val="en-US" w:eastAsia="zh-CN"/>
        </w:rPr>
        <w:t>10多种林业有害生物在济宁市发生面积较大</w:t>
      </w:r>
      <w:r>
        <w:rPr>
          <w:rFonts w:hint="eastAsia"/>
          <w:lang w:eastAsia="zh-CN"/>
        </w:rPr>
        <w:t>。</w:t>
      </w:r>
      <w:r>
        <w:rPr>
          <w:rFonts w:hint="eastAsia"/>
          <w:lang w:val="en-US" w:eastAsia="zh-CN"/>
        </w:rPr>
        <w:t>特别是美国白蛾在我市14个县（市、区）均有发生，威胁全市阔叶林生长。</w:t>
      </w:r>
    </w:p>
    <w:p>
      <w:pPr>
        <w:pStyle w:val="6"/>
        <w:pageBreakBefore w:val="0"/>
        <w:kinsoku/>
        <w:overflowPunct/>
        <w:topLinePunct w:val="0"/>
        <w:autoSpaceDE/>
        <w:autoSpaceDN/>
        <w:bidi w:val="0"/>
        <w:spacing w:line="560" w:lineRule="exact"/>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（二）林业有害生物风险大、易爆发</w:t>
      </w:r>
    </w:p>
    <w:p>
      <w:pPr>
        <w:pageBreakBefore w:val="0"/>
        <w:kinsoku/>
        <w:overflowPunct/>
        <w:topLinePunct w:val="0"/>
        <w:autoSpaceDE/>
        <w:autoSpaceDN/>
        <w:bidi w:val="0"/>
        <w:spacing w:line="560" w:lineRule="exact"/>
        <w:rPr>
          <w:rFonts w:hint="default" w:ascii="Times New Roman" w:hAnsi="Times New Roman" w:cs="Times New Roman"/>
          <w:lang w:val="en-US" w:eastAsia="zh-CN"/>
        </w:rPr>
      </w:pPr>
      <w:r>
        <w:rPr>
          <w:rFonts w:hint="eastAsia" w:ascii="Times New Roman" w:hAnsi="Times New Roman" w:cs="Times New Roman"/>
          <w:lang w:val="en-US" w:eastAsia="zh-CN"/>
        </w:rPr>
        <w:t>济宁市平原地区基本为人工纯林，树种大部分为杨树、悬铃木等速生树种，树种单一，美国白蛾等林业有害生物极易迅速扩散。特别是受全球气候异常影响，干旱、冻害等极端天气增多，对林木的正常生长发育造成不良影响，造成林木树势变弱，林分质量降低，暴发性、突发性林业有害生物增加。</w:t>
      </w:r>
    </w:p>
    <w:p>
      <w:pPr>
        <w:pStyle w:val="6"/>
        <w:pageBreakBefore w:val="0"/>
        <w:kinsoku/>
        <w:overflowPunct/>
        <w:topLinePunct w:val="0"/>
        <w:autoSpaceDE/>
        <w:autoSpaceDN/>
        <w:bidi w:val="0"/>
        <w:spacing w:line="560" w:lineRule="exact"/>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（三）林业有害生物防治难度大</w:t>
      </w:r>
    </w:p>
    <w:p>
      <w:pPr>
        <w:pageBreakBefore w:val="0"/>
        <w:kinsoku/>
        <w:overflowPunct/>
        <w:topLinePunct w:val="0"/>
        <w:autoSpaceDE/>
        <w:autoSpaceDN/>
        <w:bidi w:val="0"/>
        <w:spacing w:line="560" w:lineRule="exact"/>
        <w:rPr>
          <w:rFonts w:hint="eastAsia" w:ascii="Times New Roman" w:hAnsi="Times New Roman" w:cs="Times New Roman"/>
          <w:lang w:val="en-US" w:eastAsia="zh-CN"/>
        </w:rPr>
      </w:pPr>
      <w:r>
        <w:rPr>
          <w:rFonts w:hint="eastAsia" w:ascii="Times New Roman" w:hAnsi="Times New Roman" w:cs="Times New Roman"/>
          <w:lang w:val="en-US" w:eastAsia="zh-CN"/>
        </w:rPr>
        <w:t>济宁市河湖水系发达，环湖、沿河虾蟹养殖区、山区平原蜜蜂养殖区和桑蚕养殖户多、分布广、面积大，无法开展飞机喷药等防治，虫口基数一直居高不下，成为全市美国白蛾逐年发生的虫源地。</w:t>
      </w:r>
    </w:p>
    <w:p>
      <w:pPr>
        <w:pStyle w:val="6"/>
        <w:pageBreakBefore w:val="0"/>
        <w:kinsoku/>
        <w:overflowPunct/>
        <w:topLinePunct w:val="0"/>
        <w:autoSpaceDE/>
        <w:autoSpaceDN/>
        <w:bidi w:val="0"/>
        <w:spacing w:line="560" w:lineRule="exact"/>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（四）林业有害生物防控基础薄弱</w:t>
      </w:r>
    </w:p>
    <w:p>
      <w:pPr>
        <w:pageBreakBefore w:val="0"/>
        <w:kinsoku/>
        <w:overflowPunct/>
        <w:topLinePunct w:val="0"/>
        <w:autoSpaceDE/>
        <w:autoSpaceDN/>
        <w:bidi w:val="0"/>
        <w:spacing w:line="560" w:lineRule="exact"/>
        <w:rPr>
          <w:rFonts w:hint="eastAsia" w:ascii="Times New Roman" w:hAnsi="Times New Roman" w:cs="Times New Roman"/>
          <w:lang w:val="en-US" w:eastAsia="zh-CN"/>
        </w:rPr>
      </w:pPr>
      <w:r>
        <w:rPr>
          <w:rFonts w:hint="eastAsia" w:ascii="Times New Roman" w:hAnsi="Times New Roman" w:cs="Times New Roman"/>
          <w:lang w:val="en-US" w:eastAsia="zh-CN"/>
        </w:rPr>
        <w:t>全市对林业有害生物的防治工作起步较早，但林业有害生物监测和检疫设施设备相对落后，疫情基础数据采集、监测等工作仍以人工地面踏查、监测、取样为主，基层智能监测设备设施缺乏，且利用率不高。林业有害生物发生情况数据掌握相对滞后，同时影响了防控工作的及时性和有效性。</w:t>
      </w:r>
    </w:p>
    <w:p>
      <w:pPr>
        <w:pStyle w:val="4"/>
        <w:pageBreakBefore w:val="0"/>
        <w:kinsoku/>
        <w:overflowPunct/>
        <w:topLinePunct w:val="0"/>
        <w:autoSpaceDE/>
        <w:autoSpaceDN/>
        <w:bidi w:val="0"/>
        <w:spacing w:line="560" w:lineRule="exact"/>
        <w:jc w:val="center"/>
        <w:outlineLvl w:val="0"/>
        <w:rPr>
          <w:rFonts w:hint="eastAsia"/>
        </w:rPr>
      </w:pPr>
      <w:r>
        <w:rPr>
          <w:rFonts w:hint="eastAsia"/>
        </w:rPr>
        <w:br w:type="page"/>
      </w:r>
      <w:bookmarkStart w:id="30" w:name="_Toc28738"/>
      <w:bookmarkStart w:id="31" w:name="_Toc5390"/>
      <w:r>
        <w:rPr>
          <w:rFonts w:hint="eastAsia"/>
        </w:rPr>
        <w:t>第三章 规划总体要求</w:t>
      </w:r>
      <w:bookmarkEnd w:id="30"/>
      <w:bookmarkEnd w:id="31"/>
    </w:p>
    <w:p>
      <w:pPr>
        <w:pStyle w:val="5"/>
        <w:pageBreakBefore w:val="0"/>
        <w:kinsoku/>
        <w:overflowPunct/>
        <w:topLinePunct w:val="0"/>
        <w:autoSpaceDE/>
        <w:autoSpaceDN/>
        <w:bidi w:val="0"/>
        <w:spacing w:line="560" w:lineRule="exact"/>
        <w:outlineLvl w:val="1"/>
        <w:rPr>
          <w:rFonts w:hint="eastAsia"/>
        </w:rPr>
      </w:pPr>
      <w:bookmarkStart w:id="32" w:name="_Toc5581"/>
      <w:r>
        <w:rPr>
          <w:rFonts w:hint="eastAsia"/>
        </w:rPr>
        <w:t>一、指导思想</w:t>
      </w:r>
      <w:bookmarkEnd w:id="32"/>
    </w:p>
    <w:p>
      <w:pPr>
        <w:pageBreakBefore w:val="0"/>
        <w:kinsoku/>
        <w:overflowPunct/>
        <w:topLinePunct w:val="0"/>
        <w:autoSpaceDE/>
        <w:autoSpaceDN/>
        <w:bidi w:val="0"/>
        <w:spacing w:line="560" w:lineRule="exact"/>
        <w:ind w:firstLine="560"/>
        <w:rPr>
          <w:rFonts w:hint="eastAsia"/>
        </w:rPr>
      </w:pPr>
      <w:r>
        <w:rPr>
          <w:rFonts w:hint="eastAsia"/>
        </w:rPr>
        <w:t>高举习近平新时代中国特色社会主义思想伟大旗帜，深入践行“绿水青山就是金山银山”新发展理念，牢固树立“山水林田湖草沙是一个生命共同体”的理念，深入贯彻党的十九大和十九届二中、</w:t>
      </w:r>
      <w:r>
        <w:rPr>
          <w:rFonts w:hint="eastAsia"/>
          <w:color w:val="auto"/>
        </w:rPr>
        <w:t>三中、四中、五中、六中全会精神，全面践行生态文明思想，坚持“预防为主、科学管理、依法监管、强化责任”</w:t>
      </w:r>
      <w:r>
        <w:rPr>
          <w:rFonts w:hint="eastAsia"/>
          <w:color w:val="auto"/>
          <w:lang w:eastAsia="zh-CN"/>
        </w:rPr>
        <w:t>的</w:t>
      </w:r>
      <w:r>
        <w:rPr>
          <w:rFonts w:hint="eastAsia"/>
          <w:color w:val="auto"/>
          <w:lang w:val="en-US" w:eastAsia="zh-CN"/>
        </w:rPr>
        <w:t>方针</w:t>
      </w:r>
      <w:r>
        <w:rPr>
          <w:rFonts w:hint="eastAsia"/>
          <w:color w:val="auto"/>
        </w:rPr>
        <w:t>，按照“政府主导、部门协作、社会参与、市场运作”的原则，严防外来有害生物入侵，完善林业有害生物防治体系建设，全面提升应对林业有害生物灾害能力，坚决遏制林业生物灾害的高发势头</w:t>
      </w:r>
      <w:r>
        <w:rPr>
          <w:rFonts w:hint="eastAsia"/>
        </w:rPr>
        <w:t>，</w:t>
      </w:r>
      <w:r>
        <w:t>维护</w:t>
      </w:r>
      <w:r>
        <w:rPr>
          <w:rFonts w:hint="eastAsia"/>
        </w:rPr>
        <w:t>济宁市</w:t>
      </w:r>
      <w:r>
        <w:t>的林业生态安全。</w:t>
      </w:r>
    </w:p>
    <w:p>
      <w:pPr>
        <w:pStyle w:val="5"/>
        <w:pageBreakBefore w:val="0"/>
        <w:kinsoku/>
        <w:overflowPunct/>
        <w:topLinePunct w:val="0"/>
        <w:autoSpaceDE/>
        <w:autoSpaceDN/>
        <w:bidi w:val="0"/>
        <w:spacing w:line="560" w:lineRule="exact"/>
        <w:outlineLvl w:val="1"/>
        <w:rPr>
          <w:rFonts w:hint="eastAsia"/>
        </w:rPr>
      </w:pPr>
      <w:bookmarkStart w:id="33" w:name="_Toc21721"/>
      <w:r>
        <w:rPr>
          <w:rFonts w:hint="eastAsia"/>
        </w:rPr>
        <w:t>二、基本原则</w:t>
      </w:r>
      <w:bookmarkEnd w:id="33"/>
    </w:p>
    <w:p>
      <w:pPr>
        <w:pStyle w:val="6"/>
        <w:pageBreakBefore w:val="0"/>
        <w:numPr>
          <w:ilvl w:val="0"/>
          <w:numId w:val="3"/>
        </w:numPr>
        <w:kinsoku/>
        <w:overflowPunct/>
        <w:topLinePunct w:val="0"/>
        <w:autoSpaceDE/>
        <w:autoSpaceDN/>
        <w:bidi w:val="0"/>
        <w:spacing w:line="560" w:lineRule="exact"/>
      </w:pPr>
      <w:r>
        <w:rPr>
          <w:rFonts w:hint="eastAsia"/>
        </w:rPr>
        <w:t>预防为主、分类施策</w:t>
      </w:r>
    </w:p>
    <w:p>
      <w:pPr>
        <w:pageBreakBefore w:val="0"/>
        <w:kinsoku/>
        <w:overflowPunct/>
        <w:topLinePunct w:val="0"/>
        <w:autoSpaceDE/>
        <w:autoSpaceDN/>
        <w:bidi w:val="0"/>
        <w:spacing w:line="560" w:lineRule="exact"/>
        <w:ind w:firstLine="560"/>
      </w:pPr>
      <w:r>
        <w:rPr>
          <w:rFonts w:hint="eastAsia"/>
        </w:rPr>
        <w:t>以森林资源安全为目标，把林业有害生物预防放在第一位，突出抓好监测预警、检疫执法等工作。针对济宁市各县（市、区）森林资源特征、林业有害生物发生种类和程度，采取不同的防治策略，因害设防。</w:t>
      </w:r>
    </w:p>
    <w:p>
      <w:pPr>
        <w:pStyle w:val="6"/>
        <w:pageBreakBefore w:val="0"/>
        <w:numPr>
          <w:ilvl w:val="0"/>
          <w:numId w:val="3"/>
        </w:numPr>
        <w:kinsoku/>
        <w:overflowPunct/>
        <w:topLinePunct w:val="0"/>
        <w:autoSpaceDE/>
        <w:autoSpaceDN/>
        <w:bidi w:val="0"/>
        <w:spacing w:line="560" w:lineRule="exact"/>
        <w:rPr>
          <w:rFonts w:hint="eastAsia"/>
        </w:rPr>
      </w:pPr>
      <w:r>
        <w:rPr>
          <w:rFonts w:hint="eastAsia"/>
        </w:rPr>
        <w:t>科学防治、综合治理</w:t>
      </w:r>
    </w:p>
    <w:p>
      <w:pPr>
        <w:pageBreakBefore w:val="0"/>
        <w:kinsoku/>
        <w:overflowPunct/>
        <w:topLinePunct w:val="0"/>
        <w:autoSpaceDE/>
        <w:autoSpaceDN/>
        <w:bidi w:val="0"/>
        <w:spacing w:line="560" w:lineRule="exact"/>
        <w:ind w:firstLine="560"/>
      </w:pPr>
      <w:r>
        <w:t>建立并完善</w:t>
      </w:r>
      <w:r>
        <w:rPr>
          <w:rFonts w:hint="eastAsia"/>
        </w:rPr>
        <w:t>济宁市</w:t>
      </w:r>
      <w:r>
        <w:t>林业有害生物监测预警</w:t>
      </w:r>
      <w:r>
        <w:rPr>
          <w:rFonts w:hint="eastAsia"/>
        </w:rPr>
        <w:t>体系</w:t>
      </w:r>
      <w:r>
        <w:t>、检疫御灾</w:t>
      </w:r>
      <w:r>
        <w:rPr>
          <w:rFonts w:hint="eastAsia"/>
        </w:rPr>
        <w:t>体系</w:t>
      </w:r>
      <w:r>
        <w:t>、防治减灾</w:t>
      </w:r>
      <w:r>
        <w:rPr>
          <w:rFonts w:hint="eastAsia"/>
        </w:rPr>
        <w:t>体系和技术保障</w:t>
      </w:r>
      <w:r>
        <w:t>体系。</w:t>
      </w:r>
      <w:r>
        <w:rPr>
          <w:rFonts w:hint="eastAsia"/>
        </w:rPr>
        <w:t>综合利用人工、物理、生物、化学等</w:t>
      </w:r>
      <w:r>
        <w:t>防治措施。积极探索林业有害生物防控</w:t>
      </w:r>
      <w:r>
        <w:rPr>
          <w:rFonts w:hint="eastAsia"/>
        </w:rPr>
        <w:t>技术，强化技术创新，开展重大课题攻关</w:t>
      </w:r>
      <w:r>
        <w:t>。</w:t>
      </w:r>
    </w:p>
    <w:p>
      <w:pPr>
        <w:pStyle w:val="6"/>
        <w:pageBreakBefore w:val="0"/>
        <w:kinsoku/>
        <w:overflowPunct/>
        <w:topLinePunct w:val="0"/>
        <w:autoSpaceDE/>
        <w:autoSpaceDN/>
        <w:bidi w:val="0"/>
        <w:spacing w:line="560" w:lineRule="exact"/>
        <w:rPr>
          <w:rFonts w:hint="eastAsia"/>
        </w:rPr>
      </w:pPr>
      <w:r>
        <w:rPr>
          <w:rFonts w:hint="eastAsia"/>
        </w:rPr>
        <w:t>（三）突出重点、分步实施</w:t>
      </w:r>
    </w:p>
    <w:p>
      <w:pPr>
        <w:pageBreakBefore w:val="0"/>
        <w:widowControl/>
        <w:kinsoku/>
        <w:overflowPunct/>
        <w:topLinePunct w:val="0"/>
        <w:autoSpaceDE/>
        <w:autoSpaceDN/>
        <w:bidi w:val="0"/>
        <w:spacing w:line="560" w:lineRule="exact"/>
        <w:ind w:firstLine="560"/>
        <w:jc w:val="left"/>
      </w:pPr>
      <w:r>
        <w:rPr>
          <w:rFonts w:hint="eastAsia"/>
        </w:rPr>
        <w:t>坚持统筹规划</w:t>
      </w:r>
      <w:r>
        <w:rPr>
          <w:rFonts w:hint="eastAsia"/>
          <w:lang w:eastAsia="zh-CN"/>
        </w:rPr>
        <w:t>、</w:t>
      </w:r>
      <w:r>
        <w:rPr>
          <w:rFonts w:hint="eastAsia"/>
        </w:rPr>
        <w:t>合理布局、突出重点、分步实施，有计划、分阶段、有序开展林业有害生物防控工作。重点加强泗水县、曲阜市、邹城市、微山县松材线虫病的防治工作和全市重点道路、自然保护区等关键地点的美国白蛾防治工作，</w:t>
      </w:r>
      <w:r>
        <w:rPr>
          <w:rFonts w:hint="eastAsia" w:ascii="仿宋" w:hAnsi="仿宋" w:cs="仿宋"/>
          <w:color w:val="000000"/>
          <w:kern w:val="0"/>
          <w:szCs w:val="28"/>
          <w:lang w:bidi="ar"/>
        </w:rPr>
        <w:t>确保疫情发生整体形势得到好转、重点区域生态安全风险得以化解。</w:t>
      </w:r>
    </w:p>
    <w:p>
      <w:pPr>
        <w:pStyle w:val="6"/>
        <w:pageBreakBefore w:val="0"/>
        <w:kinsoku/>
        <w:overflowPunct/>
        <w:topLinePunct w:val="0"/>
        <w:autoSpaceDE/>
        <w:autoSpaceDN/>
        <w:bidi w:val="0"/>
        <w:spacing w:line="560" w:lineRule="exact"/>
        <w:rPr>
          <w:rFonts w:hint="eastAsia"/>
        </w:rPr>
      </w:pPr>
      <w:r>
        <w:rPr>
          <w:rFonts w:hint="eastAsia"/>
        </w:rPr>
        <w:t>（四）政府主导、属地负责</w:t>
      </w:r>
    </w:p>
    <w:p>
      <w:pPr>
        <w:pageBreakBefore w:val="0"/>
        <w:kinsoku/>
        <w:overflowPunct/>
        <w:topLinePunct w:val="0"/>
        <w:autoSpaceDE/>
        <w:autoSpaceDN/>
        <w:bidi w:val="0"/>
        <w:spacing w:line="560" w:lineRule="exact"/>
        <w:ind w:firstLine="560"/>
        <w:rPr>
          <w:rFonts w:hint="default" w:eastAsia="仿宋"/>
          <w:lang w:val="en-US" w:eastAsia="zh-CN"/>
        </w:rPr>
      </w:pPr>
      <w:r>
        <w:t>建立政府主导，部门联动、社会参与的长效管理机制，严格落实疫情防控政府主体责任，将疫情防控工作纳入各地林长制目标考核体系。</w:t>
      </w:r>
      <w:r>
        <w:rPr>
          <w:rFonts w:hint="eastAsia"/>
        </w:rPr>
        <w:t>各</w:t>
      </w:r>
      <w:r>
        <w:rPr>
          <w:rFonts w:hint="eastAsia"/>
          <w:lang w:val="en-US" w:eastAsia="zh-CN"/>
        </w:rPr>
        <w:t>县（市、区）</w:t>
      </w:r>
      <w:r>
        <w:rPr>
          <w:rFonts w:hint="eastAsia"/>
        </w:rPr>
        <w:t>必须进一步提高重视程度，</w:t>
      </w:r>
      <w:r>
        <w:rPr>
          <w:rFonts w:hint="eastAsia"/>
          <w:lang w:val="en-US" w:eastAsia="zh-CN"/>
        </w:rPr>
        <w:t>加强林业有害生物防治的组织领导，制定详细严密的行动实施方案。</w:t>
      </w:r>
    </w:p>
    <w:p>
      <w:pPr>
        <w:pStyle w:val="5"/>
        <w:pageBreakBefore w:val="0"/>
        <w:kinsoku/>
        <w:overflowPunct/>
        <w:topLinePunct w:val="0"/>
        <w:autoSpaceDE/>
        <w:autoSpaceDN/>
        <w:bidi w:val="0"/>
        <w:spacing w:line="560" w:lineRule="exact"/>
        <w:outlineLvl w:val="1"/>
        <w:rPr>
          <w:rFonts w:hint="eastAsia"/>
        </w:rPr>
      </w:pPr>
      <w:bookmarkStart w:id="34" w:name="_Toc1822"/>
      <w:r>
        <w:rPr>
          <w:rFonts w:hint="eastAsia"/>
        </w:rPr>
        <w:t>三、规划主要目标</w:t>
      </w:r>
      <w:bookmarkEnd w:id="34"/>
    </w:p>
    <w:p>
      <w:pPr>
        <w:pageBreakBefore w:val="0"/>
        <w:kinsoku/>
        <w:overflowPunct/>
        <w:topLinePunct w:val="0"/>
        <w:autoSpaceDE/>
        <w:autoSpaceDN/>
        <w:bidi w:val="0"/>
        <w:spacing w:line="560" w:lineRule="exact"/>
        <w:ind w:firstLine="560"/>
        <w:rPr>
          <w:rFonts w:hint="eastAsia"/>
        </w:rPr>
      </w:pPr>
      <w:r>
        <w:t>以强化监测防治检疫能力建设为重点，大力加强基础设施建设，建立具有现代科技水平的全</w:t>
      </w:r>
      <w:r>
        <w:rPr>
          <w:rFonts w:hint="eastAsia"/>
        </w:rPr>
        <w:t>市</w:t>
      </w:r>
      <w:r>
        <w:t>林业有害生物监测预警体系，建设适应当代林业发展要求的检疫御灾体系，构建比较完备的全</w:t>
      </w:r>
      <w:r>
        <w:rPr>
          <w:rFonts w:hint="eastAsia"/>
        </w:rPr>
        <w:t>市</w:t>
      </w:r>
      <w:r>
        <w:t>林业有害生物防治减灾体系和</w:t>
      </w:r>
      <w:r>
        <w:rPr>
          <w:rFonts w:hint="eastAsia"/>
        </w:rPr>
        <w:t>技术</w:t>
      </w:r>
      <w:r>
        <w:t>保障体系，加强防控队伍建设，全面提高灾害防控能力</w:t>
      </w:r>
      <w:r>
        <w:rPr>
          <w:rFonts w:hint="eastAsia"/>
        </w:rPr>
        <w:t>。</w:t>
      </w:r>
    </w:p>
    <w:p>
      <w:pPr>
        <w:pageBreakBefore w:val="0"/>
        <w:kinsoku/>
        <w:overflowPunct/>
        <w:topLinePunct w:val="0"/>
        <w:autoSpaceDE/>
        <w:autoSpaceDN/>
        <w:bidi w:val="0"/>
        <w:spacing w:line="560" w:lineRule="exact"/>
        <w:ind w:firstLine="560"/>
        <w:rPr>
          <w:rFonts w:hint="eastAsia"/>
          <w:lang w:eastAsia="zh-CN"/>
        </w:rPr>
      </w:pPr>
      <w:r>
        <w:rPr>
          <w:rFonts w:hint="eastAsia"/>
        </w:rPr>
        <w:t>“十四五”期间，</w:t>
      </w:r>
      <w:r>
        <w:t>全</w:t>
      </w:r>
      <w:r>
        <w:rPr>
          <w:rFonts w:hint="eastAsia"/>
        </w:rPr>
        <w:t>市</w:t>
      </w:r>
      <w:r>
        <w:rPr>
          <w:rFonts w:hint="eastAsia"/>
          <w:lang w:val="en-US" w:eastAsia="zh-CN"/>
        </w:rPr>
        <w:t>林业有害生物</w:t>
      </w:r>
      <w:r>
        <w:t>成灾率控制在</w:t>
      </w:r>
      <w:r>
        <w:rPr>
          <w:rFonts w:hint="eastAsia"/>
        </w:rPr>
        <w:t>8</w:t>
      </w:r>
      <w:r>
        <w:t>‰以下，</w:t>
      </w:r>
      <w:r>
        <w:rPr>
          <w:rFonts w:hint="eastAsia"/>
        </w:rPr>
        <w:t>松材线虫病疫区全面拔除</w:t>
      </w:r>
      <w:r>
        <w:rPr>
          <w:rFonts w:hint="eastAsia"/>
          <w:lang w:eastAsia="zh-CN"/>
        </w:rPr>
        <w:t>。</w:t>
      </w:r>
    </w:p>
    <w:p>
      <w:pPr>
        <w:pageBreakBefore w:val="0"/>
        <w:kinsoku/>
        <w:overflowPunct/>
        <w:topLinePunct w:val="0"/>
        <w:autoSpaceDE/>
        <w:autoSpaceDN/>
        <w:bidi w:val="0"/>
        <w:spacing w:line="560" w:lineRule="exact"/>
        <w:ind w:firstLine="560"/>
        <w:rPr>
          <w:rFonts w:hint="eastAsia"/>
          <w:lang w:eastAsia="zh-CN"/>
        </w:rPr>
      </w:pPr>
    </w:p>
    <w:p>
      <w:pPr>
        <w:pageBreakBefore w:val="0"/>
        <w:kinsoku/>
        <w:overflowPunct/>
        <w:topLinePunct w:val="0"/>
        <w:autoSpaceDE/>
        <w:autoSpaceDN/>
        <w:bidi w:val="0"/>
        <w:spacing w:line="560" w:lineRule="exact"/>
        <w:ind w:firstLine="560"/>
        <w:rPr>
          <w:rFonts w:hint="eastAsia"/>
          <w:lang w:eastAsia="zh-CN"/>
        </w:rPr>
      </w:pPr>
    </w:p>
    <w:tbl>
      <w:tblPr>
        <w:tblStyle w:val="21"/>
        <w:tblW w:w="8965" w:type="dxa"/>
        <w:jc w:val="center"/>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1"/>
        <w:gridCol w:w="3970"/>
        <w:gridCol w:w="36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8965" w:type="dxa"/>
            <w:gridSpan w:val="3"/>
            <w:tcBorders>
              <w:top w:val="nil"/>
              <w:left w:val="nil"/>
              <w:bottom w:val="nil"/>
              <w:right w:val="nil"/>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eastAsia="楷体" w:cs="楷体"/>
                <w:b/>
                <w:szCs w:val="28"/>
              </w:rPr>
            </w:pPr>
            <w:r>
              <w:rPr>
                <w:rFonts w:hint="eastAsia" w:ascii="Times New Roman" w:hAnsi="Times New Roman" w:cs="Times New Roman"/>
                <w:b/>
                <w:sz w:val="28"/>
                <w:szCs w:val="28"/>
              </w:rPr>
              <w:t>表</w:t>
            </w:r>
            <w:r>
              <w:rPr>
                <w:rFonts w:hint="eastAsia" w:ascii="方正仿宋简体" w:hAnsi="方正仿宋简体" w:eastAsia="方正仿宋简体" w:cs="方正仿宋简体"/>
                <w:b/>
                <w:sz w:val="28"/>
                <w:szCs w:val="28"/>
              </w:rPr>
              <w:t>3.3-1</w:t>
            </w:r>
            <w:r>
              <w:rPr>
                <w:rFonts w:hint="eastAsia" w:ascii="Times New Roman" w:hAnsi="Times New Roman" w:cs="Times New Roman"/>
                <w:b/>
                <w:sz w:val="28"/>
                <w:szCs w:val="28"/>
              </w:rPr>
              <w:t>济宁市林业有害生物防治“十四五”规划目标管理指标表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137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eastAsia="黑体" w:cs="黑体"/>
                <w:b/>
                <w:bCs/>
                <w:sz w:val="24"/>
              </w:rPr>
            </w:pPr>
            <w:r>
              <w:rPr>
                <w:rFonts w:hint="eastAsia" w:ascii="Times New Roman" w:hAnsi="Times New Roman" w:eastAsia="黑体" w:cs="黑体"/>
                <w:b/>
                <w:bCs/>
                <w:sz w:val="24"/>
              </w:rPr>
              <w:t>序号</w:t>
            </w:r>
          </w:p>
        </w:tc>
        <w:tc>
          <w:tcPr>
            <w:tcW w:w="39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eastAsia="黑体" w:cs="黑体"/>
                <w:b/>
                <w:bCs/>
                <w:sz w:val="24"/>
              </w:rPr>
            </w:pPr>
            <w:r>
              <w:rPr>
                <w:rFonts w:hint="eastAsia" w:ascii="Times New Roman" w:hAnsi="Times New Roman" w:eastAsia="黑体" w:cs="黑体"/>
                <w:b/>
                <w:bCs/>
                <w:sz w:val="24"/>
              </w:rPr>
              <w:t>指标名称</w:t>
            </w:r>
          </w:p>
        </w:tc>
        <w:tc>
          <w:tcPr>
            <w:tcW w:w="362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eastAsia="黑体" w:cs="黑体"/>
                <w:b/>
                <w:bCs/>
                <w:sz w:val="24"/>
              </w:rPr>
            </w:pPr>
            <w:r>
              <w:rPr>
                <w:rFonts w:hint="eastAsia" w:ascii="Times New Roman" w:hAnsi="Times New Roman" w:eastAsia="黑体" w:cs="黑体"/>
                <w:b/>
                <w:bCs/>
                <w:sz w:val="24"/>
              </w:rPr>
              <w:t>“十四五”防控目标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7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1</w:t>
            </w:r>
          </w:p>
        </w:tc>
        <w:tc>
          <w:tcPr>
            <w:tcW w:w="39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hint="eastAsia" w:ascii="Times New Roman" w:hAnsi="Times New Roman"/>
                <w:sz w:val="24"/>
              </w:rPr>
              <w:t>全市林业有害生物成灾率</w:t>
            </w:r>
          </w:p>
        </w:tc>
        <w:tc>
          <w:tcPr>
            <w:tcW w:w="3624" w:type="dxa"/>
            <w:tcBorders>
              <w:left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8‰以下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7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2</w:t>
            </w:r>
          </w:p>
        </w:tc>
        <w:tc>
          <w:tcPr>
            <w:tcW w:w="39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ascii="Times New Roman" w:hAnsi="Times New Roman"/>
                <w:sz w:val="24"/>
              </w:rPr>
              <w:t>松材线虫病疫区数量</w:t>
            </w:r>
          </w:p>
        </w:tc>
        <w:tc>
          <w:tcPr>
            <w:tcW w:w="3624" w:type="dxa"/>
            <w:tcBorders>
              <w:left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0个</w:t>
            </w:r>
          </w:p>
        </w:tc>
      </w:tr>
    </w:tbl>
    <w:p>
      <w:pPr>
        <w:pStyle w:val="5"/>
        <w:pageBreakBefore w:val="0"/>
        <w:kinsoku/>
        <w:overflowPunct/>
        <w:topLinePunct w:val="0"/>
        <w:autoSpaceDE/>
        <w:autoSpaceDN/>
        <w:bidi w:val="0"/>
        <w:spacing w:line="560" w:lineRule="exact"/>
        <w:outlineLvl w:val="1"/>
        <w:rPr>
          <w:rFonts w:hint="eastAsia"/>
        </w:rPr>
      </w:pPr>
      <w:bookmarkStart w:id="35" w:name="_Toc26306"/>
      <w:r>
        <w:rPr>
          <w:rFonts w:hint="eastAsia"/>
        </w:rPr>
        <w:t>四、规划分区</w:t>
      </w:r>
      <w:bookmarkEnd w:id="35"/>
    </w:p>
    <w:p>
      <w:pPr>
        <w:pageBreakBefore w:val="0"/>
        <w:kinsoku/>
        <w:overflowPunct/>
        <w:topLinePunct w:val="0"/>
        <w:autoSpaceDE/>
        <w:autoSpaceDN/>
        <w:bidi w:val="0"/>
        <w:spacing w:line="560" w:lineRule="exact"/>
        <w:ind w:firstLine="560"/>
        <w:rPr>
          <w:rFonts w:hint="default" w:eastAsia="仿宋"/>
          <w:lang w:val="en-US" w:eastAsia="zh-CN"/>
        </w:rPr>
      </w:pPr>
      <w:r>
        <w:rPr>
          <w:rFonts w:hint="eastAsia"/>
          <w:lang w:val="en-US" w:eastAsia="zh-CN"/>
        </w:rPr>
        <w:t>根据全市林业有害生物发生情况，将松材线虫病单独划分防控分区，其他病虫害不进行分区。</w:t>
      </w:r>
    </w:p>
    <w:p>
      <w:pPr>
        <w:pageBreakBefore w:val="0"/>
        <w:kinsoku/>
        <w:overflowPunct/>
        <w:topLinePunct w:val="0"/>
        <w:autoSpaceDE/>
        <w:autoSpaceDN/>
        <w:bidi w:val="0"/>
        <w:spacing w:line="560" w:lineRule="exact"/>
        <w:ind w:firstLine="560"/>
      </w:pPr>
      <w:r>
        <w:rPr>
          <w:rFonts w:hint="eastAsia"/>
          <w:lang w:val="en-US" w:eastAsia="zh-CN"/>
        </w:rPr>
        <w:t>结合</w:t>
      </w:r>
      <w:r>
        <w:rPr>
          <w:rFonts w:hint="eastAsia"/>
        </w:rPr>
        <w:t>松材线虫病发生情况和松林资源分布情况，将全市划分为疫区、重点预防区、一般预防区三类区域。疫区为</w:t>
      </w:r>
      <w:r>
        <w:t>2019</w:t>
      </w:r>
      <w:r>
        <w:rPr>
          <w:rFonts w:hint="eastAsia"/>
        </w:rPr>
        <w:t>年发现有松材线虫病的泗水县</w:t>
      </w:r>
      <w:r>
        <w:rPr>
          <w:rFonts w:hint="eastAsia"/>
          <w:lang w:eastAsia="zh-CN"/>
        </w:rPr>
        <w:t>；</w:t>
      </w:r>
      <w:r>
        <w:rPr>
          <w:rFonts w:hint="eastAsia"/>
        </w:rPr>
        <w:t>重点预防区为松林相对集中或具有重要保护意义的松林分布区域，涉及邹城市、曲阜市、微山县</w:t>
      </w:r>
      <w:r>
        <w:t>3</w:t>
      </w:r>
      <w:r>
        <w:rPr>
          <w:rFonts w:hint="eastAsia"/>
        </w:rPr>
        <w:t>个县（市）</w:t>
      </w:r>
      <w:r>
        <w:rPr>
          <w:rFonts w:hint="eastAsia"/>
          <w:lang w:eastAsia="zh-CN"/>
        </w:rPr>
        <w:t>；</w:t>
      </w:r>
      <w:r>
        <w:rPr>
          <w:rFonts w:hint="eastAsia"/>
        </w:rPr>
        <w:t>一般预防区为疫区和重点预防区之外有散生松树分布的</w:t>
      </w:r>
      <w:r>
        <w:t>10</w:t>
      </w:r>
      <w:r>
        <w:rPr>
          <w:rFonts w:hint="eastAsia"/>
        </w:rPr>
        <w:t>个县（市、区）。</w:t>
      </w:r>
    </w:p>
    <w:p>
      <w:pPr>
        <w:pStyle w:val="4"/>
        <w:pageBreakBefore w:val="0"/>
        <w:kinsoku/>
        <w:overflowPunct/>
        <w:topLinePunct w:val="0"/>
        <w:autoSpaceDE/>
        <w:autoSpaceDN/>
        <w:bidi w:val="0"/>
        <w:spacing w:line="560" w:lineRule="exact"/>
        <w:jc w:val="center"/>
        <w:outlineLvl w:val="0"/>
      </w:pPr>
      <w:r>
        <w:rPr>
          <w:rFonts w:hint="eastAsia"/>
        </w:rPr>
        <w:br w:type="page"/>
      </w:r>
      <w:bookmarkStart w:id="36" w:name="_Toc22123"/>
      <w:bookmarkStart w:id="37" w:name="_Toc10318"/>
      <w:r>
        <w:rPr>
          <w:rFonts w:hint="eastAsia"/>
        </w:rPr>
        <w:t>第四章 建设任务</w:t>
      </w:r>
      <w:bookmarkEnd w:id="36"/>
      <w:bookmarkEnd w:id="37"/>
    </w:p>
    <w:p>
      <w:pPr>
        <w:pStyle w:val="5"/>
        <w:pageBreakBefore w:val="0"/>
        <w:kinsoku/>
        <w:overflowPunct/>
        <w:topLinePunct w:val="0"/>
        <w:autoSpaceDE/>
        <w:autoSpaceDN/>
        <w:bidi w:val="0"/>
        <w:spacing w:line="560" w:lineRule="exact"/>
        <w:outlineLvl w:val="1"/>
      </w:pPr>
      <w:bookmarkStart w:id="38" w:name="_Toc17891"/>
      <w:r>
        <w:rPr>
          <w:rFonts w:hint="eastAsia"/>
        </w:rPr>
        <w:t>一、监测预警体系</w:t>
      </w:r>
      <w:bookmarkEnd w:id="38"/>
    </w:p>
    <w:p>
      <w:pPr>
        <w:pStyle w:val="6"/>
        <w:pageBreakBefore w:val="0"/>
        <w:kinsoku/>
        <w:overflowPunct/>
        <w:topLinePunct w:val="0"/>
        <w:autoSpaceDE/>
        <w:autoSpaceDN/>
        <w:bidi w:val="0"/>
        <w:spacing w:line="560" w:lineRule="exact"/>
        <w:rPr>
          <w:rFonts w:hint="eastAsia"/>
        </w:rPr>
      </w:pPr>
      <w:r>
        <w:rPr>
          <w:rFonts w:hint="eastAsia"/>
        </w:rPr>
        <w:t>（一）建设目标</w:t>
      </w:r>
    </w:p>
    <w:p>
      <w:pPr>
        <w:pageBreakBefore w:val="0"/>
        <w:kinsoku/>
        <w:overflowPunct/>
        <w:topLinePunct w:val="0"/>
        <w:autoSpaceDE/>
        <w:autoSpaceDN/>
        <w:bidi w:val="0"/>
        <w:spacing w:line="560" w:lineRule="exact"/>
        <w:ind w:firstLine="560"/>
      </w:pPr>
      <w:r>
        <w:rPr>
          <w:rFonts w:hint="eastAsia"/>
        </w:rPr>
        <w:t>通过监测预警系统和数据采集与传输系统建设，实现信息采集、传输、处理的规范化、数字化、智能化、可视化，为防治决策与管理提供实时科学依据。</w:t>
      </w:r>
    </w:p>
    <w:p>
      <w:pPr>
        <w:pStyle w:val="6"/>
        <w:pageBreakBefore w:val="0"/>
        <w:kinsoku/>
        <w:overflowPunct/>
        <w:topLinePunct w:val="0"/>
        <w:autoSpaceDE/>
        <w:autoSpaceDN/>
        <w:bidi w:val="0"/>
        <w:spacing w:line="560" w:lineRule="exact"/>
        <w:rPr>
          <w:rFonts w:hint="eastAsia"/>
        </w:rPr>
      </w:pPr>
      <w:r>
        <w:rPr>
          <w:rFonts w:hint="eastAsia"/>
        </w:rPr>
        <w:t>（二）建设任务</w:t>
      </w:r>
    </w:p>
    <w:p>
      <w:pPr>
        <w:pStyle w:val="7"/>
        <w:pageBreakBefore w:val="0"/>
        <w:kinsoku/>
        <w:overflowPunct/>
        <w:topLinePunct w:val="0"/>
        <w:autoSpaceDE/>
        <w:autoSpaceDN/>
        <w:bidi w:val="0"/>
        <w:spacing w:line="560" w:lineRule="exact"/>
        <w:jc w:val="left"/>
        <w:rPr>
          <w:rFonts w:hint="eastAsia"/>
        </w:rPr>
      </w:pPr>
      <w:r>
        <w:rPr>
          <w:rFonts w:hint="eastAsia"/>
        </w:rPr>
        <w:t>1.监测预警系统</w:t>
      </w:r>
    </w:p>
    <w:p>
      <w:pPr>
        <w:pageBreakBefore w:val="0"/>
        <w:kinsoku/>
        <w:overflowPunct/>
        <w:topLinePunct w:val="0"/>
        <w:autoSpaceDE/>
        <w:autoSpaceDN/>
        <w:bidi w:val="0"/>
        <w:spacing w:line="560" w:lineRule="exact"/>
        <w:ind w:firstLine="560"/>
        <w:rPr>
          <w:rFonts w:hint="eastAsia"/>
        </w:rPr>
      </w:pPr>
      <w:r>
        <w:t>根据</w:t>
      </w:r>
      <w:r>
        <w:rPr>
          <w:rFonts w:hint="eastAsia"/>
        </w:rPr>
        <w:t>林业</w:t>
      </w:r>
      <w:r>
        <w:t>有害生物监测预警系统建设需求，</w:t>
      </w:r>
      <w:r>
        <w:rPr>
          <w:rFonts w:hint="eastAsia"/>
        </w:rPr>
        <w:t>综合运用卫星遥感监测、自动提取疑似</w:t>
      </w:r>
      <w:r>
        <w:rPr>
          <w:rFonts w:hint="eastAsia"/>
          <w:lang w:val="en-US" w:eastAsia="zh-CN"/>
        </w:rPr>
        <w:t>木</w:t>
      </w:r>
      <w:r>
        <w:rPr>
          <w:rFonts w:hint="eastAsia"/>
        </w:rPr>
        <w:t>、无人机航测、原始影像解译、人工地面踏查等技术，实现</w:t>
      </w:r>
      <w:r>
        <w:t>森林的生长环境和</w:t>
      </w:r>
      <w:r>
        <w:rPr>
          <w:rFonts w:hint="eastAsia"/>
        </w:rPr>
        <w:t>林业</w:t>
      </w:r>
      <w:r>
        <w:t>有害生物发生智能化监测预警</w:t>
      </w:r>
      <w:r>
        <w:rPr>
          <w:rFonts w:hint="eastAsia"/>
        </w:rPr>
        <w:t>。</w:t>
      </w:r>
    </w:p>
    <w:p>
      <w:pPr>
        <w:pageBreakBefore w:val="0"/>
        <w:kinsoku/>
        <w:overflowPunct/>
        <w:topLinePunct w:val="0"/>
        <w:autoSpaceDE/>
        <w:autoSpaceDN/>
        <w:bidi w:val="0"/>
        <w:spacing w:line="560" w:lineRule="exact"/>
        <w:ind w:firstLine="560"/>
        <w:rPr>
          <w:rFonts w:hint="eastAsia"/>
          <w:color w:val="auto"/>
        </w:rPr>
      </w:pPr>
      <w:r>
        <w:rPr>
          <w:rFonts w:hint="eastAsia"/>
          <w:color w:val="auto"/>
        </w:rPr>
        <w:t>规划完善泗水县、曲阜市、邹城市的</w:t>
      </w:r>
      <w:r>
        <w:rPr>
          <w:color w:val="auto"/>
        </w:rPr>
        <w:t>监测预警</w:t>
      </w:r>
      <w:r>
        <w:rPr>
          <w:rFonts w:hint="eastAsia"/>
          <w:color w:val="auto"/>
        </w:rPr>
        <w:t>系统，根据各县（市）实际情况，增加</w:t>
      </w:r>
      <w:r>
        <w:rPr>
          <w:rFonts w:hint="eastAsia"/>
          <w:color w:val="auto"/>
          <w:lang w:val="en-US" w:eastAsia="zh-CN"/>
        </w:rPr>
        <w:t>监测设备和</w:t>
      </w:r>
      <w:r>
        <w:rPr>
          <w:rFonts w:hint="eastAsia"/>
          <w:color w:val="auto"/>
        </w:rPr>
        <w:t>监测点</w:t>
      </w:r>
      <w:r>
        <w:rPr>
          <w:rFonts w:hint="eastAsia"/>
          <w:color w:val="auto"/>
          <w:lang w:eastAsia="zh-CN"/>
        </w:rPr>
        <w:t>，</w:t>
      </w:r>
      <w:r>
        <w:rPr>
          <w:rFonts w:hint="eastAsia"/>
          <w:color w:val="auto"/>
        </w:rPr>
        <w:t>实现以松材线虫病为重点监测对象的全面、及时、准确监测。</w:t>
      </w:r>
    </w:p>
    <w:p>
      <w:pPr>
        <w:pStyle w:val="7"/>
        <w:pageBreakBefore w:val="0"/>
        <w:kinsoku/>
        <w:overflowPunct/>
        <w:topLinePunct w:val="0"/>
        <w:autoSpaceDE/>
        <w:autoSpaceDN/>
        <w:bidi w:val="0"/>
        <w:spacing w:line="560" w:lineRule="exact"/>
        <w:jc w:val="left"/>
      </w:pPr>
      <w:r>
        <w:rPr>
          <w:rFonts w:hint="eastAsia"/>
        </w:rPr>
        <w:t>2.数据采集与传输系统</w:t>
      </w:r>
    </w:p>
    <w:p>
      <w:pPr>
        <w:pageBreakBefore w:val="0"/>
        <w:kinsoku/>
        <w:overflowPunct/>
        <w:topLinePunct w:val="0"/>
        <w:autoSpaceDE/>
        <w:autoSpaceDN/>
        <w:bidi w:val="0"/>
        <w:spacing w:line="560" w:lineRule="exact"/>
        <w:ind w:firstLine="560"/>
      </w:pPr>
      <w:r>
        <w:rPr>
          <w:rFonts w:hint="eastAsia"/>
        </w:rPr>
        <w:t>规范年度工作实施方案、细化监测任务、加强信息直报工作、加强档案管理等多方面严要求，提升测报点整体工作质量。</w:t>
      </w:r>
      <w:r>
        <w:t>以国家级中心测报点</w:t>
      </w:r>
      <w:r>
        <w:rPr>
          <w:rFonts w:hint="eastAsia"/>
        </w:rPr>
        <w:t>和省级中心测报点</w:t>
      </w:r>
      <w:r>
        <w:t>为基础，以市</w:t>
      </w:r>
      <w:r>
        <w:rPr>
          <w:rFonts w:hint="eastAsia"/>
          <w:lang w:eastAsia="zh-CN"/>
        </w:rPr>
        <w:t>、</w:t>
      </w:r>
      <w:r>
        <w:t>县</w:t>
      </w:r>
      <w:r>
        <w:rPr>
          <w:rFonts w:hint="eastAsia"/>
        </w:rPr>
        <w:t>两</w:t>
      </w:r>
      <w:r>
        <w:t>级测报点为补充，</w:t>
      </w:r>
      <w:r>
        <w:rPr>
          <w:rFonts w:hint="eastAsia"/>
          <w:lang w:val="en-US" w:eastAsia="zh-CN"/>
        </w:rPr>
        <w:t>增加</w:t>
      </w:r>
      <w:r>
        <w:t>测报点密度</w:t>
      </w:r>
      <w:r>
        <w:rPr>
          <w:rFonts w:hint="eastAsia"/>
        </w:rPr>
        <w:t>，</w:t>
      </w:r>
      <w:r>
        <w:t>加强监测基础设施建设，全面提升</w:t>
      </w:r>
      <w:r>
        <w:rPr>
          <w:rFonts w:hint="eastAsia"/>
        </w:rPr>
        <w:t>全市</w:t>
      </w:r>
      <w:r>
        <w:t>监测能力和水平。</w:t>
      </w:r>
    </w:p>
    <w:p/>
    <w:p>
      <w:pPr>
        <w:pageBreakBefore w:val="0"/>
        <w:kinsoku/>
        <w:overflowPunct/>
        <w:topLinePunct w:val="0"/>
        <w:autoSpaceDE/>
        <w:autoSpaceDN/>
        <w:bidi w:val="0"/>
        <w:spacing w:line="560" w:lineRule="exact"/>
      </w:pPr>
      <w:r>
        <w:rPr>
          <w:rFonts w:hint="eastAsia"/>
        </w:rPr>
        <w:t>（</w:t>
      </w:r>
      <w:r>
        <w:t>1</w:t>
      </w:r>
      <w:r>
        <w:rPr>
          <w:rFonts w:hint="eastAsia"/>
        </w:rPr>
        <w:t>）国家和省级中心测报点</w:t>
      </w:r>
    </w:p>
    <w:p>
      <w:pPr>
        <w:pageBreakBefore w:val="0"/>
        <w:kinsoku/>
        <w:overflowPunct/>
        <w:topLinePunct w:val="0"/>
        <w:autoSpaceDE/>
        <w:autoSpaceDN/>
        <w:bidi w:val="0"/>
        <w:spacing w:line="560" w:lineRule="exact"/>
        <w:ind w:firstLine="560"/>
        <w:rPr>
          <w:rFonts w:hint="eastAsia"/>
          <w:spacing w:val="-34"/>
          <w:sz w:val="32"/>
          <w:highlight w:val="yellow"/>
        </w:rPr>
      </w:pPr>
      <w:r>
        <w:rPr>
          <w:rFonts w:hint="eastAsia"/>
          <w:highlight w:val="none"/>
        </w:rPr>
        <w:t>完善国家中心测报点和省级中心测报点建设，根据各测报点实际情况，</w:t>
      </w:r>
      <w:r>
        <w:rPr>
          <w:rFonts w:hint="eastAsia"/>
          <w:highlight w:val="none"/>
          <w:lang w:val="en-US" w:eastAsia="zh-CN"/>
        </w:rPr>
        <w:t>配备</w:t>
      </w:r>
      <w:r>
        <w:rPr>
          <w:rFonts w:hint="eastAsia"/>
          <w:highlight w:val="none"/>
        </w:rPr>
        <w:t>无人机、监测工具箱、测报灯、诱捕器等监测设备，增加专（兼）职测报人员数量</w:t>
      </w:r>
      <w:r>
        <w:rPr>
          <w:rFonts w:hint="eastAsia"/>
          <w:highlight w:val="none"/>
          <w:lang w:eastAsia="zh-CN"/>
        </w:rPr>
        <w:t>，</w:t>
      </w:r>
      <w:r>
        <w:rPr>
          <w:rFonts w:hint="eastAsia"/>
          <w:highlight w:val="none"/>
        </w:rPr>
        <w:t>建设任务见表</w:t>
      </w:r>
      <w:r>
        <w:rPr>
          <w:rFonts w:hint="eastAsia"/>
          <w:spacing w:val="-34"/>
          <w:sz w:val="32"/>
          <w:highlight w:val="none"/>
        </w:rPr>
        <w:t>4.1-1。</w:t>
      </w:r>
    </w:p>
    <w:tbl>
      <w:tblPr>
        <w:tblStyle w:val="21"/>
        <w:tblW w:w="9057" w:type="dxa"/>
        <w:jc w:val="center"/>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6"/>
        <w:gridCol w:w="2051"/>
        <w:gridCol w:w="4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9057" w:type="dxa"/>
            <w:gridSpan w:val="3"/>
            <w:tcBorders>
              <w:top w:val="nil"/>
              <w:left w:val="nil"/>
              <w:bottom w:val="single" w:color="auto" w:sz="4" w:space="0"/>
              <w:right w:val="nil"/>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bCs/>
                <w:sz w:val="24"/>
                <w:highlight w:val="none"/>
              </w:rPr>
            </w:pPr>
            <w:r>
              <w:rPr>
                <w:rFonts w:hint="eastAsia" w:ascii="Times New Roman" w:hAnsi="Times New Roman" w:cs="Times New Roman"/>
                <w:b/>
                <w:sz w:val="28"/>
                <w:szCs w:val="28"/>
              </w:rPr>
              <w:t>表</w:t>
            </w:r>
            <w:r>
              <w:rPr>
                <w:rFonts w:hint="eastAsia" w:ascii="方正仿宋简体" w:hAnsi="方正仿宋简体" w:eastAsia="方正仿宋简体" w:cs="方正仿宋简体"/>
                <w:b/>
                <w:sz w:val="28"/>
                <w:szCs w:val="28"/>
              </w:rPr>
              <w:t>4.1-1</w:t>
            </w:r>
            <w:r>
              <w:rPr>
                <w:rFonts w:hint="eastAsia" w:ascii="Times New Roman" w:hAnsi="Times New Roman" w:cs="Times New Roman"/>
                <w:b/>
                <w:sz w:val="28"/>
                <w:szCs w:val="28"/>
              </w:rPr>
              <w:t>数据采集与传输系统建设任务分解一览表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2066"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bCs/>
                <w:sz w:val="24"/>
                <w:highlight w:val="none"/>
              </w:rPr>
            </w:pPr>
            <w:r>
              <w:rPr>
                <w:rFonts w:hint="eastAsia" w:ascii="Times New Roman" w:hAnsi="Times New Roman" w:eastAsia="黑体" w:cs="黑体"/>
                <w:b/>
                <w:bCs/>
                <w:sz w:val="24"/>
                <w:highlight w:val="none"/>
              </w:rPr>
              <w:t>类别</w:t>
            </w:r>
          </w:p>
        </w:tc>
        <w:tc>
          <w:tcPr>
            <w:tcW w:w="205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bCs/>
                <w:sz w:val="24"/>
                <w:highlight w:val="none"/>
                <w:lang w:eastAsia="zh-CN"/>
              </w:rPr>
            </w:pPr>
            <w:r>
              <w:rPr>
                <w:rFonts w:hint="eastAsia" w:ascii="Times New Roman" w:hAnsi="Times New Roman" w:eastAsia="黑体" w:cs="黑体"/>
                <w:b/>
                <w:bCs/>
                <w:sz w:val="24"/>
                <w:highlight w:val="none"/>
                <w:lang w:val="en-US" w:eastAsia="zh-CN"/>
              </w:rPr>
              <w:t>县（</w:t>
            </w:r>
            <w:r>
              <w:rPr>
                <w:rFonts w:hint="eastAsia" w:ascii="Times New Roman" w:hAnsi="Times New Roman" w:eastAsia="黑体" w:cs="黑体"/>
                <w:b/>
                <w:bCs/>
                <w:sz w:val="24"/>
                <w:highlight w:val="none"/>
                <w:lang w:val="en-US" w:eastAsia="zh-CN"/>
              </w:rPr>
              <w:t>市</w:t>
            </w:r>
            <w:r>
              <w:rPr>
                <w:rFonts w:hint="eastAsia" w:ascii="Times New Roman" w:hAnsi="Times New Roman" w:eastAsia="黑体" w:cs="黑体"/>
                <w:b/>
                <w:bCs/>
                <w:sz w:val="24"/>
                <w:highlight w:val="none"/>
                <w:lang w:val="en-US" w:eastAsia="zh-CN"/>
              </w:rPr>
              <w:t>）</w:t>
            </w:r>
          </w:p>
        </w:tc>
        <w:tc>
          <w:tcPr>
            <w:tcW w:w="494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eastAsia="黑体" w:cs="黑体"/>
                <w:b/>
                <w:bCs/>
                <w:sz w:val="24"/>
                <w:highlight w:val="none"/>
              </w:rPr>
            </w:pPr>
            <w:r>
              <w:rPr>
                <w:rFonts w:hint="eastAsia" w:ascii="Times New Roman" w:hAnsi="Times New Roman" w:eastAsia="黑体" w:cs="黑体"/>
                <w:b/>
                <w:bCs/>
                <w:sz w:val="24"/>
                <w:highlight w:val="none"/>
              </w:rPr>
              <w:t>建设任务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66" w:type="dxa"/>
            <w:vMerge w:val="restart"/>
            <w:tcBorders>
              <w:top w:val="single" w:color="auto" w:sz="4" w:space="0"/>
              <w:left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highlight w:val="none"/>
              </w:rPr>
            </w:pPr>
            <w:r>
              <w:rPr>
                <w:rFonts w:hint="eastAsia" w:ascii="Times New Roman" w:hAnsi="Times New Roman"/>
                <w:sz w:val="24"/>
                <w:highlight w:val="none"/>
              </w:rPr>
              <w:t>国家级测报点</w:t>
            </w:r>
          </w:p>
        </w:tc>
        <w:tc>
          <w:tcPr>
            <w:tcW w:w="205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highlight w:val="none"/>
              </w:rPr>
            </w:pPr>
            <w:r>
              <w:rPr>
                <w:rFonts w:hint="eastAsia" w:ascii="Times New Roman" w:hAnsi="Times New Roman"/>
                <w:sz w:val="24"/>
                <w:highlight w:val="none"/>
              </w:rPr>
              <w:t>曲阜市</w:t>
            </w:r>
          </w:p>
        </w:tc>
        <w:tc>
          <w:tcPr>
            <w:tcW w:w="4940" w:type="dxa"/>
            <w:vMerge w:val="restart"/>
            <w:tcBorders>
              <w:top w:val="single" w:color="auto" w:sz="4" w:space="0"/>
              <w:left w:val="single" w:color="auto" w:sz="4" w:space="0"/>
              <w:right w:val="single" w:color="auto" w:sz="4" w:space="0"/>
            </w:tcBorders>
            <w:noWrap w:val="0"/>
            <w:vAlign w:val="center"/>
          </w:tcPr>
          <w:p>
            <w:pPr>
              <w:pageBreakBefore w:val="0"/>
              <w:kinsoku/>
              <w:overflowPunct/>
              <w:topLinePunct w:val="0"/>
              <w:autoSpaceDE/>
              <w:autoSpaceDN/>
              <w:bidi w:val="0"/>
              <w:spacing w:line="560" w:lineRule="exact"/>
              <w:jc w:val="left"/>
              <w:rPr>
                <w:rFonts w:ascii="Times New Roman" w:hAnsi="Times New Roman"/>
                <w:sz w:val="24"/>
                <w:highlight w:val="none"/>
              </w:rPr>
            </w:pPr>
            <w:r>
              <w:rPr>
                <w:rFonts w:hint="eastAsia" w:ascii="Times New Roman" w:hAnsi="Times New Roman"/>
                <w:sz w:val="24"/>
                <w:highlight w:val="none"/>
              </w:rPr>
              <w:t>完善</w:t>
            </w:r>
            <w:r>
              <w:rPr>
                <w:rFonts w:hint="eastAsia" w:ascii="Times New Roman" w:hAnsi="Times New Roman"/>
                <w:sz w:val="24"/>
                <w:highlight w:val="none"/>
                <w:lang w:val="en-US" w:eastAsia="zh-CN"/>
              </w:rPr>
              <w:t>测报灯、诱捕器</w:t>
            </w:r>
            <w:r>
              <w:rPr>
                <w:rFonts w:hint="eastAsia" w:ascii="Times New Roman" w:hAnsi="Times New Roman"/>
                <w:sz w:val="24"/>
                <w:highlight w:val="none"/>
              </w:rPr>
              <w:t>等监测设备，增加专（兼）职测报人员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66" w:type="dxa"/>
            <w:vMerge w:val="continue"/>
            <w:tcBorders>
              <w:left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highlight w:val="none"/>
              </w:rPr>
            </w:pPr>
          </w:p>
        </w:tc>
        <w:tc>
          <w:tcPr>
            <w:tcW w:w="205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highlight w:val="none"/>
              </w:rPr>
            </w:pPr>
            <w:r>
              <w:rPr>
                <w:rFonts w:hint="eastAsia" w:ascii="Times New Roman" w:hAnsi="Times New Roman"/>
                <w:sz w:val="24"/>
                <w:highlight w:val="none"/>
              </w:rPr>
              <w:t>金乡县</w:t>
            </w:r>
          </w:p>
        </w:tc>
        <w:tc>
          <w:tcPr>
            <w:tcW w:w="4940" w:type="dxa"/>
            <w:vMerge w:val="continue"/>
            <w:tcBorders>
              <w:left w:val="single" w:color="auto" w:sz="4" w:space="0"/>
              <w:right w:val="single" w:color="auto" w:sz="4" w:space="0"/>
            </w:tcBorders>
            <w:noWrap w:val="0"/>
            <w:vAlign w:val="center"/>
          </w:tcPr>
          <w:p>
            <w:pPr>
              <w:pageBreakBefore w:val="0"/>
              <w:kinsoku/>
              <w:overflowPunct/>
              <w:topLinePunct w:val="0"/>
              <w:autoSpaceDE/>
              <w:autoSpaceDN/>
              <w:bidi w:val="0"/>
              <w:spacing w:line="560" w:lineRule="exact"/>
              <w:jc w:val="left"/>
              <w:rPr>
                <w:rFonts w:hint="eastAsia" w:ascii="Times New Roman" w:hAnsi="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66" w:type="dxa"/>
            <w:vMerge w:val="continue"/>
            <w:tcBorders>
              <w:left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highlight w:val="none"/>
              </w:rPr>
            </w:pPr>
          </w:p>
        </w:tc>
        <w:tc>
          <w:tcPr>
            <w:tcW w:w="205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highlight w:val="none"/>
              </w:rPr>
            </w:pPr>
            <w:r>
              <w:rPr>
                <w:rFonts w:hint="eastAsia" w:ascii="Times New Roman" w:hAnsi="Times New Roman"/>
                <w:sz w:val="24"/>
                <w:highlight w:val="none"/>
              </w:rPr>
              <w:t>梁山县</w:t>
            </w:r>
          </w:p>
        </w:tc>
        <w:tc>
          <w:tcPr>
            <w:tcW w:w="4940" w:type="dxa"/>
            <w:vMerge w:val="continue"/>
            <w:tcBorders>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jc w:val="left"/>
              <w:rPr>
                <w:rFonts w:hint="eastAsia" w:ascii="Times New Roman" w:hAnsi="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066" w:type="dxa"/>
            <w:vMerge w:val="continue"/>
            <w:tcBorders>
              <w:left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highlight w:val="none"/>
              </w:rPr>
            </w:pPr>
          </w:p>
        </w:tc>
        <w:tc>
          <w:tcPr>
            <w:tcW w:w="205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highlight w:val="none"/>
              </w:rPr>
            </w:pPr>
            <w:r>
              <w:rPr>
                <w:rFonts w:hint="eastAsia" w:ascii="Times New Roman" w:hAnsi="Times New Roman"/>
                <w:sz w:val="24"/>
                <w:highlight w:val="none"/>
              </w:rPr>
              <w:t>鱼台县</w:t>
            </w:r>
          </w:p>
        </w:tc>
        <w:tc>
          <w:tcPr>
            <w:tcW w:w="494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jc w:val="left"/>
              <w:rPr>
                <w:rFonts w:hint="eastAsia" w:ascii="Times New Roman" w:hAnsi="Times New Roman"/>
                <w:sz w:val="24"/>
                <w:highlight w:val="none"/>
              </w:rPr>
            </w:pPr>
            <w:r>
              <w:rPr>
                <w:rFonts w:hint="eastAsia" w:ascii="Times New Roman" w:hAnsi="Times New Roman"/>
                <w:sz w:val="24"/>
                <w:highlight w:val="none"/>
              </w:rPr>
              <w:t>配备无人机</w:t>
            </w:r>
            <w:r>
              <w:rPr>
                <w:rFonts w:hint="eastAsia" w:ascii="方正仿宋简体" w:hAnsi="方正仿宋简体" w:eastAsia="方正仿宋简体" w:cs="方正仿宋简体"/>
                <w:sz w:val="24"/>
                <w:highlight w:val="none"/>
              </w:rPr>
              <w:t>1</w:t>
            </w:r>
            <w:r>
              <w:rPr>
                <w:rFonts w:hint="eastAsia" w:ascii="Times New Roman" w:hAnsi="Times New Roman"/>
                <w:sz w:val="24"/>
                <w:highlight w:val="none"/>
              </w:rPr>
              <w:t>台，完善</w:t>
            </w:r>
            <w:r>
              <w:rPr>
                <w:rFonts w:hint="eastAsia" w:ascii="Times New Roman" w:hAnsi="Times New Roman"/>
                <w:sz w:val="24"/>
                <w:highlight w:val="none"/>
                <w:lang w:val="en-US" w:eastAsia="zh-CN"/>
              </w:rPr>
              <w:t>测报灯、诱捕器</w:t>
            </w:r>
            <w:r>
              <w:rPr>
                <w:rFonts w:hint="eastAsia" w:ascii="Times New Roman" w:hAnsi="Times New Roman"/>
                <w:sz w:val="24"/>
                <w:highlight w:val="none"/>
              </w:rPr>
              <w:t>等监测设备，增加专（兼）职测报人员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66" w:type="dxa"/>
            <w:vMerge w:val="restart"/>
            <w:tcBorders>
              <w:top w:val="single" w:color="auto" w:sz="4" w:space="0"/>
              <w:left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highlight w:val="none"/>
              </w:rPr>
            </w:pPr>
            <w:r>
              <w:rPr>
                <w:rFonts w:hint="eastAsia" w:ascii="Times New Roman" w:hAnsi="Times New Roman"/>
                <w:sz w:val="24"/>
                <w:highlight w:val="none"/>
              </w:rPr>
              <w:t>省级测报点</w:t>
            </w:r>
          </w:p>
        </w:tc>
        <w:tc>
          <w:tcPr>
            <w:tcW w:w="205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highlight w:val="none"/>
              </w:rPr>
            </w:pPr>
            <w:r>
              <w:rPr>
                <w:rFonts w:hint="eastAsia" w:ascii="Times New Roman" w:hAnsi="Times New Roman"/>
                <w:sz w:val="24"/>
                <w:highlight w:val="none"/>
              </w:rPr>
              <w:t>泗水县</w:t>
            </w:r>
          </w:p>
        </w:tc>
        <w:tc>
          <w:tcPr>
            <w:tcW w:w="4940" w:type="dxa"/>
            <w:vMerge w:val="restart"/>
            <w:tcBorders>
              <w:top w:val="single" w:color="auto" w:sz="4" w:space="0"/>
              <w:left w:val="single" w:color="auto" w:sz="4" w:space="0"/>
              <w:right w:val="single" w:color="auto" w:sz="4" w:space="0"/>
            </w:tcBorders>
            <w:noWrap w:val="0"/>
            <w:vAlign w:val="center"/>
          </w:tcPr>
          <w:p>
            <w:pPr>
              <w:pageBreakBefore w:val="0"/>
              <w:kinsoku/>
              <w:overflowPunct/>
              <w:topLinePunct w:val="0"/>
              <w:autoSpaceDE/>
              <w:autoSpaceDN/>
              <w:bidi w:val="0"/>
              <w:spacing w:line="560" w:lineRule="exact"/>
              <w:jc w:val="left"/>
              <w:rPr>
                <w:rFonts w:ascii="Times New Roman" w:hAnsi="Times New Roman"/>
                <w:sz w:val="24"/>
                <w:highlight w:val="none"/>
              </w:rPr>
            </w:pPr>
            <w:r>
              <w:rPr>
                <w:rFonts w:hint="eastAsia" w:ascii="Times New Roman" w:hAnsi="Times New Roman"/>
                <w:sz w:val="24"/>
                <w:highlight w:val="none"/>
                <w:lang w:val="en-US" w:eastAsia="zh-CN"/>
              </w:rPr>
              <w:t>配置监测工具箱、测报灯、诱捕器等</w:t>
            </w:r>
            <w:r>
              <w:rPr>
                <w:rFonts w:hint="eastAsia" w:ascii="Times New Roman" w:hAnsi="Times New Roman"/>
                <w:sz w:val="24"/>
                <w:highlight w:val="none"/>
              </w:rPr>
              <w:t>监测设备，</w:t>
            </w:r>
            <w:r>
              <w:rPr>
                <w:rFonts w:ascii="Times New Roman" w:hAnsi="Times New Roman"/>
                <w:sz w:val="24"/>
                <w:highlight w:val="none"/>
              </w:rPr>
              <w:t>增加临时监测点数量，增加专（兼）职测报人员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66" w:type="dxa"/>
            <w:vMerge w:val="continue"/>
            <w:tcBorders>
              <w:left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highlight w:val="none"/>
              </w:rPr>
            </w:pPr>
          </w:p>
        </w:tc>
        <w:tc>
          <w:tcPr>
            <w:tcW w:w="205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highlight w:val="none"/>
              </w:rPr>
            </w:pPr>
            <w:r>
              <w:rPr>
                <w:rFonts w:hint="eastAsia" w:ascii="Times New Roman" w:hAnsi="Times New Roman"/>
                <w:sz w:val="24"/>
                <w:highlight w:val="none"/>
              </w:rPr>
              <w:t>嘉祥县</w:t>
            </w:r>
          </w:p>
        </w:tc>
        <w:tc>
          <w:tcPr>
            <w:tcW w:w="4940" w:type="dxa"/>
            <w:vMerge w:val="continue"/>
            <w:tcBorders>
              <w:left w:val="single" w:color="auto" w:sz="4" w:space="0"/>
              <w:right w:val="single" w:color="auto" w:sz="4" w:space="0"/>
            </w:tcBorders>
            <w:noWrap w:val="0"/>
            <w:vAlign w:val="center"/>
          </w:tcPr>
          <w:p>
            <w:pPr>
              <w:pageBreakBefore w:val="0"/>
              <w:kinsoku/>
              <w:overflowPunct/>
              <w:topLinePunct w:val="0"/>
              <w:autoSpaceDE/>
              <w:autoSpaceDN/>
              <w:bidi w:val="0"/>
              <w:spacing w:line="560" w:lineRule="exact"/>
              <w:jc w:val="left"/>
              <w:rPr>
                <w:rFonts w:ascii="Times New Roman" w:hAnsi="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66" w:type="dxa"/>
            <w:vMerge w:val="continue"/>
            <w:tcBorders>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highlight w:val="none"/>
              </w:rPr>
            </w:pPr>
          </w:p>
        </w:tc>
        <w:tc>
          <w:tcPr>
            <w:tcW w:w="205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highlight w:val="none"/>
              </w:rPr>
            </w:pPr>
            <w:r>
              <w:rPr>
                <w:rFonts w:hint="eastAsia" w:ascii="Times New Roman" w:hAnsi="Times New Roman"/>
                <w:sz w:val="24"/>
                <w:highlight w:val="none"/>
              </w:rPr>
              <w:t>汶上县</w:t>
            </w:r>
          </w:p>
        </w:tc>
        <w:tc>
          <w:tcPr>
            <w:tcW w:w="4940" w:type="dxa"/>
            <w:vMerge w:val="continue"/>
            <w:tcBorders>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jc w:val="left"/>
              <w:rPr>
                <w:rFonts w:hint="eastAsia" w:ascii="Times New Roman" w:hAnsi="Times New Roman"/>
                <w:sz w:val="24"/>
                <w:highlight w:val="none"/>
              </w:rPr>
            </w:pPr>
          </w:p>
        </w:tc>
      </w:tr>
    </w:tbl>
    <w:p>
      <w:pPr>
        <w:pageBreakBefore w:val="0"/>
        <w:kinsoku/>
        <w:overflowPunct/>
        <w:topLinePunct w:val="0"/>
        <w:autoSpaceDE/>
        <w:autoSpaceDN/>
        <w:bidi w:val="0"/>
        <w:spacing w:line="560" w:lineRule="exact"/>
        <w:ind w:firstLine="560"/>
        <w:rPr>
          <w:rFonts w:hint="eastAsia" w:ascii="Times New Roman" w:hAnsi="Times New Roman" w:cs="Times New Roman"/>
          <w:b w:val="0"/>
          <w:bCs w:val="0"/>
        </w:rPr>
      </w:pPr>
      <w:r>
        <w:rPr>
          <w:rFonts w:hint="eastAsia"/>
        </w:rPr>
        <w:t>（2）</w:t>
      </w:r>
      <w:r>
        <w:rPr>
          <w:rFonts w:hint="eastAsia" w:ascii="Times New Roman" w:hAnsi="Times New Roman" w:cs="Times New Roman"/>
          <w:b w:val="0"/>
          <w:bCs w:val="0"/>
          <w:highlight w:val="none"/>
        </w:rPr>
        <w:t>基层测报点</w:t>
      </w:r>
    </w:p>
    <w:p>
      <w:pPr>
        <w:pageBreakBefore w:val="0"/>
        <w:kinsoku/>
        <w:overflowPunct/>
        <w:topLinePunct w:val="0"/>
        <w:autoSpaceDE/>
        <w:autoSpaceDN/>
        <w:bidi w:val="0"/>
        <w:spacing w:line="560" w:lineRule="exact"/>
        <w:ind w:firstLine="560"/>
        <w:rPr>
          <w:rFonts w:hint="eastAsia"/>
        </w:rPr>
      </w:pPr>
      <w:r>
        <w:rPr>
          <w:rFonts w:hint="eastAsia"/>
        </w:rPr>
        <w:t>在全市主要交通通道和美国白蛾发生区布设美国白蛾性诱捕器和太阳能杀虫灯，定期监测以美国白蛾为主的各类食叶害虫成虫的发生时间、虫口密度、发生面积等情况；在车站等货物集散地、木材加工厂和历年来蛀干害虫发生集中区域，加强以松褐天牛为主的蛀干类害虫监测。</w:t>
      </w:r>
      <w:r>
        <w:rPr>
          <w:rFonts w:hint="eastAsia"/>
          <w:color w:val="auto"/>
          <w:highlight w:val="none"/>
        </w:rPr>
        <w:t>建立覆盖全市的测报</w:t>
      </w:r>
      <w:r>
        <w:rPr>
          <w:rFonts w:hint="eastAsia"/>
          <w:color w:val="auto"/>
          <w:highlight w:val="none"/>
          <w:lang w:val="en-US" w:eastAsia="zh-CN"/>
        </w:rPr>
        <w:t>网（</w:t>
      </w:r>
      <w:r>
        <w:rPr>
          <w:rFonts w:hint="eastAsia"/>
          <w:color w:val="auto"/>
          <w:highlight w:val="none"/>
        </w:rPr>
        <w:t>点</w:t>
      </w:r>
      <w:r>
        <w:rPr>
          <w:rFonts w:hint="eastAsia"/>
          <w:color w:val="auto"/>
          <w:highlight w:val="none"/>
          <w:lang w:val="en-US" w:eastAsia="zh-CN"/>
        </w:rPr>
        <w:t>）</w:t>
      </w:r>
      <w:r>
        <w:rPr>
          <w:rFonts w:hint="eastAsia"/>
          <w:color w:val="auto"/>
          <w:highlight w:val="none"/>
        </w:rPr>
        <w:t>，并配备林业有害生物野外调查数据采集、处理设备。“</w:t>
      </w:r>
      <w:r>
        <w:rPr>
          <w:rFonts w:hint="eastAsia"/>
        </w:rPr>
        <w:t>十四五”期间，全市共增设基层测报点</w:t>
      </w:r>
      <w:r>
        <w:rPr>
          <w:rFonts w:hint="eastAsia"/>
          <w:lang w:val="en-US" w:eastAsia="zh-CN"/>
        </w:rPr>
        <w:t>264</w:t>
      </w:r>
      <w:r>
        <w:rPr>
          <w:rFonts w:hint="eastAsia"/>
        </w:rPr>
        <w:t>处。建设任务详见表4.1-2。</w:t>
      </w:r>
    </w:p>
    <w:tbl>
      <w:tblPr>
        <w:tblStyle w:val="21"/>
        <w:tblW w:w="9248" w:type="dxa"/>
        <w:jc w:val="center"/>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6220"/>
        <w:gridCol w:w="12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9248" w:type="dxa"/>
            <w:gridSpan w:val="3"/>
            <w:tcBorders>
              <w:top w:val="nil"/>
              <w:left w:val="nil"/>
              <w:bottom w:val="single" w:color="auto" w:sz="4" w:space="0"/>
              <w:right w:val="nil"/>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b/>
                <w:szCs w:val="28"/>
                <w:highlight w:val="none"/>
              </w:rPr>
            </w:pPr>
            <w:r>
              <w:rPr>
                <w:rFonts w:hint="eastAsia" w:ascii="方正仿宋简体" w:hAnsi="方正仿宋简体" w:eastAsia="方正仿宋简体" w:cs="方正仿宋简体"/>
                <w:b/>
                <w:sz w:val="28"/>
                <w:szCs w:val="28"/>
              </w:rPr>
              <w:t>表4.1-2</w:t>
            </w:r>
            <w:r>
              <w:rPr>
                <w:rFonts w:hint="eastAsia" w:ascii="Times New Roman" w:hAnsi="Times New Roman" w:cs="Times New Roman"/>
                <w:b/>
                <w:sz w:val="28"/>
                <w:szCs w:val="28"/>
              </w:rPr>
              <w:t>基层测报点建设任务分解一览表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176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bCs/>
                <w:sz w:val="24"/>
                <w:highlight w:val="none"/>
                <w:lang w:eastAsia="zh-CN"/>
              </w:rPr>
            </w:pPr>
            <w:r>
              <w:rPr>
                <w:rFonts w:hint="eastAsia" w:ascii="Times New Roman" w:hAnsi="Times New Roman" w:eastAsia="黑体" w:cs="黑体"/>
                <w:b/>
                <w:bCs/>
                <w:sz w:val="24"/>
                <w:highlight w:val="none"/>
                <w:lang w:val="en-US" w:eastAsia="zh-CN"/>
              </w:rPr>
              <w:t>县（</w:t>
            </w:r>
            <w:r>
              <w:rPr>
                <w:rFonts w:hint="eastAsia" w:ascii="Times New Roman" w:hAnsi="Times New Roman" w:eastAsia="黑体" w:cs="黑体"/>
                <w:b/>
                <w:bCs/>
                <w:sz w:val="24"/>
                <w:highlight w:val="none"/>
                <w:lang w:val="en-US" w:eastAsia="zh-CN"/>
              </w:rPr>
              <w:t>市、区</w:t>
            </w:r>
            <w:r>
              <w:rPr>
                <w:rFonts w:hint="eastAsia" w:ascii="Times New Roman" w:hAnsi="Times New Roman" w:eastAsia="黑体" w:cs="黑体"/>
                <w:b/>
                <w:bCs/>
                <w:sz w:val="24"/>
                <w:highlight w:val="none"/>
                <w:lang w:val="en-US" w:eastAsia="zh-CN"/>
              </w:rPr>
              <w:t>）</w:t>
            </w:r>
          </w:p>
        </w:tc>
        <w:tc>
          <w:tcPr>
            <w:tcW w:w="622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eastAsia="黑体" w:cs="黑体"/>
                <w:b/>
                <w:bCs/>
                <w:sz w:val="24"/>
                <w:highlight w:val="none"/>
              </w:rPr>
            </w:pPr>
            <w:r>
              <w:rPr>
                <w:rFonts w:hint="eastAsia" w:ascii="Times New Roman" w:hAnsi="Times New Roman" w:eastAsia="黑体" w:cs="黑体"/>
                <w:b/>
                <w:bCs/>
                <w:sz w:val="24"/>
                <w:highlight w:val="none"/>
              </w:rPr>
              <w:t>建设任务</w:t>
            </w:r>
          </w:p>
        </w:tc>
        <w:tc>
          <w:tcPr>
            <w:tcW w:w="125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bCs/>
                <w:sz w:val="24"/>
                <w:highlight w:val="none"/>
              </w:rPr>
            </w:pPr>
            <w:r>
              <w:rPr>
                <w:rFonts w:hint="eastAsia" w:ascii="Times New Roman" w:hAnsi="Times New Roman" w:eastAsia="黑体" w:cs="黑体"/>
                <w:b/>
                <w:bCs/>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任城区</w:t>
            </w:r>
          </w:p>
        </w:tc>
        <w:tc>
          <w:tcPr>
            <w:tcW w:w="622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jc w:val="left"/>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新建监测点</w:t>
            </w:r>
            <w:r>
              <w:rPr>
                <w:rFonts w:hint="eastAsia" w:ascii="方正仿宋简体" w:hAnsi="方正仿宋简体" w:eastAsia="方正仿宋简体" w:cs="方正仿宋简体"/>
                <w:sz w:val="24"/>
                <w:highlight w:val="none"/>
                <w:lang w:val="en-US" w:eastAsia="zh-CN"/>
              </w:rPr>
              <w:t>30</w:t>
            </w:r>
            <w:r>
              <w:rPr>
                <w:rFonts w:hint="eastAsia" w:ascii="方正仿宋简体" w:hAnsi="方正仿宋简体" w:eastAsia="方正仿宋简体" w:cs="方正仿宋简体"/>
                <w:sz w:val="24"/>
                <w:highlight w:val="none"/>
              </w:rPr>
              <w:t>处，更新调查数据采集及处理设备</w:t>
            </w:r>
          </w:p>
        </w:tc>
        <w:tc>
          <w:tcPr>
            <w:tcW w:w="1259" w:type="dxa"/>
            <w:vMerge w:val="restart"/>
            <w:tcBorders>
              <w:top w:val="single" w:color="auto" w:sz="4" w:space="0"/>
              <w:left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left="0" w:leftChars="0" w:firstLine="0" w:firstLineChars="0"/>
              <w:jc w:val="both"/>
              <w:rPr>
                <w:rFonts w:hint="eastAsia" w:ascii="Times New Roman" w:hAnsi="Times New Roman"/>
                <w:sz w:val="24"/>
                <w:highlight w:val="none"/>
              </w:rPr>
            </w:pPr>
            <w:r>
              <w:rPr>
                <w:rFonts w:hint="eastAsia" w:ascii="方正仿宋简体" w:hAnsi="方正仿宋简体" w:eastAsia="方正仿宋简体" w:cs="方正仿宋简体"/>
                <w:sz w:val="24"/>
                <w:highlight w:val="none"/>
              </w:rPr>
              <w:t>全市共增设基层测报点</w:t>
            </w:r>
            <w:r>
              <w:rPr>
                <w:rFonts w:hint="eastAsia" w:ascii="方正仿宋简体" w:hAnsi="方正仿宋简体" w:eastAsia="方正仿宋简体" w:cs="方正仿宋简体"/>
                <w:sz w:val="24"/>
                <w:highlight w:val="none"/>
                <w:lang w:val="en-US" w:eastAsia="zh-CN"/>
              </w:rPr>
              <w:t>264</w:t>
            </w:r>
            <w:r>
              <w:rPr>
                <w:rFonts w:hint="eastAsia" w:ascii="方正仿宋简体" w:hAnsi="方正仿宋简体" w:eastAsia="方正仿宋简体" w:cs="方正仿宋简体"/>
                <w:sz w:val="24"/>
                <w:highlight w:val="none"/>
              </w:rPr>
              <w:t>处</w:t>
            </w:r>
            <w:r>
              <w:rPr>
                <w:rFonts w:hint="eastAsia" w:ascii="Times New Roman" w:hAnsi="Times New Roman"/>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兖州区</w:t>
            </w:r>
          </w:p>
        </w:tc>
        <w:tc>
          <w:tcPr>
            <w:tcW w:w="622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jc w:val="left"/>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新建监测点</w:t>
            </w:r>
            <w:r>
              <w:rPr>
                <w:rFonts w:hint="eastAsia" w:ascii="方正仿宋简体" w:hAnsi="方正仿宋简体" w:eastAsia="方正仿宋简体" w:cs="方正仿宋简体"/>
                <w:sz w:val="24"/>
                <w:highlight w:val="none"/>
                <w:lang w:val="en-US" w:eastAsia="zh-CN"/>
              </w:rPr>
              <w:t>30</w:t>
            </w:r>
            <w:r>
              <w:rPr>
                <w:rFonts w:hint="eastAsia" w:ascii="方正仿宋简体" w:hAnsi="方正仿宋简体" w:eastAsia="方正仿宋简体" w:cs="方正仿宋简体"/>
                <w:sz w:val="24"/>
                <w:highlight w:val="none"/>
              </w:rPr>
              <w:t>处，更新调查数据采集及处理设备</w:t>
            </w:r>
          </w:p>
        </w:tc>
        <w:tc>
          <w:tcPr>
            <w:tcW w:w="1259" w:type="dxa"/>
            <w:vMerge w:val="continue"/>
            <w:tcBorders>
              <w:left w:val="single" w:color="auto" w:sz="4" w:space="0"/>
              <w:right w:val="single" w:color="auto" w:sz="4" w:space="0"/>
            </w:tcBorders>
            <w:noWrap w:val="0"/>
            <w:vAlign w:val="top"/>
          </w:tcPr>
          <w:p>
            <w:pPr>
              <w:pageBreakBefore w:val="0"/>
              <w:kinsoku/>
              <w:overflowPunct/>
              <w:topLinePunct w:val="0"/>
              <w:autoSpaceDE/>
              <w:autoSpaceDN/>
              <w:bidi w:val="0"/>
              <w:spacing w:line="560" w:lineRule="exact"/>
              <w:jc w:val="left"/>
              <w:rPr>
                <w:rFonts w:hint="eastAsia" w:ascii="Times New Roman" w:hAnsi="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曲阜市</w:t>
            </w:r>
          </w:p>
        </w:tc>
        <w:tc>
          <w:tcPr>
            <w:tcW w:w="622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jc w:val="left"/>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新建监测点15处，更新调查数据采集及处理设备</w:t>
            </w:r>
          </w:p>
        </w:tc>
        <w:tc>
          <w:tcPr>
            <w:tcW w:w="1259" w:type="dxa"/>
            <w:vMerge w:val="continue"/>
            <w:tcBorders>
              <w:left w:val="single" w:color="auto" w:sz="4" w:space="0"/>
              <w:right w:val="single" w:color="auto" w:sz="4" w:space="0"/>
            </w:tcBorders>
            <w:noWrap w:val="0"/>
            <w:vAlign w:val="top"/>
          </w:tcPr>
          <w:p>
            <w:pPr>
              <w:pageBreakBefore w:val="0"/>
              <w:kinsoku/>
              <w:overflowPunct/>
              <w:topLinePunct w:val="0"/>
              <w:autoSpaceDE/>
              <w:autoSpaceDN/>
              <w:bidi w:val="0"/>
              <w:spacing w:line="560" w:lineRule="exact"/>
              <w:jc w:val="left"/>
              <w:rPr>
                <w:rFonts w:ascii="Times New Roman" w:hAnsi="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泗水县</w:t>
            </w:r>
          </w:p>
        </w:tc>
        <w:tc>
          <w:tcPr>
            <w:tcW w:w="622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jc w:val="left"/>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新建监测点</w:t>
            </w:r>
            <w:r>
              <w:rPr>
                <w:rFonts w:hint="eastAsia" w:ascii="方正仿宋简体" w:hAnsi="方正仿宋简体" w:eastAsia="方正仿宋简体" w:cs="方正仿宋简体"/>
                <w:sz w:val="24"/>
                <w:highlight w:val="none"/>
                <w:lang w:val="en-US" w:eastAsia="zh-CN"/>
              </w:rPr>
              <w:t>15</w:t>
            </w:r>
            <w:r>
              <w:rPr>
                <w:rFonts w:hint="eastAsia" w:ascii="方正仿宋简体" w:hAnsi="方正仿宋简体" w:eastAsia="方正仿宋简体" w:cs="方正仿宋简体"/>
                <w:sz w:val="24"/>
                <w:highlight w:val="none"/>
              </w:rPr>
              <w:t>处，更新调查数据采集及处理设备</w:t>
            </w:r>
          </w:p>
        </w:tc>
        <w:tc>
          <w:tcPr>
            <w:tcW w:w="1259" w:type="dxa"/>
            <w:vMerge w:val="continue"/>
            <w:tcBorders>
              <w:left w:val="single" w:color="auto" w:sz="4" w:space="0"/>
              <w:right w:val="single" w:color="auto" w:sz="4" w:space="0"/>
            </w:tcBorders>
            <w:noWrap w:val="0"/>
            <w:vAlign w:val="top"/>
          </w:tcPr>
          <w:p>
            <w:pPr>
              <w:pageBreakBefore w:val="0"/>
              <w:kinsoku/>
              <w:overflowPunct/>
              <w:topLinePunct w:val="0"/>
              <w:autoSpaceDE/>
              <w:autoSpaceDN/>
              <w:bidi w:val="0"/>
              <w:spacing w:line="560" w:lineRule="exact"/>
              <w:jc w:val="left"/>
              <w:rPr>
                <w:rFonts w:hint="eastAsia" w:ascii="Times New Roman" w:hAnsi="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邹城市</w:t>
            </w:r>
          </w:p>
        </w:tc>
        <w:tc>
          <w:tcPr>
            <w:tcW w:w="622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jc w:val="left"/>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新建监测点30处，更新调查数据采集及处理设备</w:t>
            </w:r>
          </w:p>
        </w:tc>
        <w:tc>
          <w:tcPr>
            <w:tcW w:w="1259" w:type="dxa"/>
            <w:vMerge w:val="continue"/>
            <w:tcBorders>
              <w:left w:val="single" w:color="auto" w:sz="4" w:space="0"/>
              <w:right w:val="single" w:color="auto" w:sz="4" w:space="0"/>
            </w:tcBorders>
            <w:noWrap w:val="0"/>
            <w:vAlign w:val="top"/>
          </w:tcPr>
          <w:p>
            <w:pPr>
              <w:pageBreakBefore w:val="0"/>
              <w:kinsoku/>
              <w:overflowPunct/>
              <w:topLinePunct w:val="0"/>
              <w:autoSpaceDE/>
              <w:autoSpaceDN/>
              <w:bidi w:val="0"/>
              <w:spacing w:line="560" w:lineRule="exact"/>
              <w:jc w:val="left"/>
              <w:rPr>
                <w:rFonts w:ascii="Times New Roman" w:hAnsi="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微山县</w:t>
            </w:r>
          </w:p>
        </w:tc>
        <w:tc>
          <w:tcPr>
            <w:tcW w:w="622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jc w:val="left"/>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更新调查数据采集及处理设备</w:t>
            </w:r>
          </w:p>
        </w:tc>
        <w:tc>
          <w:tcPr>
            <w:tcW w:w="1259" w:type="dxa"/>
            <w:vMerge w:val="continue"/>
            <w:tcBorders>
              <w:left w:val="single" w:color="auto" w:sz="4" w:space="0"/>
              <w:right w:val="single" w:color="auto" w:sz="4" w:space="0"/>
            </w:tcBorders>
            <w:noWrap w:val="0"/>
            <w:vAlign w:val="top"/>
          </w:tcPr>
          <w:p>
            <w:pPr>
              <w:pageBreakBefore w:val="0"/>
              <w:kinsoku/>
              <w:overflowPunct/>
              <w:topLinePunct w:val="0"/>
              <w:autoSpaceDE/>
              <w:autoSpaceDN/>
              <w:bidi w:val="0"/>
              <w:spacing w:line="560" w:lineRule="exact"/>
              <w:jc w:val="left"/>
              <w:rPr>
                <w:rFonts w:hint="eastAsia" w:ascii="Times New Roman" w:hAnsi="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鱼台县</w:t>
            </w:r>
          </w:p>
        </w:tc>
        <w:tc>
          <w:tcPr>
            <w:tcW w:w="622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jc w:val="left"/>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新建监测点20处，更新调查数据采集及处理设备</w:t>
            </w:r>
          </w:p>
        </w:tc>
        <w:tc>
          <w:tcPr>
            <w:tcW w:w="1259" w:type="dxa"/>
            <w:vMerge w:val="continue"/>
            <w:tcBorders>
              <w:left w:val="single" w:color="auto" w:sz="4" w:space="0"/>
              <w:right w:val="single" w:color="auto" w:sz="4" w:space="0"/>
            </w:tcBorders>
            <w:noWrap w:val="0"/>
            <w:vAlign w:val="top"/>
          </w:tcPr>
          <w:p>
            <w:pPr>
              <w:pageBreakBefore w:val="0"/>
              <w:kinsoku/>
              <w:overflowPunct/>
              <w:topLinePunct w:val="0"/>
              <w:autoSpaceDE/>
              <w:autoSpaceDN/>
              <w:bidi w:val="0"/>
              <w:spacing w:line="560" w:lineRule="exact"/>
              <w:jc w:val="left"/>
              <w:rPr>
                <w:rFonts w:ascii="Times New Roman" w:hAnsi="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金乡县</w:t>
            </w:r>
          </w:p>
        </w:tc>
        <w:tc>
          <w:tcPr>
            <w:tcW w:w="622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jc w:val="left"/>
              <w:rPr>
                <w:rFonts w:hint="eastAsia" w:ascii="方正仿宋简体" w:hAnsi="方正仿宋简体" w:eastAsia="方正仿宋简体" w:cs="方正仿宋简体"/>
                <w:highlight w:val="none"/>
              </w:rPr>
            </w:pPr>
            <w:r>
              <w:rPr>
                <w:rFonts w:hint="eastAsia" w:ascii="方正仿宋简体" w:hAnsi="方正仿宋简体" w:eastAsia="方正仿宋简体" w:cs="方正仿宋简体"/>
                <w:sz w:val="24"/>
                <w:highlight w:val="none"/>
              </w:rPr>
              <w:t>新建监测点30处，更新调查数据采集及处理设备</w:t>
            </w:r>
          </w:p>
        </w:tc>
        <w:tc>
          <w:tcPr>
            <w:tcW w:w="1259" w:type="dxa"/>
            <w:vMerge w:val="continue"/>
            <w:tcBorders>
              <w:left w:val="single" w:color="auto" w:sz="4" w:space="0"/>
              <w:right w:val="single" w:color="auto" w:sz="4" w:space="0"/>
            </w:tcBorders>
            <w:noWrap w:val="0"/>
            <w:vAlign w:val="top"/>
          </w:tcPr>
          <w:p>
            <w:pPr>
              <w:pageBreakBefore w:val="0"/>
              <w:kinsoku/>
              <w:overflowPunct/>
              <w:topLinePunct w:val="0"/>
              <w:autoSpaceDE/>
              <w:autoSpaceDN/>
              <w:bidi w:val="0"/>
              <w:spacing w:line="560" w:lineRule="exact"/>
              <w:jc w:val="left"/>
              <w:rPr>
                <w:rFonts w:ascii="Times New Roman" w:hAnsi="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嘉祥县</w:t>
            </w:r>
          </w:p>
        </w:tc>
        <w:tc>
          <w:tcPr>
            <w:tcW w:w="622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jc w:val="left"/>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新建监测点20处，更新调查数据采集及处理设备</w:t>
            </w:r>
          </w:p>
        </w:tc>
        <w:tc>
          <w:tcPr>
            <w:tcW w:w="1259" w:type="dxa"/>
            <w:vMerge w:val="continue"/>
            <w:tcBorders>
              <w:left w:val="single" w:color="auto" w:sz="4" w:space="0"/>
              <w:right w:val="single" w:color="auto" w:sz="4" w:space="0"/>
            </w:tcBorders>
            <w:noWrap w:val="0"/>
            <w:vAlign w:val="top"/>
          </w:tcPr>
          <w:p>
            <w:pPr>
              <w:pageBreakBefore w:val="0"/>
              <w:kinsoku/>
              <w:overflowPunct/>
              <w:topLinePunct w:val="0"/>
              <w:autoSpaceDE/>
              <w:autoSpaceDN/>
              <w:bidi w:val="0"/>
              <w:spacing w:line="560" w:lineRule="exact"/>
              <w:jc w:val="left"/>
              <w:rPr>
                <w:rFonts w:ascii="Times New Roman" w:hAnsi="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6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汶上县</w:t>
            </w:r>
          </w:p>
        </w:tc>
        <w:tc>
          <w:tcPr>
            <w:tcW w:w="622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jc w:val="left"/>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新建监测点</w:t>
            </w:r>
            <w:r>
              <w:rPr>
                <w:rFonts w:hint="eastAsia" w:ascii="方正仿宋简体" w:hAnsi="方正仿宋简体" w:eastAsia="方正仿宋简体" w:cs="方正仿宋简体"/>
                <w:sz w:val="24"/>
                <w:highlight w:val="none"/>
                <w:lang w:val="en-US" w:eastAsia="zh-CN"/>
              </w:rPr>
              <w:t>30</w:t>
            </w:r>
            <w:r>
              <w:rPr>
                <w:rFonts w:hint="eastAsia" w:ascii="方正仿宋简体" w:hAnsi="方正仿宋简体" w:eastAsia="方正仿宋简体" w:cs="方正仿宋简体"/>
                <w:sz w:val="24"/>
                <w:highlight w:val="none"/>
              </w:rPr>
              <w:t>处，更新调查数据采集及处理设备</w:t>
            </w:r>
          </w:p>
        </w:tc>
        <w:tc>
          <w:tcPr>
            <w:tcW w:w="1259" w:type="dxa"/>
            <w:vMerge w:val="continue"/>
            <w:tcBorders>
              <w:left w:val="single" w:color="auto" w:sz="4" w:space="0"/>
              <w:right w:val="single" w:color="auto" w:sz="4" w:space="0"/>
            </w:tcBorders>
            <w:noWrap w:val="0"/>
            <w:vAlign w:val="top"/>
          </w:tcPr>
          <w:p>
            <w:pPr>
              <w:pageBreakBefore w:val="0"/>
              <w:kinsoku/>
              <w:overflowPunct/>
              <w:topLinePunct w:val="0"/>
              <w:autoSpaceDE/>
              <w:autoSpaceDN/>
              <w:bidi w:val="0"/>
              <w:spacing w:line="560" w:lineRule="exact"/>
              <w:jc w:val="left"/>
              <w:rPr>
                <w:rFonts w:hint="eastAsia" w:ascii="Times New Roman" w:hAnsi="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6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梁山县</w:t>
            </w:r>
          </w:p>
        </w:tc>
        <w:tc>
          <w:tcPr>
            <w:tcW w:w="622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jc w:val="left"/>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新建监测点14处，更新调查数据采集及处理设备</w:t>
            </w:r>
          </w:p>
        </w:tc>
        <w:tc>
          <w:tcPr>
            <w:tcW w:w="1259" w:type="dxa"/>
            <w:vMerge w:val="continue"/>
            <w:tcBorders>
              <w:left w:val="single" w:color="auto" w:sz="4" w:space="0"/>
              <w:right w:val="single" w:color="auto" w:sz="4" w:space="0"/>
            </w:tcBorders>
            <w:noWrap w:val="0"/>
            <w:vAlign w:val="top"/>
          </w:tcPr>
          <w:p>
            <w:pPr>
              <w:pageBreakBefore w:val="0"/>
              <w:kinsoku/>
              <w:overflowPunct/>
              <w:topLinePunct w:val="0"/>
              <w:autoSpaceDE/>
              <w:autoSpaceDN/>
              <w:bidi w:val="0"/>
              <w:spacing w:line="560" w:lineRule="exact"/>
              <w:jc w:val="left"/>
              <w:rPr>
                <w:rFonts w:hint="eastAsia" w:ascii="Times New Roman" w:hAnsi="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6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高新区</w:t>
            </w:r>
          </w:p>
        </w:tc>
        <w:tc>
          <w:tcPr>
            <w:tcW w:w="622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jc w:val="left"/>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新建监测点10处，更新调查数据采集及处理设备</w:t>
            </w:r>
          </w:p>
        </w:tc>
        <w:tc>
          <w:tcPr>
            <w:tcW w:w="1259" w:type="dxa"/>
            <w:vMerge w:val="continue"/>
            <w:tcBorders>
              <w:left w:val="single" w:color="auto" w:sz="4" w:space="0"/>
              <w:right w:val="single" w:color="auto" w:sz="4" w:space="0"/>
            </w:tcBorders>
            <w:noWrap w:val="0"/>
            <w:vAlign w:val="top"/>
          </w:tcPr>
          <w:p>
            <w:pPr>
              <w:pageBreakBefore w:val="0"/>
              <w:kinsoku/>
              <w:overflowPunct/>
              <w:topLinePunct w:val="0"/>
              <w:autoSpaceDE/>
              <w:autoSpaceDN/>
              <w:bidi w:val="0"/>
              <w:spacing w:line="560" w:lineRule="exact"/>
              <w:jc w:val="left"/>
              <w:rPr>
                <w:rFonts w:hint="eastAsia" w:ascii="Times New Roman" w:hAnsi="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6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太白湖新区</w:t>
            </w:r>
          </w:p>
        </w:tc>
        <w:tc>
          <w:tcPr>
            <w:tcW w:w="622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jc w:val="left"/>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新建监测点10处，更新调查数据采集及处理设备</w:t>
            </w:r>
          </w:p>
        </w:tc>
        <w:tc>
          <w:tcPr>
            <w:tcW w:w="1259" w:type="dxa"/>
            <w:vMerge w:val="continue"/>
            <w:tcBorders>
              <w:left w:val="single" w:color="auto" w:sz="4" w:space="0"/>
              <w:right w:val="single" w:color="auto" w:sz="4" w:space="0"/>
            </w:tcBorders>
            <w:noWrap w:val="0"/>
            <w:vAlign w:val="top"/>
          </w:tcPr>
          <w:p>
            <w:pPr>
              <w:pageBreakBefore w:val="0"/>
              <w:kinsoku/>
              <w:overflowPunct/>
              <w:topLinePunct w:val="0"/>
              <w:autoSpaceDE/>
              <w:autoSpaceDN/>
              <w:bidi w:val="0"/>
              <w:spacing w:line="560" w:lineRule="exact"/>
              <w:jc w:val="left"/>
              <w:rPr>
                <w:rFonts w:hint="eastAsia" w:ascii="Times New Roman" w:hAnsi="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6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经开区</w:t>
            </w:r>
          </w:p>
        </w:tc>
        <w:tc>
          <w:tcPr>
            <w:tcW w:w="622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jc w:val="left"/>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新建监测点10处，更新调查数据采集及处理设备</w:t>
            </w:r>
          </w:p>
        </w:tc>
        <w:tc>
          <w:tcPr>
            <w:tcW w:w="1259" w:type="dxa"/>
            <w:vMerge w:val="continue"/>
            <w:tcBorders>
              <w:left w:val="single" w:color="auto" w:sz="4" w:space="0"/>
              <w:bottom w:val="single" w:color="auto" w:sz="4" w:space="0"/>
              <w:right w:val="single" w:color="auto" w:sz="4" w:space="0"/>
            </w:tcBorders>
            <w:noWrap w:val="0"/>
            <w:vAlign w:val="top"/>
          </w:tcPr>
          <w:p>
            <w:pPr>
              <w:pageBreakBefore w:val="0"/>
              <w:kinsoku/>
              <w:overflowPunct/>
              <w:topLinePunct w:val="0"/>
              <w:autoSpaceDE/>
              <w:autoSpaceDN/>
              <w:bidi w:val="0"/>
              <w:spacing w:line="560" w:lineRule="exact"/>
              <w:jc w:val="left"/>
              <w:rPr>
                <w:rFonts w:hint="eastAsia" w:ascii="Times New Roman" w:hAnsi="Times New Roman"/>
                <w:sz w:val="24"/>
                <w:highlight w:val="none"/>
              </w:rPr>
            </w:pPr>
          </w:p>
        </w:tc>
      </w:tr>
    </w:tbl>
    <w:p>
      <w:pPr>
        <w:pStyle w:val="5"/>
        <w:pageBreakBefore w:val="0"/>
        <w:kinsoku/>
        <w:overflowPunct/>
        <w:topLinePunct w:val="0"/>
        <w:autoSpaceDE/>
        <w:autoSpaceDN/>
        <w:bidi w:val="0"/>
        <w:spacing w:line="560" w:lineRule="exact"/>
        <w:outlineLvl w:val="1"/>
      </w:pPr>
      <w:bookmarkStart w:id="39" w:name="_Toc15765"/>
      <w:r>
        <w:rPr>
          <w:rFonts w:hint="eastAsia"/>
          <w:highlight w:val="none"/>
        </w:rPr>
        <w:t>二、检疫御灾体系</w:t>
      </w:r>
      <w:bookmarkEnd w:id="39"/>
    </w:p>
    <w:p>
      <w:pPr>
        <w:pStyle w:val="6"/>
        <w:pageBreakBefore w:val="0"/>
        <w:kinsoku/>
        <w:overflowPunct/>
        <w:topLinePunct w:val="0"/>
        <w:autoSpaceDE/>
        <w:autoSpaceDN/>
        <w:bidi w:val="0"/>
        <w:spacing w:line="560" w:lineRule="exact"/>
        <w:rPr>
          <w:rFonts w:hint="eastAsia"/>
        </w:rPr>
      </w:pPr>
      <w:r>
        <w:rPr>
          <w:rFonts w:hint="eastAsia"/>
        </w:rPr>
        <w:t>（一）建设目标</w:t>
      </w:r>
    </w:p>
    <w:p>
      <w:pPr>
        <w:pageBreakBefore w:val="0"/>
        <w:kinsoku/>
        <w:overflowPunct/>
        <w:topLinePunct w:val="0"/>
        <w:autoSpaceDE/>
        <w:autoSpaceDN/>
        <w:bidi w:val="0"/>
        <w:spacing w:line="560" w:lineRule="exact"/>
        <w:ind w:firstLine="560"/>
        <w:rPr>
          <w:rFonts w:hint="eastAsia"/>
        </w:rPr>
      </w:pPr>
      <w:r>
        <w:rPr>
          <w:rFonts w:hint="eastAsia"/>
        </w:rPr>
        <w:t>建立完善的市</w:t>
      </w:r>
      <w:r>
        <w:rPr>
          <w:rFonts w:hint="eastAsia"/>
          <w:lang w:eastAsia="zh-CN"/>
        </w:rPr>
        <w:t>、</w:t>
      </w:r>
      <w:r>
        <w:rPr>
          <w:rFonts w:hint="eastAsia"/>
        </w:rPr>
        <w:t>县两级检疫御灾体系，完善检疫基础设施，提高检疫检验、检疫执法、除害处理水平，实现对危险性林业有害生物的封锁，快速准确检测、诊断和除害处理，全面提高检疫御灾能力，有效控制危险性林业有害生物传播蔓延。</w:t>
      </w:r>
    </w:p>
    <w:p>
      <w:pPr>
        <w:pStyle w:val="6"/>
        <w:pageBreakBefore w:val="0"/>
        <w:kinsoku/>
        <w:overflowPunct/>
        <w:topLinePunct w:val="0"/>
        <w:autoSpaceDE/>
        <w:autoSpaceDN/>
        <w:bidi w:val="0"/>
        <w:spacing w:line="560" w:lineRule="exact"/>
      </w:pPr>
      <w:r>
        <w:rPr>
          <w:rFonts w:hint="eastAsia"/>
        </w:rPr>
        <w:t>（二）建设任务</w:t>
      </w:r>
    </w:p>
    <w:p>
      <w:pPr>
        <w:pStyle w:val="7"/>
        <w:pageBreakBefore w:val="0"/>
        <w:kinsoku/>
        <w:overflowPunct/>
        <w:topLinePunct w:val="0"/>
        <w:autoSpaceDE/>
        <w:autoSpaceDN/>
        <w:bidi w:val="0"/>
        <w:spacing w:line="560" w:lineRule="exact"/>
        <w:jc w:val="left"/>
        <w:rPr>
          <w:rFonts w:hint="eastAsia"/>
        </w:rPr>
      </w:pPr>
      <w:r>
        <w:rPr>
          <w:rFonts w:hint="eastAsia"/>
        </w:rPr>
        <w:t>1.林业植物检疫</w:t>
      </w:r>
    </w:p>
    <w:p>
      <w:pPr>
        <w:pageBreakBefore w:val="0"/>
        <w:kinsoku/>
        <w:overflowPunct/>
        <w:topLinePunct w:val="0"/>
        <w:autoSpaceDE/>
        <w:autoSpaceDN/>
        <w:bidi w:val="0"/>
        <w:spacing w:line="560" w:lineRule="exact"/>
        <w:ind w:firstLine="560"/>
        <w:rPr>
          <w:rFonts w:hint="eastAsia"/>
        </w:rPr>
      </w:pPr>
      <w:r>
        <w:rPr>
          <w:rFonts w:hint="eastAsia"/>
          <w:lang w:val="en-US" w:eastAsia="zh-CN"/>
        </w:rPr>
        <w:t>完善全市林业植物检疫检查点，</w:t>
      </w:r>
      <w:r>
        <w:rPr>
          <w:rFonts w:hint="eastAsia"/>
        </w:rPr>
        <w:t>在松材线虫病疫区和重点预防区的主要交通要道调整</w:t>
      </w:r>
      <w:r>
        <w:rPr>
          <w:rFonts w:hint="eastAsia"/>
          <w:lang w:eastAsia="zh-CN"/>
        </w:rPr>
        <w:t>、</w:t>
      </w:r>
      <w:r>
        <w:rPr>
          <w:rFonts w:hint="eastAsia"/>
        </w:rPr>
        <w:t>新建临时检查</w:t>
      </w:r>
      <w:r>
        <w:rPr>
          <w:rFonts w:hint="eastAsia"/>
          <w:lang w:val="en-US" w:eastAsia="zh-CN"/>
        </w:rPr>
        <w:t>卡口</w:t>
      </w:r>
      <w:r>
        <w:rPr>
          <w:rFonts w:hint="eastAsia"/>
        </w:rPr>
        <w:t>，严防危险性林业有害生物传播扩散。</w:t>
      </w:r>
    </w:p>
    <w:p>
      <w:pPr>
        <w:pageBreakBefore w:val="0"/>
        <w:kinsoku/>
        <w:overflowPunct/>
        <w:topLinePunct w:val="0"/>
        <w:autoSpaceDE/>
        <w:autoSpaceDN/>
        <w:bidi w:val="0"/>
        <w:spacing w:line="560" w:lineRule="exact"/>
        <w:rPr>
          <w:rFonts w:hint="eastAsia" w:eastAsia="仿宋"/>
          <w:lang w:eastAsia="zh-CN"/>
        </w:rPr>
      </w:pPr>
      <w:r>
        <w:t>对</w:t>
      </w:r>
      <w:r>
        <w:rPr>
          <w:rFonts w:hint="eastAsia"/>
          <w:lang w:val="en-US" w:eastAsia="zh-CN"/>
        </w:rPr>
        <w:t>全市</w:t>
      </w:r>
      <w:r>
        <w:rPr>
          <w:rFonts w:hint="eastAsia"/>
        </w:rPr>
        <w:t>林业植物</w:t>
      </w:r>
      <w:r>
        <w:t>产地检疫、调运检疫、引种检疫审批实行网络化、信息化管理。建立检疫追溯体系，实现林业植物及其产品从生产到流通、使用环节的全过程溯源跟踪</w:t>
      </w:r>
      <w:r>
        <w:rPr>
          <w:rFonts w:hint="eastAsia"/>
          <w:lang w:eastAsia="zh-CN"/>
        </w:rPr>
        <w:t>。</w:t>
      </w:r>
    </w:p>
    <w:p>
      <w:pPr>
        <w:pStyle w:val="7"/>
        <w:pageBreakBefore w:val="0"/>
        <w:kinsoku/>
        <w:overflowPunct/>
        <w:topLinePunct w:val="0"/>
        <w:autoSpaceDE/>
        <w:autoSpaceDN/>
        <w:bidi w:val="0"/>
        <w:spacing w:line="560" w:lineRule="exact"/>
        <w:jc w:val="left"/>
        <w:rPr>
          <w:rFonts w:hint="eastAsia"/>
        </w:rPr>
      </w:pPr>
      <w:r>
        <w:rPr>
          <w:rFonts w:hint="eastAsia"/>
        </w:rPr>
        <w:t>2.检疫鉴定实验室</w:t>
      </w:r>
    </w:p>
    <w:p>
      <w:pPr>
        <w:pageBreakBefore w:val="0"/>
        <w:kinsoku/>
        <w:overflowPunct/>
        <w:topLinePunct w:val="0"/>
        <w:autoSpaceDE/>
        <w:autoSpaceDN/>
        <w:bidi w:val="0"/>
        <w:spacing w:line="560" w:lineRule="exact"/>
        <w:ind w:firstLine="560"/>
        <w:rPr>
          <w:rFonts w:hint="eastAsia" w:eastAsia="方正仿宋简体"/>
          <w:lang w:eastAsia="zh-CN"/>
        </w:rPr>
      </w:pPr>
      <w:r>
        <w:rPr>
          <w:rFonts w:hint="eastAsia"/>
        </w:rPr>
        <w:t>完善</w:t>
      </w:r>
      <w:r>
        <w:rPr>
          <w:rFonts w:hint="eastAsia"/>
          <w:lang w:val="en-US" w:eastAsia="zh-CN"/>
        </w:rPr>
        <w:t>任城区、兖州区、曲阜市、泗水县、邹城市、鱼台县、汶上县、梁山县</w:t>
      </w:r>
      <w:r>
        <w:rPr>
          <w:rFonts w:hint="eastAsia"/>
        </w:rPr>
        <w:t>等</w:t>
      </w:r>
      <w:r>
        <w:rPr>
          <w:rFonts w:hint="eastAsia"/>
          <w:lang w:val="en-US" w:eastAsia="zh-CN"/>
        </w:rPr>
        <w:t>8</w:t>
      </w:r>
      <w:r>
        <w:rPr>
          <w:rFonts w:hint="eastAsia"/>
        </w:rPr>
        <w:t>处检疫</w:t>
      </w:r>
      <w:r>
        <w:t>鉴定实验室</w:t>
      </w:r>
      <w:r>
        <w:rPr>
          <w:rFonts w:hint="eastAsia"/>
        </w:rPr>
        <w:t>建设，更新老旧设备，完善信息管理，做好林业有害生物</w:t>
      </w:r>
      <w:r>
        <w:t>防控体系的支撑</w:t>
      </w:r>
      <w:r>
        <w:rPr>
          <w:rFonts w:hint="eastAsia"/>
        </w:rPr>
        <w:t>，提高全市检疫鉴定工作水平，从根本上解决实验室建设滞后的问题，为检疫鉴定工作提供规范化、专业化的技术支持</w:t>
      </w:r>
      <w:r>
        <w:rPr>
          <w:rFonts w:hint="eastAsia"/>
          <w:lang w:eastAsia="zh-CN"/>
        </w:rPr>
        <w:t>。</w:t>
      </w:r>
    </w:p>
    <w:tbl>
      <w:tblPr>
        <w:tblStyle w:val="21"/>
        <w:tblW w:w="9703" w:type="dxa"/>
        <w:jc w:val="center"/>
        <w:tblInd w:w="-3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4450"/>
        <w:gridCol w:w="4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9703" w:type="dxa"/>
            <w:gridSpan w:val="3"/>
            <w:tcBorders>
              <w:top w:val="nil"/>
              <w:left w:val="nil"/>
              <w:bottom w:val="nil"/>
              <w:right w:val="nil"/>
            </w:tcBorders>
            <w:noWrap w:val="0"/>
            <w:vAlign w:val="center"/>
          </w:tcPr>
          <w:p>
            <w:pPr>
              <w:pageBreakBefore w:val="0"/>
              <w:kinsoku/>
              <w:overflowPunct/>
              <w:topLinePunct w:val="0"/>
              <w:autoSpaceDE/>
              <w:autoSpaceDN/>
              <w:bidi w:val="0"/>
              <w:spacing w:line="560" w:lineRule="exact"/>
              <w:ind w:firstLine="0" w:firstLineChars="0"/>
              <w:jc w:val="center"/>
              <w:rPr>
                <w:rFonts w:ascii="楷体" w:hAnsi="楷体" w:eastAsia="楷体" w:cs="楷体"/>
                <w:b/>
                <w:szCs w:val="28"/>
              </w:rPr>
            </w:pPr>
            <w:r>
              <w:rPr>
                <w:rFonts w:hint="eastAsia" w:ascii="方正仿宋简体" w:hAnsi="方正仿宋简体" w:eastAsia="方正仿宋简体" w:cs="方正仿宋简体"/>
                <w:b/>
                <w:sz w:val="28"/>
                <w:szCs w:val="28"/>
              </w:rPr>
              <w:t>表4.2-1检疫</w:t>
            </w:r>
            <w:r>
              <w:rPr>
                <w:rFonts w:hint="eastAsia" w:ascii="Times New Roman" w:hAnsi="Times New Roman" w:cs="Times New Roman"/>
                <w:b/>
                <w:sz w:val="28"/>
                <w:szCs w:val="28"/>
              </w:rPr>
              <w:t>鉴定实验室建设任务分解一览表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黑体" w:hAnsi="黑体" w:eastAsia="黑体" w:cs="黑体"/>
                <w:b/>
                <w:bCs/>
                <w:sz w:val="24"/>
                <w:lang w:eastAsia="zh-CN"/>
              </w:rPr>
            </w:pPr>
            <w:r>
              <w:rPr>
                <w:rFonts w:hint="eastAsia" w:ascii="黑体" w:hAnsi="黑体" w:eastAsia="黑体" w:cs="黑体"/>
                <w:b/>
                <w:bCs/>
                <w:sz w:val="24"/>
                <w:lang w:val="en-US" w:eastAsia="zh-CN"/>
              </w:rPr>
              <w:t>类别</w:t>
            </w:r>
          </w:p>
        </w:tc>
        <w:tc>
          <w:tcPr>
            <w:tcW w:w="445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黑体" w:hAnsi="黑体" w:eastAsia="黑体" w:cs="黑体"/>
                <w:b/>
                <w:bCs/>
                <w:sz w:val="24"/>
              </w:rPr>
            </w:pPr>
            <w:r>
              <w:rPr>
                <w:rFonts w:hint="eastAsia" w:ascii="黑体" w:hAnsi="黑体" w:eastAsia="黑体" w:cs="黑体"/>
                <w:b/>
                <w:bCs/>
                <w:sz w:val="24"/>
              </w:rPr>
              <w:t>建设任务</w:t>
            </w:r>
          </w:p>
        </w:tc>
        <w:tc>
          <w:tcPr>
            <w:tcW w:w="426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黑体" w:hAnsi="黑体" w:eastAsia="黑体" w:cs="黑体"/>
                <w:b/>
                <w:bCs/>
                <w:sz w:val="24"/>
              </w:rPr>
            </w:pPr>
            <w:r>
              <w:rPr>
                <w:rFonts w:hint="eastAsia" w:ascii="黑体" w:hAnsi="黑体" w:eastAsia="黑体" w:cs="黑体"/>
                <w:b/>
                <w:bCs/>
                <w:sz w:val="24"/>
              </w:rPr>
              <w:t>建设地点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sz w:val="24"/>
              </w:rPr>
            </w:pPr>
            <w:r>
              <w:rPr>
                <w:rFonts w:hint="eastAsia"/>
                <w:sz w:val="24"/>
                <w:lang w:val="en-US" w:eastAsia="zh-CN"/>
              </w:rPr>
              <w:t>省</w:t>
            </w:r>
            <w:r>
              <w:rPr>
                <w:rFonts w:hint="eastAsia"/>
                <w:sz w:val="24"/>
              </w:rPr>
              <w:t>级</w:t>
            </w:r>
          </w:p>
        </w:tc>
        <w:tc>
          <w:tcPr>
            <w:tcW w:w="445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left="0" w:leftChars="0" w:firstLine="0" w:firstLineChars="0"/>
              <w:jc w:val="left"/>
              <w:rPr>
                <w:sz w:val="24"/>
              </w:rPr>
            </w:pPr>
            <w:r>
              <w:rPr>
                <w:rFonts w:hint="eastAsia" w:ascii="Times New Roman" w:hAnsi="Times New Roman" w:cs="Times New Roman"/>
                <w:sz w:val="24"/>
              </w:rPr>
              <w:t>更新市级检疫鉴定实验室老旧设备</w:t>
            </w:r>
          </w:p>
        </w:tc>
        <w:tc>
          <w:tcPr>
            <w:tcW w:w="4260"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default" w:eastAsia="仿宋"/>
                <w:color w:val="FF0000"/>
                <w:sz w:val="24"/>
                <w:lang w:val="en-US" w:eastAsia="zh-CN"/>
              </w:rPr>
            </w:pPr>
            <w:r>
              <w:rPr>
                <w:rFonts w:hint="eastAsia"/>
                <w:color w:val="auto"/>
                <w:sz w:val="24"/>
                <w:lang w:val="en-US" w:eastAsia="zh-CN"/>
              </w:rPr>
              <w:t>邹城市、梁山县两处省级实验室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sz w:val="24"/>
              </w:rPr>
            </w:pPr>
            <w:r>
              <w:rPr>
                <w:rFonts w:hint="eastAsia"/>
                <w:sz w:val="24"/>
              </w:rPr>
              <w:t>县级</w:t>
            </w:r>
          </w:p>
        </w:tc>
        <w:tc>
          <w:tcPr>
            <w:tcW w:w="445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left="0" w:leftChars="0" w:firstLine="0" w:firstLineChars="0"/>
              <w:jc w:val="left"/>
              <w:rPr>
                <w:sz w:val="24"/>
              </w:rPr>
            </w:pPr>
            <w:r>
              <w:rPr>
                <w:rFonts w:hint="eastAsia"/>
                <w:sz w:val="24"/>
              </w:rPr>
              <w:t>完善</w:t>
            </w:r>
            <w:r>
              <w:rPr>
                <w:sz w:val="24"/>
              </w:rPr>
              <w:t>信息管理设备和实验室仪器设备</w:t>
            </w:r>
          </w:p>
        </w:tc>
        <w:tc>
          <w:tcPr>
            <w:tcW w:w="4260" w:type="dxa"/>
            <w:tcBorders>
              <w:left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left="0" w:leftChars="0" w:firstLine="0" w:firstLineChars="0"/>
              <w:jc w:val="left"/>
              <w:rPr>
                <w:rFonts w:hint="eastAsia"/>
                <w:sz w:val="24"/>
              </w:rPr>
            </w:pPr>
            <w:r>
              <w:rPr>
                <w:rFonts w:hint="eastAsia"/>
                <w:sz w:val="24"/>
              </w:rPr>
              <w:t>任城区、兖州区、曲阜市、泗水县、鱼台县、汶上县</w:t>
            </w:r>
          </w:p>
        </w:tc>
      </w:tr>
    </w:tbl>
    <w:p>
      <w:pPr>
        <w:pStyle w:val="7"/>
        <w:pageBreakBefore w:val="0"/>
        <w:kinsoku/>
        <w:overflowPunct/>
        <w:topLinePunct w:val="0"/>
        <w:autoSpaceDE/>
        <w:autoSpaceDN/>
        <w:bidi w:val="0"/>
        <w:spacing w:line="560" w:lineRule="exact"/>
        <w:jc w:val="left"/>
        <w:rPr>
          <w:rFonts w:hint="eastAsia"/>
        </w:rPr>
      </w:pPr>
      <w:r>
        <w:rPr>
          <w:rFonts w:hint="eastAsia"/>
        </w:rPr>
        <w:t>3.检疫执法装备</w:t>
      </w:r>
    </w:p>
    <w:p>
      <w:pPr>
        <w:pageBreakBefore w:val="0"/>
        <w:kinsoku/>
        <w:overflowPunct/>
        <w:topLinePunct w:val="0"/>
        <w:autoSpaceDE/>
        <w:autoSpaceDN/>
        <w:bidi w:val="0"/>
        <w:spacing w:line="560" w:lineRule="exact"/>
        <w:ind w:firstLine="560"/>
      </w:pPr>
      <w:r>
        <w:rPr>
          <w:rFonts w:hint="eastAsia"/>
        </w:rPr>
        <w:t>为全市林业植物检疫执法机构配备专用检疫工具箱、检疫制服等装备，提高检疫执法装备水平，满足林业植物检疫工作人员进行野外调查</w:t>
      </w:r>
      <w:r>
        <w:rPr>
          <w:rFonts w:hint="eastAsia"/>
          <w:lang w:eastAsia="zh-CN"/>
        </w:rPr>
        <w:t>、</w:t>
      </w:r>
      <w:r>
        <w:rPr>
          <w:rFonts w:hint="eastAsia"/>
        </w:rPr>
        <w:t>现场检疫</w:t>
      </w:r>
      <w:r>
        <w:rPr>
          <w:rFonts w:hint="eastAsia"/>
          <w:lang w:eastAsia="zh-CN"/>
        </w:rPr>
        <w:t>、</w:t>
      </w:r>
      <w:r>
        <w:rPr>
          <w:rFonts w:hint="eastAsia"/>
          <w:lang w:val="en-US" w:eastAsia="zh-CN"/>
        </w:rPr>
        <w:t>样品采集等</w:t>
      </w:r>
      <w:r>
        <w:rPr>
          <w:rFonts w:hint="eastAsia"/>
        </w:rPr>
        <w:t>的</w:t>
      </w:r>
      <w:r>
        <w:rPr>
          <w:rFonts w:hint="eastAsia"/>
          <w:lang w:val="en-US" w:eastAsia="zh-CN"/>
        </w:rPr>
        <w:t>工作需求</w:t>
      </w:r>
      <w:r>
        <w:rPr>
          <w:rFonts w:hint="eastAsia"/>
        </w:rPr>
        <w:t>。</w:t>
      </w:r>
    </w:p>
    <w:tbl>
      <w:tblPr>
        <w:tblStyle w:val="21"/>
        <w:tblW w:w="9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7"/>
        <w:gridCol w:w="2381"/>
        <w:gridCol w:w="2374"/>
        <w:gridCol w:w="23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blHeader/>
          <w:jc w:val="center"/>
        </w:trPr>
        <w:tc>
          <w:tcPr>
            <w:tcW w:w="9061" w:type="dxa"/>
            <w:gridSpan w:val="4"/>
            <w:tcBorders>
              <w:top w:val="nil"/>
              <w:left w:val="nil"/>
              <w:bottom w:val="nil"/>
              <w:right w:val="nil"/>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b/>
                <w:szCs w:val="28"/>
              </w:rPr>
            </w:pPr>
            <w:r>
              <w:rPr>
                <w:rFonts w:hint="eastAsia" w:ascii="方正仿宋简体" w:hAnsi="方正仿宋简体" w:eastAsia="方正仿宋简体" w:cs="方正仿宋简体"/>
                <w:b/>
                <w:sz w:val="28"/>
                <w:szCs w:val="28"/>
              </w:rPr>
              <w:t>表4.2-2检疫</w:t>
            </w:r>
            <w:r>
              <w:rPr>
                <w:rFonts w:hint="eastAsia" w:ascii="Times New Roman" w:hAnsi="Times New Roman" w:cs="Times New Roman"/>
                <w:b/>
                <w:sz w:val="28"/>
                <w:szCs w:val="28"/>
              </w:rPr>
              <w:t>执法装备建设任务分解一览表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blHeader/>
          <w:jc w:val="center"/>
        </w:trPr>
        <w:tc>
          <w:tcPr>
            <w:tcW w:w="1957" w:type="dxa"/>
            <w:vMerge w:val="restart"/>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bCs/>
                <w:sz w:val="24"/>
                <w:lang w:eastAsia="zh-CN"/>
              </w:rPr>
            </w:pPr>
            <w:r>
              <w:rPr>
                <w:rFonts w:hint="eastAsia" w:ascii="Times New Roman" w:hAnsi="Times New Roman" w:eastAsia="黑体" w:cs="黑体"/>
                <w:b/>
                <w:bCs/>
                <w:sz w:val="24"/>
                <w:lang w:val="en-US" w:eastAsia="zh-CN"/>
              </w:rPr>
              <w:t>县（</w:t>
            </w:r>
            <w:r>
              <w:rPr>
                <w:rFonts w:hint="eastAsia" w:ascii="Times New Roman" w:hAnsi="Times New Roman" w:eastAsia="黑体" w:cs="黑体"/>
                <w:b/>
                <w:bCs/>
                <w:sz w:val="24"/>
                <w:lang w:val="en-US" w:eastAsia="zh-CN"/>
              </w:rPr>
              <w:t>市、区</w:t>
            </w:r>
            <w:r>
              <w:rPr>
                <w:rFonts w:hint="eastAsia" w:ascii="Times New Roman" w:hAnsi="Times New Roman" w:eastAsia="黑体" w:cs="黑体"/>
                <w:b/>
                <w:bCs/>
                <w:sz w:val="24"/>
                <w:lang w:val="en-US" w:eastAsia="zh-CN"/>
              </w:rPr>
              <w:t>）</w:t>
            </w:r>
          </w:p>
        </w:tc>
        <w:tc>
          <w:tcPr>
            <w:tcW w:w="7104" w:type="dxa"/>
            <w:gridSpan w:val="3"/>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bCs/>
                <w:sz w:val="24"/>
              </w:rPr>
            </w:pPr>
            <w:r>
              <w:rPr>
                <w:rFonts w:hint="eastAsia" w:ascii="Times New Roman" w:hAnsi="Times New Roman" w:eastAsia="黑体" w:cs="黑体"/>
                <w:b/>
                <w:bCs/>
                <w:sz w:val="24"/>
              </w:rPr>
              <w:t>建设任务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blHeader/>
          <w:jc w:val="center"/>
        </w:trPr>
        <w:tc>
          <w:tcPr>
            <w:tcW w:w="1957" w:type="dxa"/>
            <w:vMerge w:val="continue"/>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rPr>
                <w:rFonts w:ascii="Times New Roman" w:hAnsi="Times New Roman" w:eastAsia="黑体" w:cs="黑体"/>
                <w:b/>
                <w:bCs/>
                <w:sz w:val="24"/>
              </w:rPr>
            </w:pPr>
          </w:p>
        </w:tc>
        <w:tc>
          <w:tcPr>
            <w:tcW w:w="238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bCs/>
                <w:sz w:val="24"/>
              </w:rPr>
            </w:pPr>
            <w:r>
              <w:rPr>
                <w:rFonts w:hint="eastAsia" w:ascii="Times New Roman" w:hAnsi="Times New Roman" w:eastAsia="黑体" w:cs="黑体"/>
                <w:b/>
                <w:bCs/>
                <w:sz w:val="24"/>
              </w:rPr>
              <w:t>检疫工具箱</w:t>
            </w:r>
          </w:p>
        </w:tc>
        <w:tc>
          <w:tcPr>
            <w:tcW w:w="237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bCs/>
                <w:sz w:val="24"/>
              </w:rPr>
            </w:pPr>
            <w:r>
              <w:rPr>
                <w:rFonts w:hint="eastAsia" w:ascii="Times New Roman" w:hAnsi="Times New Roman" w:eastAsia="黑体" w:cs="黑体"/>
                <w:b/>
                <w:bCs/>
                <w:sz w:val="24"/>
              </w:rPr>
              <w:t>松材线虫</w:t>
            </w:r>
          </w:p>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bCs/>
                <w:sz w:val="24"/>
              </w:rPr>
            </w:pPr>
            <w:r>
              <w:rPr>
                <w:rFonts w:hint="eastAsia" w:ascii="Times New Roman" w:hAnsi="Times New Roman" w:eastAsia="黑体" w:cs="黑体"/>
                <w:b/>
                <w:bCs/>
                <w:sz w:val="24"/>
              </w:rPr>
              <w:t>快速检测仪</w:t>
            </w:r>
          </w:p>
        </w:tc>
        <w:tc>
          <w:tcPr>
            <w:tcW w:w="234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bCs/>
                <w:sz w:val="24"/>
              </w:rPr>
            </w:pPr>
            <w:r>
              <w:rPr>
                <w:rFonts w:hint="eastAsia" w:ascii="Times New Roman" w:hAnsi="Times New Roman" w:eastAsia="黑体" w:cs="黑体"/>
                <w:b/>
                <w:bCs/>
                <w:sz w:val="24"/>
              </w:rPr>
              <w:t>检疫制服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957"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hint="eastAsia" w:ascii="Times New Roman" w:hAnsi="Times New Roman"/>
                <w:sz w:val="24"/>
              </w:rPr>
              <w:t>任城区</w:t>
            </w:r>
          </w:p>
        </w:tc>
        <w:tc>
          <w:tcPr>
            <w:tcW w:w="238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2</w:t>
            </w:r>
          </w:p>
        </w:tc>
        <w:tc>
          <w:tcPr>
            <w:tcW w:w="237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w:t>
            </w:r>
          </w:p>
        </w:tc>
        <w:tc>
          <w:tcPr>
            <w:tcW w:w="234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每人2套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957"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hint="eastAsia" w:ascii="Times New Roman" w:hAnsi="Times New Roman"/>
                <w:sz w:val="24"/>
              </w:rPr>
              <w:t>兖州区</w:t>
            </w:r>
          </w:p>
        </w:tc>
        <w:tc>
          <w:tcPr>
            <w:tcW w:w="238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2</w:t>
            </w:r>
          </w:p>
        </w:tc>
        <w:tc>
          <w:tcPr>
            <w:tcW w:w="237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w:t>
            </w:r>
          </w:p>
        </w:tc>
        <w:tc>
          <w:tcPr>
            <w:tcW w:w="234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每人2套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957"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hint="eastAsia" w:ascii="Times New Roman" w:hAnsi="Times New Roman"/>
                <w:sz w:val="24"/>
              </w:rPr>
              <w:t>曲阜市</w:t>
            </w:r>
          </w:p>
        </w:tc>
        <w:tc>
          <w:tcPr>
            <w:tcW w:w="238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2</w:t>
            </w:r>
          </w:p>
        </w:tc>
        <w:tc>
          <w:tcPr>
            <w:tcW w:w="237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w:t>
            </w:r>
          </w:p>
        </w:tc>
        <w:tc>
          <w:tcPr>
            <w:tcW w:w="234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每人2套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957"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hint="eastAsia" w:ascii="Times New Roman" w:hAnsi="Times New Roman"/>
                <w:sz w:val="24"/>
              </w:rPr>
              <w:t>泗水县</w:t>
            </w:r>
          </w:p>
        </w:tc>
        <w:tc>
          <w:tcPr>
            <w:tcW w:w="238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3</w:t>
            </w:r>
          </w:p>
        </w:tc>
        <w:tc>
          <w:tcPr>
            <w:tcW w:w="237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1</w:t>
            </w:r>
          </w:p>
        </w:tc>
        <w:tc>
          <w:tcPr>
            <w:tcW w:w="234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每人2套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957"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hint="eastAsia" w:ascii="Times New Roman" w:hAnsi="Times New Roman"/>
                <w:sz w:val="24"/>
              </w:rPr>
              <w:t>邹城市</w:t>
            </w:r>
          </w:p>
        </w:tc>
        <w:tc>
          <w:tcPr>
            <w:tcW w:w="238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2</w:t>
            </w:r>
          </w:p>
        </w:tc>
        <w:tc>
          <w:tcPr>
            <w:tcW w:w="237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w:t>
            </w:r>
          </w:p>
        </w:tc>
        <w:tc>
          <w:tcPr>
            <w:tcW w:w="234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每人2套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957"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hint="eastAsia" w:ascii="Times New Roman" w:hAnsi="Times New Roman"/>
                <w:sz w:val="24"/>
              </w:rPr>
              <w:t>微山县</w:t>
            </w:r>
          </w:p>
        </w:tc>
        <w:tc>
          <w:tcPr>
            <w:tcW w:w="238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eastAsia="zh-CN"/>
              </w:rPr>
            </w:pPr>
            <w:r>
              <w:rPr>
                <w:rFonts w:hint="eastAsia" w:ascii="方正仿宋简体" w:hAnsi="方正仿宋简体" w:eastAsia="方正仿宋简体" w:cs="方正仿宋简体"/>
                <w:sz w:val="24"/>
                <w:lang w:val="en-US" w:eastAsia="zh-CN"/>
              </w:rPr>
              <w:t>1</w:t>
            </w:r>
          </w:p>
        </w:tc>
        <w:tc>
          <w:tcPr>
            <w:tcW w:w="237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w:t>
            </w:r>
          </w:p>
        </w:tc>
        <w:tc>
          <w:tcPr>
            <w:tcW w:w="234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eastAsia="zh-CN"/>
              </w:rPr>
            </w:pPr>
            <w:r>
              <w:rPr>
                <w:rFonts w:hint="eastAsia" w:ascii="方正仿宋简体" w:hAnsi="方正仿宋简体" w:eastAsia="方正仿宋简体" w:cs="方正仿宋简体"/>
                <w:sz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957"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hint="eastAsia" w:ascii="Times New Roman" w:hAnsi="Times New Roman"/>
                <w:sz w:val="24"/>
              </w:rPr>
              <w:t>鱼台县</w:t>
            </w:r>
          </w:p>
        </w:tc>
        <w:tc>
          <w:tcPr>
            <w:tcW w:w="238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2</w:t>
            </w:r>
          </w:p>
        </w:tc>
        <w:tc>
          <w:tcPr>
            <w:tcW w:w="237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w:t>
            </w:r>
          </w:p>
        </w:tc>
        <w:tc>
          <w:tcPr>
            <w:tcW w:w="234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每人2套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957"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hint="eastAsia" w:ascii="Times New Roman" w:hAnsi="Times New Roman"/>
                <w:sz w:val="24"/>
              </w:rPr>
              <w:t>金乡县</w:t>
            </w:r>
          </w:p>
        </w:tc>
        <w:tc>
          <w:tcPr>
            <w:tcW w:w="238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1</w:t>
            </w:r>
          </w:p>
        </w:tc>
        <w:tc>
          <w:tcPr>
            <w:tcW w:w="237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w:t>
            </w:r>
          </w:p>
        </w:tc>
        <w:tc>
          <w:tcPr>
            <w:tcW w:w="234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rPr>
            </w:pPr>
            <w:r>
              <w:rPr>
                <w:rFonts w:hint="eastAsia" w:ascii="方正仿宋简体" w:hAnsi="方正仿宋简体" w:eastAsia="方正仿宋简体" w:cs="方正仿宋简体"/>
                <w:sz w:val="24"/>
              </w:rPr>
              <w:t>每人2套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957"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hint="eastAsia" w:ascii="Times New Roman" w:hAnsi="Times New Roman"/>
                <w:sz w:val="24"/>
              </w:rPr>
              <w:t>嘉祥县</w:t>
            </w:r>
          </w:p>
        </w:tc>
        <w:tc>
          <w:tcPr>
            <w:tcW w:w="238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1</w:t>
            </w:r>
          </w:p>
        </w:tc>
        <w:tc>
          <w:tcPr>
            <w:tcW w:w="237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w:t>
            </w:r>
          </w:p>
        </w:tc>
        <w:tc>
          <w:tcPr>
            <w:tcW w:w="234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每人2套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957"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hint="eastAsia" w:ascii="Times New Roman" w:hAnsi="Times New Roman"/>
                <w:sz w:val="24"/>
              </w:rPr>
              <w:t>汶上县</w:t>
            </w:r>
          </w:p>
        </w:tc>
        <w:tc>
          <w:tcPr>
            <w:tcW w:w="238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2</w:t>
            </w:r>
          </w:p>
        </w:tc>
        <w:tc>
          <w:tcPr>
            <w:tcW w:w="237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w:t>
            </w:r>
          </w:p>
        </w:tc>
        <w:tc>
          <w:tcPr>
            <w:tcW w:w="234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每人2套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957"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hint="eastAsia" w:ascii="Times New Roman" w:hAnsi="Times New Roman"/>
                <w:sz w:val="24"/>
              </w:rPr>
              <w:t>梁山县</w:t>
            </w:r>
          </w:p>
        </w:tc>
        <w:tc>
          <w:tcPr>
            <w:tcW w:w="238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2</w:t>
            </w:r>
          </w:p>
        </w:tc>
        <w:tc>
          <w:tcPr>
            <w:tcW w:w="237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w:t>
            </w:r>
          </w:p>
        </w:tc>
        <w:tc>
          <w:tcPr>
            <w:tcW w:w="234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每人2套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957"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仿宋"/>
                <w:sz w:val="24"/>
                <w:highlight w:val="none"/>
                <w:lang w:val="en-US" w:eastAsia="zh-CN"/>
              </w:rPr>
            </w:pPr>
            <w:r>
              <w:rPr>
                <w:rFonts w:hint="eastAsia" w:ascii="Times New Roman" w:hAnsi="Times New Roman"/>
                <w:sz w:val="24"/>
                <w:highlight w:val="none"/>
                <w:lang w:val="en-US" w:eastAsia="zh-CN"/>
              </w:rPr>
              <w:t>高新区</w:t>
            </w:r>
          </w:p>
        </w:tc>
        <w:tc>
          <w:tcPr>
            <w:tcW w:w="238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kern w:val="2"/>
                <w:sz w:val="24"/>
                <w:szCs w:val="24"/>
                <w:highlight w:val="none"/>
                <w:lang w:val="en-US" w:eastAsia="zh-CN" w:bidi="ar-SA"/>
              </w:rPr>
            </w:pPr>
            <w:r>
              <w:rPr>
                <w:rFonts w:hint="eastAsia" w:ascii="方正仿宋简体" w:hAnsi="方正仿宋简体" w:eastAsia="方正仿宋简体" w:cs="方正仿宋简体"/>
                <w:sz w:val="24"/>
                <w:highlight w:val="none"/>
              </w:rPr>
              <w:t>1</w:t>
            </w:r>
          </w:p>
        </w:tc>
        <w:tc>
          <w:tcPr>
            <w:tcW w:w="237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kern w:val="2"/>
                <w:sz w:val="24"/>
                <w:szCs w:val="24"/>
                <w:highlight w:val="none"/>
                <w:lang w:val="en-US" w:eastAsia="zh-CN" w:bidi="ar-SA"/>
              </w:rPr>
            </w:pPr>
            <w:r>
              <w:rPr>
                <w:rFonts w:hint="eastAsia" w:ascii="方正仿宋简体" w:hAnsi="方正仿宋简体" w:eastAsia="方正仿宋简体" w:cs="方正仿宋简体"/>
                <w:sz w:val="24"/>
                <w:highlight w:val="none"/>
                <w:lang w:val="en-US" w:eastAsia="zh-CN"/>
              </w:rPr>
              <w:t>/</w:t>
            </w:r>
          </w:p>
        </w:tc>
        <w:tc>
          <w:tcPr>
            <w:tcW w:w="234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highlight w:val="none"/>
              </w:rPr>
            </w:pPr>
            <w:r>
              <w:rPr>
                <w:rFonts w:hint="eastAsia" w:ascii="方正仿宋简体" w:hAnsi="方正仿宋简体" w:eastAsia="方正仿宋简体" w:cs="方正仿宋简体"/>
                <w:sz w:val="24"/>
                <w:highlight w:val="none"/>
              </w:rPr>
              <w:t>每人2套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957"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default" w:ascii="Times New Roman" w:hAnsi="Times New Roman" w:eastAsia="仿宋"/>
                <w:sz w:val="24"/>
                <w:highlight w:val="none"/>
                <w:lang w:val="en-US" w:eastAsia="zh-CN"/>
              </w:rPr>
            </w:pPr>
            <w:r>
              <w:rPr>
                <w:rFonts w:hint="eastAsia" w:ascii="Times New Roman" w:hAnsi="Times New Roman"/>
                <w:sz w:val="24"/>
                <w:highlight w:val="none"/>
                <w:lang w:val="en-US" w:eastAsia="zh-CN"/>
              </w:rPr>
              <w:t>太白湖新区</w:t>
            </w:r>
          </w:p>
        </w:tc>
        <w:tc>
          <w:tcPr>
            <w:tcW w:w="238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kern w:val="2"/>
                <w:sz w:val="24"/>
                <w:szCs w:val="24"/>
                <w:highlight w:val="none"/>
                <w:lang w:val="en-US" w:eastAsia="zh-CN" w:bidi="ar-SA"/>
              </w:rPr>
            </w:pPr>
            <w:r>
              <w:rPr>
                <w:rFonts w:hint="eastAsia" w:ascii="方正仿宋简体" w:hAnsi="方正仿宋简体" w:eastAsia="方正仿宋简体" w:cs="方正仿宋简体"/>
                <w:sz w:val="24"/>
                <w:highlight w:val="none"/>
              </w:rPr>
              <w:t>1</w:t>
            </w:r>
          </w:p>
        </w:tc>
        <w:tc>
          <w:tcPr>
            <w:tcW w:w="237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kern w:val="2"/>
                <w:sz w:val="24"/>
                <w:szCs w:val="24"/>
                <w:highlight w:val="none"/>
                <w:lang w:val="en-US" w:eastAsia="zh-CN" w:bidi="ar-SA"/>
              </w:rPr>
            </w:pPr>
            <w:r>
              <w:rPr>
                <w:rFonts w:hint="eastAsia" w:ascii="方正仿宋简体" w:hAnsi="方正仿宋简体" w:eastAsia="方正仿宋简体" w:cs="方正仿宋简体"/>
                <w:sz w:val="24"/>
                <w:highlight w:val="none"/>
                <w:lang w:val="en-US" w:eastAsia="zh-CN"/>
              </w:rPr>
              <w:t>/</w:t>
            </w:r>
          </w:p>
        </w:tc>
        <w:tc>
          <w:tcPr>
            <w:tcW w:w="234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highlight w:val="none"/>
                <w:lang w:val="en-US" w:eastAsia="zh-CN"/>
              </w:rPr>
            </w:pPr>
            <w:r>
              <w:rPr>
                <w:rFonts w:hint="eastAsia" w:ascii="方正仿宋简体" w:hAnsi="方正仿宋简体" w:eastAsia="方正仿宋简体" w:cs="方正仿宋简体"/>
                <w:sz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957"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仿宋"/>
                <w:kern w:val="2"/>
                <w:sz w:val="24"/>
                <w:szCs w:val="24"/>
                <w:lang w:val="en-US" w:eastAsia="zh-CN" w:bidi="ar-SA"/>
              </w:rPr>
            </w:pPr>
            <w:r>
              <w:rPr>
                <w:rFonts w:hint="eastAsia" w:ascii="Times New Roman" w:hAnsi="Times New Roman"/>
                <w:sz w:val="24"/>
              </w:rPr>
              <w:t>经开区</w:t>
            </w:r>
          </w:p>
        </w:tc>
        <w:tc>
          <w:tcPr>
            <w:tcW w:w="238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kern w:val="2"/>
                <w:sz w:val="24"/>
                <w:szCs w:val="24"/>
                <w:lang w:val="en-US" w:eastAsia="zh-CN" w:bidi="ar-SA"/>
              </w:rPr>
            </w:pPr>
            <w:r>
              <w:rPr>
                <w:rFonts w:hint="eastAsia" w:ascii="方正仿宋简体" w:hAnsi="方正仿宋简体" w:eastAsia="方正仿宋简体" w:cs="方正仿宋简体"/>
                <w:sz w:val="24"/>
              </w:rPr>
              <w:t>1</w:t>
            </w:r>
          </w:p>
        </w:tc>
        <w:tc>
          <w:tcPr>
            <w:tcW w:w="237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kern w:val="2"/>
                <w:sz w:val="24"/>
                <w:szCs w:val="24"/>
                <w:lang w:val="en-US" w:eastAsia="zh-CN" w:bidi="ar-SA"/>
              </w:rPr>
            </w:pPr>
            <w:r>
              <w:rPr>
                <w:rFonts w:hint="eastAsia" w:ascii="方正仿宋简体" w:hAnsi="方正仿宋简体" w:eastAsia="方正仿宋简体" w:cs="方正仿宋简体"/>
                <w:sz w:val="24"/>
                <w:lang w:val="en-US" w:eastAsia="zh-CN"/>
              </w:rPr>
              <w:t>/</w:t>
            </w:r>
          </w:p>
        </w:tc>
        <w:tc>
          <w:tcPr>
            <w:tcW w:w="234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kern w:val="2"/>
                <w:sz w:val="24"/>
                <w:szCs w:val="24"/>
                <w:lang w:val="en-US" w:eastAsia="zh-CN" w:bidi="ar-SA"/>
              </w:rPr>
            </w:pPr>
            <w:r>
              <w:rPr>
                <w:rFonts w:hint="eastAsia" w:ascii="方正仿宋简体" w:hAnsi="方正仿宋简体" w:eastAsia="方正仿宋简体" w:cs="方正仿宋简体"/>
                <w:sz w:val="24"/>
              </w:rPr>
              <w:t>每人2套</w:t>
            </w:r>
          </w:p>
        </w:tc>
      </w:tr>
    </w:tbl>
    <w:p>
      <w:pPr>
        <w:pStyle w:val="7"/>
        <w:pageBreakBefore w:val="0"/>
        <w:kinsoku/>
        <w:overflowPunct/>
        <w:topLinePunct w:val="0"/>
        <w:autoSpaceDE/>
        <w:autoSpaceDN/>
        <w:bidi w:val="0"/>
        <w:spacing w:line="560" w:lineRule="exact"/>
        <w:jc w:val="left"/>
        <w:rPr>
          <w:rFonts w:hint="eastAsia"/>
        </w:rPr>
      </w:pPr>
      <w:r>
        <w:rPr>
          <w:rFonts w:hint="eastAsia"/>
        </w:rPr>
        <w:t>4.检疫除害处理设施设备</w:t>
      </w:r>
    </w:p>
    <w:p>
      <w:pPr>
        <w:pageBreakBefore w:val="0"/>
        <w:widowControl/>
        <w:kinsoku/>
        <w:overflowPunct/>
        <w:topLinePunct w:val="0"/>
        <w:autoSpaceDE/>
        <w:autoSpaceDN/>
        <w:bidi w:val="0"/>
        <w:spacing w:line="560" w:lineRule="exact"/>
        <w:ind w:firstLine="560"/>
        <w:jc w:val="left"/>
        <w:rPr>
          <w:rFonts w:hint="eastAsia" w:ascii="仿宋" w:hAnsi="仿宋" w:cs="仿宋"/>
          <w:color w:val="000000"/>
          <w:kern w:val="0"/>
          <w:szCs w:val="28"/>
          <w:lang w:bidi="ar"/>
        </w:rPr>
      </w:pPr>
      <w:r>
        <w:rPr>
          <w:rFonts w:hint="eastAsia"/>
        </w:rPr>
        <w:t>重点加强处理设施建设</w:t>
      </w:r>
      <w:r>
        <w:rPr>
          <w:rFonts w:hint="eastAsia"/>
          <w:lang w:eastAsia="zh-CN"/>
        </w:rPr>
        <w:t>，</w:t>
      </w:r>
      <w:r>
        <w:rPr>
          <w:rFonts w:hint="eastAsia"/>
        </w:rPr>
        <w:t>完善曲阜市、泗水县、邹城市</w:t>
      </w:r>
      <w:r>
        <w:rPr>
          <w:rFonts w:hint="eastAsia"/>
          <w:lang w:val="en-US" w:eastAsia="zh-CN"/>
        </w:rPr>
        <w:t>等3</w:t>
      </w:r>
      <w:r>
        <w:rPr>
          <w:rFonts w:hint="eastAsia"/>
        </w:rPr>
        <w:t>个县（市）</w:t>
      </w:r>
      <w:r>
        <w:rPr>
          <w:rFonts w:hint="eastAsia" w:ascii="仿宋" w:hAnsi="仿宋" w:cs="仿宋"/>
          <w:color w:val="000000"/>
          <w:kern w:val="0"/>
          <w:szCs w:val="28"/>
          <w:lang w:bidi="ar"/>
        </w:rPr>
        <w:t>病（枯）死木伐除、粉碎及清理</w:t>
      </w:r>
      <w:r>
        <w:rPr>
          <w:rFonts w:hint="eastAsia" w:ascii="仿宋" w:hAnsi="仿宋" w:cs="仿宋"/>
          <w:color w:val="000000"/>
          <w:kern w:val="0"/>
          <w:szCs w:val="28"/>
          <w:lang w:val="en-US" w:eastAsia="zh-CN" w:bidi="ar"/>
        </w:rPr>
        <w:t>设施，完善梁山县、任城区</w:t>
      </w:r>
      <w:r>
        <w:rPr>
          <w:rFonts w:hint="eastAsia"/>
          <w:lang w:val="en-US" w:eastAsia="zh-CN"/>
        </w:rPr>
        <w:t>等2</w:t>
      </w:r>
      <w:r>
        <w:rPr>
          <w:rFonts w:hint="eastAsia"/>
        </w:rPr>
        <w:t>个县（</w:t>
      </w:r>
      <w:r>
        <w:rPr>
          <w:rFonts w:hint="eastAsia"/>
          <w:lang w:val="en-US" w:eastAsia="zh-CN"/>
        </w:rPr>
        <w:t>区</w:t>
      </w:r>
      <w:r>
        <w:rPr>
          <w:rFonts w:hint="eastAsia"/>
        </w:rPr>
        <w:t>）</w:t>
      </w:r>
      <w:r>
        <w:rPr>
          <w:rFonts w:hint="eastAsia" w:ascii="仿宋" w:hAnsi="仿宋" w:cs="仿宋"/>
          <w:color w:val="000000"/>
          <w:kern w:val="0"/>
          <w:szCs w:val="28"/>
          <w:lang w:val="en-US" w:eastAsia="zh-CN" w:bidi="ar"/>
        </w:rPr>
        <w:t>除害处理设施，</w:t>
      </w:r>
      <w:r>
        <w:rPr>
          <w:rFonts w:hint="eastAsia" w:ascii="仿宋" w:hAnsi="仿宋" w:cs="仿宋"/>
          <w:color w:val="000000"/>
          <w:kern w:val="0"/>
          <w:szCs w:val="28"/>
          <w:lang w:bidi="ar"/>
        </w:rPr>
        <w:t>降低松材线虫病</w:t>
      </w:r>
      <w:r>
        <w:rPr>
          <w:rFonts w:hint="eastAsia" w:ascii="仿宋" w:hAnsi="仿宋" w:cs="仿宋"/>
          <w:color w:val="000000"/>
          <w:kern w:val="0"/>
          <w:szCs w:val="28"/>
          <w:lang w:val="en-US" w:eastAsia="zh-CN" w:bidi="ar"/>
        </w:rPr>
        <w:t>等林业有害生物</w:t>
      </w:r>
      <w:r>
        <w:rPr>
          <w:rFonts w:hint="eastAsia" w:ascii="仿宋" w:hAnsi="仿宋" w:cs="仿宋"/>
          <w:color w:val="000000"/>
          <w:kern w:val="0"/>
          <w:szCs w:val="28"/>
          <w:lang w:bidi="ar"/>
        </w:rPr>
        <w:t>的传播风险。</w:t>
      </w:r>
    </w:p>
    <w:tbl>
      <w:tblPr>
        <w:tblStyle w:val="21"/>
        <w:tblW w:w="9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2"/>
        <w:gridCol w:w="7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9061" w:type="dxa"/>
            <w:gridSpan w:val="2"/>
            <w:tcBorders>
              <w:top w:val="nil"/>
              <w:left w:val="nil"/>
              <w:bottom w:val="nil"/>
              <w:right w:val="nil"/>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eastAsia="楷体" w:cs="楷体"/>
                <w:b/>
                <w:szCs w:val="28"/>
              </w:rPr>
            </w:pPr>
            <w:r>
              <w:rPr>
                <w:rFonts w:hint="eastAsia" w:ascii="方正仿宋简体" w:hAnsi="方正仿宋简体" w:eastAsia="方正仿宋简体" w:cs="方正仿宋简体"/>
                <w:b/>
                <w:sz w:val="28"/>
                <w:szCs w:val="28"/>
              </w:rPr>
              <w:t>表4.2-3检</w:t>
            </w:r>
            <w:r>
              <w:rPr>
                <w:rFonts w:hint="eastAsia" w:ascii="Times New Roman" w:hAnsi="Times New Roman" w:cs="Times New Roman"/>
                <w:b/>
                <w:sz w:val="28"/>
                <w:szCs w:val="28"/>
              </w:rPr>
              <w:t>疫除害处理设施设备建设任务分解一览表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1872"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bCs/>
                <w:sz w:val="24"/>
                <w:lang w:eastAsia="zh-CN"/>
              </w:rPr>
            </w:pPr>
            <w:r>
              <w:rPr>
                <w:rFonts w:hint="eastAsia" w:ascii="Times New Roman" w:hAnsi="Times New Roman" w:eastAsia="黑体" w:cs="黑体"/>
                <w:b/>
                <w:bCs/>
                <w:sz w:val="24"/>
                <w:lang w:val="en-US" w:eastAsia="zh-CN"/>
              </w:rPr>
              <w:t>县（</w:t>
            </w:r>
            <w:r>
              <w:rPr>
                <w:rFonts w:hint="eastAsia" w:ascii="Times New Roman" w:hAnsi="Times New Roman" w:eastAsia="黑体" w:cs="黑体"/>
                <w:b/>
                <w:bCs/>
                <w:sz w:val="24"/>
                <w:lang w:val="en-US" w:eastAsia="zh-CN"/>
              </w:rPr>
              <w:t>市、区</w:t>
            </w:r>
            <w:r>
              <w:rPr>
                <w:rFonts w:hint="eastAsia" w:ascii="Times New Roman" w:hAnsi="Times New Roman" w:eastAsia="黑体" w:cs="黑体"/>
                <w:b/>
                <w:bCs/>
                <w:sz w:val="24"/>
                <w:lang w:val="en-US" w:eastAsia="zh-CN"/>
              </w:rPr>
              <w:t>）</w:t>
            </w:r>
          </w:p>
        </w:tc>
        <w:tc>
          <w:tcPr>
            <w:tcW w:w="718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eastAsia="黑体" w:cs="黑体"/>
                <w:b/>
                <w:bCs/>
                <w:sz w:val="24"/>
              </w:rPr>
            </w:pPr>
            <w:r>
              <w:rPr>
                <w:rFonts w:hint="eastAsia" w:ascii="Times New Roman" w:hAnsi="Times New Roman" w:eastAsia="黑体" w:cs="黑体"/>
                <w:b/>
                <w:bCs/>
                <w:sz w:val="24"/>
              </w:rPr>
              <w:t>建设任务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872"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hint="eastAsia" w:ascii="Times New Roman" w:hAnsi="Times New Roman"/>
                <w:sz w:val="24"/>
              </w:rPr>
              <w:t>曲阜市</w:t>
            </w:r>
          </w:p>
        </w:tc>
        <w:tc>
          <w:tcPr>
            <w:tcW w:w="718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配备木材粉碎机1台（45cm以上），树枝粉碎机1台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872"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泗水县</w:t>
            </w:r>
          </w:p>
        </w:tc>
        <w:tc>
          <w:tcPr>
            <w:tcW w:w="718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872"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邹城市</w:t>
            </w:r>
          </w:p>
        </w:tc>
        <w:tc>
          <w:tcPr>
            <w:tcW w:w="718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872"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仿宋"/>
                <w:kern w:val="2"/>
                <w:sz w:val="24"/>
                <w:szCs w:val="24"/>
                <w:lang w:val="en-US" w:eastAsia="zh-CN" w:bidi="ar-SA"/>
              </w:rPr>
            </w:pPr>
            <w:r>
              <w:rPr>
                <w:rFonts w:hint="eastAsia" w:ascii="Times New Roman" w:hAnsi="Times New Roman"/>
                <w:sz w:val="24"/>
              </w:rPr>
              <w:t>任城区</w:t>
            </w:r>
          </w:p>
        </w:tc>
        <w:tc>
          <w:tcPr>
            <w:tcW w:w="718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kern w:val="2"/>
                <w:sz w:val="24"/>
                <w:szCs w:val="24"/>
                <w:lang w:val="en-US" w:eastAsia="zh-CN" w:bidi="ar-SA"/>
              </w:rPr>
            </w:pPr>
            <w:r>
              <w:rPr>
                <w:rFonts w:hint="eastAsia" w:ascii="方正仿宋简体" w:hAnsi="方正仿宋简体" w:eastAsia="方正仿宋简体" w:cs="方正仿宋简体"/>
                <w:sz w:val="24"/>
                <w:lang w:val="en-US" w:eastAsia="zh-CN"/>
              </w:rPr>
              <w:t>配备</w:t>
            </w:r>
            <w:r>
              <w:rPr>
                <w:rFonts w:hint="eastAsia" w:ascii="方正仿宋简体" w:hAnsi="方正仿宋简体" w:eastAsia="方正仿宋简体" w:cs="方正仿宋简体"/>
                <w:sz w:val="24"/>
              </w:rPr>
              <w:t>喷药机1台</w:t>
            </w:r>
            <w:r>
              <w:rPr>
                <w:rFonts w:hint="eastAsia" w:ascii="方正仿宋简体" w:hAnsi="方正仿宋简体" w:eastAsia="方正仿宋简体" w:cs="方正仿宋简体"/>
                <w:sz w:val="24"/>
                <w:lang w:eastAsia="zh-CN"/>
              </w:rPr>
              <w:t>，</w:t>
            </w:r>
            <w:r>
              <w:rPr>
                <w:rFonts w:hint="eastAsia" w:ascii="方正仿宋简体" w:hAnsi="方正仿宋简体" w:eastAsia="方正仿宋简体" w:cs="方正仿宋简体"/>
                <w:sz w:val="24"/>
              </w:rPr>
              <w:t>烟雾机1台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872"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仿宋"/>
                <w:kern w:val="2"/>
                <w:sz w:val="24"/>
                <w:szCs w:val="24"/>
                <w:highlight w:val="magenta"/>
                <w:lang w:val="en-US" w:eastAsia="zh-CN" w:bidi="ar-SA"/>
              </w:rPr>
            </w:pPr>
            <w:r>
              <w:rPr>
                <w:rFonts w:hint="eastAsia" w:ascii="Times New Roman" w:hAnsi="Times New Roman"/>
                <w:sz w:val="24"/>
              </w:rPr>
              <w:t>梁山县</w:t>
            </w:r>
          </w:p>
        </w:tc>
        <w:tc>
          <w:tcPr>
            <w:tcW w:w="7189" w:type="dxa"/>
            <w:vMerge w:val="continue"/>
            <w:tcBorders>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left="0" w:leftChars="0" w:firstLine="0" w:firstLineChars="0"/>
              <w:jc w:val="center"/>
              <w:rPr>
                <w:rFonts w:hint="default" w:ascii="Times New Roman" w:hAnsi="Times New Roman" w:eastAsia="仿宋"/>
                <w:color w:val="FF0000"/>
                <w:highlight w:val="none"/>
                <w:lang w:val="en-US" w:eastAsia="zh-CN"/>
              </w:rPr>
            </w:pPr>
          </w:p>
        </w:tc>
      </w:tr>
    </w:tbl>
    <w:p>
      <w:pPr>
        <w:pStyle w:val="5"/>
        <w:pageBreakBefore w:val="0"/>
        <w:kinsoku/>
        <w:overflowPunct/>
        <w:topLinePunct w:val="0"/>
        <w:autoSpaceDE/>
        <w:autoSpaceDN/>
        <w:bidi w:val="0"/>
        <w:spacing w:line="560" w:lineRule="exact"/>
        <w:outlineLvl w:val="1"/>
      </w:pPr>
      <w:bookmarkStart w:id="40" w:name="_Toc16351"/>
      <w:r>
        <w:rPr>
          <w:rFonts w:hint="eastAsia"/>
        </w:rPr>
        <w:t>三、防治减灾体系</w:t>
      </w:r>
      <w:bookmarkEnd w:id="40"/>
    </w:p>
    <w:p>
      <w:pPr>
        <w:pStyle w:val="6"/>
        <w:pageBreakBefore w:val="0"/>
        <w:kinsoku/>
        <w:overflowPunct/>
        <w:topLinePunct w:val="0"/>
        <w:autoSpaceDE/>
        <w:autoSpaceDN/>
        <w:bidi w:val="0"/>
        <w:spacing w:line="560" w:lineRule="exact"/>
        <w:rPr>
          <w:rFonts w:hint="eastAsia"/>
        </w:rPr>
      </w:pPr>
      <w:r>
        <w:rPr>
          <w:rFonts w:hint="eastAsia"/>
        </w:rPr>
        <w:t>（一）建设目标</w:t>
      </w:r>
    </w:p>
    <w:p>
      <w:pPr>
        <w:pageBreakBefore w:val="0"/>
        <w:kinsoku/>
        <w:overflowPunct/>
        <w:topLinePunct w:val="0"/>
        <w:autoSpaceDE/>
        <w:autoSpaceDN/>
        <w:bidi w:val="0"/>
        <w:spacing w:line="560" w:lineRule="exact"/>
        <w:ind w:firstLine="560"/>
        <w:rPr>
          <w:rFonts w:hint="eastAsia"/>
        </w:rPr>
      </w:pPr>
      <w:r>
        <w:rPr>
          <w:rFonts w:hint="eastAsia"/>
        </w:rPr>
        <w:t>增强全市林业有害生物防治物资储备，完善防治队伍建设，形成“功能齐备、配置合理、运转顺畅、协调高效”的防治减灾体系。</w:t>
      </w:r>
    </w:p>
    <w:p>
      <w:pPr>
        <w:pStyle w:val="6"/>
        <w:pageBreakBefore w:val="0"/>
        <w:kinsoku/>
        <w:overflowPunct/>
        <w:topLinePunct w:val="0"/>
        <w:autoSpaceDE/>
        <w:autoSpaceDN/>
        <w:bidi w:val="0"/>
        <w:spacing w:line="560" w:lineRule="exact"/>
        <w:rPr>
          <w:rFonts w:hint="eastAsia"/>
        </w:rPr>
      </w:pPr>
      <w:r>
        <w:rPr>
          <w:rFonts w:hint="eastAsia"/>
        </w:rPr>
        <w:t>（二）建设任务</w:t>
      </w:r>
    </w:p>
    <w:p>
      <w:pPr>
        <w:pStyle w:val="7"/>
        <w:pageBreakBefore w:val="0"/>
        <w:kinsoku/>
        <w:overflowPunct/>
        <w:topLinePunct w:val="0"/>
        <w:autoSpaceDE/>
        <w:autoSpaceDN/>
        <w:bidi w:val="0"/>
        <w:spacing w:line="560" w:lineRule="exact"/>
        <w:jc w:val="left"/>
        <w:rPr>
          <w:rFonts w:hint="eastAsia"/>
        </w:rPr>
      </w:pPr>
      <w:r>
        <w:rPr>
          <w:rFonts w:hint="eastAsia"/>
        </w:rPr>
        <w:t>1.应急防治物资储备库</w:t>
      </w:r>
    </w:p>
    <w:p>
      <w:pPr>
        <w:pageBreakBefore w:val="0"/>
        <w:kinsoku/>
        <w:overflowPunct/>
        <w:topLinePunct w:val="0"/>
        <w:autoSpaceDE/>
        <w:autoSpaceDN/>
        <w:bidi w:val="0"/>
        <w:spacing w:line="560" w:lineRule="exact"/>
        <w:ind w:firstLine="560"/>
        <w:rPr>
          <w:rFonts w:hint="eastAsia"/>
        </w:rPr>
      </w:pPr>
      <w:r>
        <w:rPr>
          <w:rFonts w:hint="eastAsia"/>
        </w:rPr>
        <w:t>根据林业有害生物发生分布情况，完善市级和任城区、兖州区、曲阜市、泗水县、邹城市、微山县、鱼台县、金乡县、嘉祥县、汶上县、梁山县、高新区、太白湖新区、经开区等14处县级应急防治物资储备库，更新市级应急防治物资储备库老旧装备，增加县级应急防治物资储备库</w:t>
      </w:r>
      <w:r>
        <w:rPr>
          <w:rFonts w:hint="eastAsia"/>
          <w:lang w:eastAsia="zh-CN"/>
        </w:rPr>
        <w:t>的</w:t>
      </w:r>
      <w:r>
        <w:t>施药器械</w:t>
      </w:r>
      <w:r>
        <w:rPr>
          <w:rFonts w:hint="eastAsia"/>
          <w:lang w:eastAsia="zh-CN"/>
        </w:rPr>
        <w:t>、</w:t>
      </w:r>
      <w:r>
        <w:t>配套设备</w:t>
      </w:r>
      <w:r>
        <w:rPr>
          <w:rFonts w:hint="eastAsia"/>
          <w:lang w:eastAsia="zh-CN"/>
        </w:rPr>
        <w:t>的</w:t>
      </w:r>
      <w:r>
        <w:rPr>
          <w:rFonts w:hint="eastAsia"/>
          <w:lang w:val="en-US" w:eastAsia="zh-CN"/>
        </w:rPr>
        <w:t>储备</w:t>
      </w:r>
      <w:r>
        <w:rPr>
          <w:rFonts w:hint="eastAsia"/>
        </w:rPr>
        <w:t>，建成布局合理、存储科学、调度有序的防治物资储备</w:t>
      </w:r>
      <w:r>
        <w:rPr>
          <w:rFonts w:hint="eastAsia"/>
          <w:lang w:val="en-US" w:eastAsia="zh-CN"/>
        </w:rPr>
        <w:t>网</w:t>
      </w:r>
      <w:r>
        <w:rPr>
          <w:rFonts w:hint="eastAsia"/>
          <w:lang w:eastAsia="zh-CN"/>
        </w:rPr>
        <w:t>（</w:t>
      </w:r>
      <w:r>
        <w:rPr>
          <w:rFonts w:hint="eastAsia"/>
          <w:lang w:val="en-US" w:eastAsia="zh-CN"/>
        </w:rPr>
        <w:t>库</w:t>
      </w:r>
      <w:r>
        <w:rPr>
          <w:rFonts w:hint="eastAsia"/>
          <w:lang w:eastAsia="zh-CN"/>
        </w:rPr>
        <w:t>）</w:t>
      </w:r>
      <w:r>
        <w:rPr>
          <w:rFonts w:hint="eastAsia"/>
        </w:rPr>
        <w:t>。</w:t>
      </w:r>
    </w:p>
    <w:tbl>
      <w:tblPr>
        <w:tblStyle w:val="21"/>
        <w:tblW w:w="8965" w:type="dxa"/>
        <w:jc w:val="center"/>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3643"/>
        <w:gridCol w:w="3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8965" w:type="dxa"/>
            <w:gridSpan w:val="3"/>
            <w:tcBorders>
              <w:top w:val="nil"/>
              <w:left w:val="nil"/>
              <w:bottom w:val="nil"/>
              <w:right w:val="nil"/>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eastAsia="楷体" w:cs="楷体"/>
                <w:b/>
                <w:szCs w:val="28"/>
              </w:rPr>
            </w:pPr>
            <w:r>
              <w:rPr>
                <w:rFonts w:hint="eastAsia" w:ascii="Times New Roman" w:hAnsi="Times New Roman"/>
                <w:b/>
                <w:sz w:val="28"/>
                <w:szCs w:val="28"/>
              </w:rPr>
              <w:t>表</w:t>
            </w:r>
            <w:r>
              <w:rPr>
                <w:rFonts w:hint="eastAsia" w:ascii="方正仿宋简体" w:hAnsi="方正仿宋简体" w:eastAsia="方正仿宋简体" w:cs="方正仿宋简体"/>
                <w:b/>
                <w:sz w:val="28"/>
                <w:szCs w:val="28"/>
              </w:rPr>
              <w:t>4.3-1应</w:t>
            </w:r>
            <w:r>
              <w:rPr>
                <w:rFonts w:hint="eastAsia" w:ascii="Times New Roman" w:hAnsi="Times New Roman"/>
                <w:b/>
                <w:sz w:val="28"/>
                <w:szCs w:val="28"/>
              </w:rPr>
              <w:t>急防治物资储备库建设任务分解一览表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13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bCs/>
                <w:sz w:val="24"/>
                <w:lang w:eastAsia="zh-CN"/>
              </w:rPr>
            </w:pPr>
            <w:r>
              <w:rPr>
                <w:rFonts w:hint="eastAsia" w:ascii="Times New Roman" w:hAnsi="Times New Roman" w:eastAsia="黑体" w:cs="黑体"/>
                <w:b/>
                <w:bCs/>
                <w:sz w:val="24"/>
                <w:lang w:val="en-US" w:eastAsia="zh-CN"/>
              </w:rPr>
              <w:t>类别</w:t>
            </w:r>
          </w:p>
        </w:tc>
        <w:tc>
          <w:tcPr>
            <w:tcW w:w="36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eastAsia="黑体" w:cs="黑体"/>
                <w:b/>
                <w:bCs/>
                <w:sz w:val="24"/>
              </w:rPr>
            </w:pPr>
            <w:r>
              <w:rPr>
                <w:rFonts w:hint="eastAsia" w:ascii="Times New Roman" w:hAnsi="Times New Roman" w:eastAsia="黑体" w:cs="黑体"/>
                <w:b/>
                <w:bCs/>
                <w:sz w:val="24"/>
              </w:rPr>
              <w:t>建设任务</w:t>
            </w:r>
          </w:p>
        </w:tc>
        <w:tc>
          <w:tcPr>
            <w:tcW w:w="3952"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eastAsia="黑体" w:cs="黑体"/>
                <w:b/>
                <w:bCs/>
                <w:sz w:val="24"/>
              </w:rPr>
            </w:pPr>
            <w:r>
              <w:rPr>
                <w:rFonts w:hint="eastAsia" w:ascii="Times New Roman" w:hAnsi="Times New Roman" w:eastAsia="黑体" w:cs="黑体"/>
                <w:b/>
                <w:bCs/>
                <w:sz w:val="24"/>
              </w:rPr>
              <w:t>建设地点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市级</w:t>
            </w:r>
          </w:p>
        </w:tc>
        <w:tc>
          <w:tcPr>
            <w:tcW w:w="36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left="0" w:leftChars="0" w:firstLine="0" w:firstLineChars="0"/>
              <w:jc w:val="left"/>
              <w:rPr>
                <w:rFonts w:ascii="Times New Roman" w:hAnsi="Times New Roman"/>
                <w:sz w:val="24"/>
              </w:rPr>
            </w:pPr>
            <w:r>
              <w:rPr>
                <w:rFonts w:hint="eastAsia" w:ascii="Times New Roman" w:hAnsi="Times New Roman"/>
                <w:sz w:val="24"/>
              </w:rPr>
              <w:t>更新市级应急防治物资储备库老旧装备</w:t>
            </w:r>
          </w:p>
        </w:tc>
        <w:tc>
          <w:tcPr>
            <w:tcW w:w="3952" w:type="dxa"/>
            <w:tcBorders>
              <w:left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仿宋"/>
                <w:color w:val="FF0000"/>
                <w:sz w:val="24"/>
                <w:lang w:eastAsia="zh-CN"/>
              </w:rPr>
            </w:pPr>
            <w:r>
              <w:rPr>
                <w:rFonts w:hint="eastAsia" w:ascii="Times New Roman" w:hAnsi="Times New Roman"/>
                <w:color w:val="auto"/>
                <w:sz w:val="24"/>
                <w:lang w:val="en-US" w:eastAsia="zh-CN"/>
              </w:rPr>
              <w:t>高新区苗圃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7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hint="eastAsia" w:ascii="Times New Roman" w:hAnsi="Times New Roman"/>
                <w:sz w:val="24"/>
              </w:rPr>
              <w:t>县级</w:t>
            </w:r>
          </w:p>
        </w:tc>
        <w:tc>
          <w:tcPr>
            <w:tcW w:w="36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left="0" w:leftChars="0" w:firstLine="0" w:firstLineChars="0"/>
              <w:jc w:val="left"/>
              <w:rPr>
                <w:rFonts w:ascii="Times New Roman" w:hAnsi="Times New Roman"/>
                <w:sz w:val="24"/>
              </w:rPr>
            </w:pPr>
            <w:r>
              <w:rPr>
                <w:rFonts w:hint="eastAsia" w:ascii="Times New Roman" w:hAnsi="Times New Roman"/>
                <w:sz w:val="24"/>
              </w:rPr>
              <w:t>储备喷雾（粉、烟）机、杀虫灯、诱捕器（诱芯）、高枝剪等应急防治器械和物资</w:t>
            </w:r>
          </w:p>
        </w:tc>
        <w:tc>
          <w:tcPr>
            <w:tcW w:w="3952" w:type="dxa"/>
            <w:tcBorders>
              <w:left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left="0" w:leftChars="0" w:firstLine="0" w:firstLineChars="0"/>
              <w:jc w:val="left"/>
              <w:rPr>
                <w:rFonts w:hint="eastAsia" w:ascii="Times New Roman" w:hAnsi="Times New Roman"/>
                <w:sz w:val="24"/>
              </w:rPr>
            </w:pPr>
            <w:r>
              <w:rPr>
                <w:rFonts w:hint="eastAsia" w:ascii="Times New Roman" w:hAnsi="Times New Roman"/>
                <w:sz w:val="24"/>
              </w:rPr>
              <w:t>任城区、兖州区、曲阜市、泗水县、邹城市、微山县、鱼台县、金乡县、嘉祥县、汶上县、梁山县、高新区、太白湖新区、经开区</w:t>
            </w:r>
          </w:p>
        </w:tc>
      </w:tr>
    </w:tbl>
    <w:p>
      <w:pPr>
        <w:pStyle w:val="7"/>
        <w:pageBreakBefore w:val="0"/>
        <w:kinsoku/>
        <w:overflowPunct/>
        <w:topLinePunct w:val="0"/>
        <w:autoSpaceDE/>
        <w:autoSpaceDN/>
        <w:bidi w:val="0"/>
        <w:spacing w:line="560" w:lineRule="exact"/>
        <w:jc w:val="left"/>
        <w:rPr>
          <w:rFonts w:hint="eastAsia"/>
        </w:rPr>
      </w:pPr>
      <w:r>
        <w:rPr>
          <w:rFonts w:hint="eastAsia"/>
        </w:rPr>
        <w:t>2.防治队伍建设</w:t>
      </w:r>
    </w:p>
    <w:p>
      <w:pPr>
        <w:pageBreakBefore w:val="0"/>
        <w:kinsoku/>
        <w:overflowPunct/>
        <w:topLinePunct w:val="0"/>
        <w:autoSpaceDE/>
        <w:autoSpaceDN/>
        <w:bidi w:val="0"/>
        <w:spacing w:line="560" w:lineRule="exact"/>
        <w:ind w:firstLine="560"/>
        <w:rPr>
          <w:rFonts w:hint="eastAsia"/>
        </w:rPr>
      </w:pPr>
      <w:r>
        <w:rPr>
          <w:rFonts w:hint="eastAsia"/>
        </w:rPr>
        <w:t>建成行动快捷、结构合理的林业有害生物应急防治队伍，并配备必要的防治机械及载运工具、通信设备，</w:t>
      </w:r>
      <w:r>
        <w:rPr>
          <w:rFonts w:hint="eastAsia"/>
          <w:lang w:val="en-US" w:eastAsia="zh-CN"/>
        </w:rPr>
        <w:t>满足全市</w:t>
      </w:r>
      <w:r>
        <w:rPr>
          <w:rFonts w:hint="eastAsia"/>
        </w:rPr>
        <w:t>林业有害生物防</w:t>
      </w:r>
      <w:r>
        <w:rPr>
          <w:rFonts w:hint="eastAsia"/>
          <w:lang w:val="en-US" w:eastAsia="zh-CN"/>
        </w:rPr>
        <w:t>治</w:t>
      </w:r>
      <w:r>
        <w:rPr>
          <w:rFonts w:hint="eastAsia"/>
        </w:rPr>
        <w:t>工作</w:t>
      </w:r>
      <w:r>
        <w:rPr>
          <w:rFonts w:hint="eastAsia"/>
          <w:lang w:eastAsia="zh-CN"/>
        </w:rPr>
        <w:t>的</w:t>
      </w:r>
      <w:r>
        <w:rPr>
          <w:rFonts w:hint="eastAsia"/>
          <w:lang w:val="en-US" w:eastAsia="zh-CN"/>
        </w:rPr>
        <w:t>需求</w:t>
      </w:r>
      <w:r>
        <w:rPr>
          <w:rFonts w:hint="eastAsia"/>
        </w:rPr>
        <w:t>。</w:t>
      </w:r>
    </w:p>
    <w:p>
      <w:pPr>
        <w:pageBreakBefore w:val="0"/>
        <w:kinsoku/>
        <w:overflowPunct/>
        <w:topLinePunct w:val="0"/>
        <w:autoSpaceDE/>
        <w:autoSpaceDN/>
        <w:bidi w:val="0"/>
        <w:spacing w:line="560" w:lineRule="exact"/>
        <w:ind w:firstLine="560"/>
        <w:rPr>
          <w:rFonts w:hint="eastAsia"/>
          <w:highlight w:val="none"/>
        </w:rPr>
      </w:pPr>
      <w:r>
        <w:rPr>
          <w:rFonts w:hint="eastAsia"/>
        </w:rPr>
        <w:t>“十四五”期间，完善林业有害生物防治队伍建设，根据每个县（市、区）林业有害生物发生分布情况，在现有防治队伍的基础</w:t>
      </w:r>
      <w:r>
        <w:rPr>
          <w:rFonts w:hint="eastAsia"/>
          <w:highlight w:val="none"/>
        </w:rPr>
        <w:t>上，</w:t>
      </w:r>
      <w:r>
        <w:rPr>
          <w:rFonts w:hint="eastAsia"/>
          <w:highlight w:val="none"/>
          <w:lang w:val="en-US" w:eastAsia="zh-CN"/>
        </w:rPr>
        <w:t>各县（市、区）建设一支10~20人的防治队伍，</w:t>
      </w:r>
      <w:r>
        <w:rPr>
          <w:rFonts w:hint="eastAsia"/>
          <w:highlight w:val="none"/>
        </w:rPr>
        <w:t>各</w:t>
      </w:r>
      <w:r>
        <w:rPr>
          <w:rFonts w:hint="eastAsia"/>
          <w:highlight w:val="none"/>
          <w:lang w:eastAsia="zh-CN"/>
        </w:rPr>
        <w:t>乡镇（街道）</w:t>
      </w:r>
      <w:r>
        <w:rPr>
          <w:rFonts w:hint="eastAsia"/>
          <w:highlight w:val="none"/>
        </w:rPr>
        <w:t>建设一支</w:t>
      </w:r>
      <w:r>
        <w:rPr>
          <w:rFonts w:hint="eastAsia"/>
          <w:highlight w:val="none"/>
          <w:lang w:val="en-US" w:eastAsia="zh-CN"/>
        </w:rPr>
        <w:t>5~10</w:t>
      </w:r>
      <w:r>
        <w:rPr>
          <w:rFonts w:hint="eastAsia"/>
          <w:highlight w:val="none"/>
        </w:rPr>
        <w:t>人的防治队伍，各行政村建立</w:t>
      </w:r>
      <w:r>
        <w:rPr>
          <w:rFonts w:hint="eastAsia"/>
          <w:highlight w:val="none"/>
          <w:lang w:val="en-US" w:eastAsia="zh-CN"/>
        </w:rPr>
        <w:t>1</w:t>
      </w:r>
      <w:r>
        <w:rPr>
          <w:rFonts w:hint="eastAsia"/>
          <w:highlight w:val="none"/>
        </w:rPr>
        <w:t>~5人的防治队伍。</w:t>
      </w:r>
    </w:p>
    <w:p>
      <w:pPr>
        <w:rPr>
          <w:rFonts w:hint="eastAsia"/>
        </w:rPr>
      </w:pPr>
    </w:p>
    <w:tbl>
      <w:tblPr>
        <w:tblStyle w:val="21"/>
        <w:tblW w:w="9298" w:type="dxa"/>
        <w:jc w:val="center"/>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6"/>
        <w:gridCol w:w="7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9298" w:type="dxa"/>
            <w:gridSpan w:val="2"/>
            <w:tcBorders>
              <w:top w:val="nil"/>
              <w:left w:val="nil"/>
              <w:bottom w:val="nil"/>
              <w:right w:val="nil"/>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仿宋" w:cs="Times New Roman"/>
                <w:b/>
                <w:sz w:val="28"/>
                <w:szCs w:val="28"/>
                <w:highlight w:val="none"/>
                <w:lang w:val="en-US" w:eastAsia="zh-CN"/>
              </w:rPr>
            </w:pPr>
            <w:r>
              <w:rPr>
                <w:rFonts w:hint="eastAsia" w:ascii="方正仿宋简体" w:hAnsi="方正仿宋简体" w:eastAsia="方正仿宋简体" w:cs="方正仿宋简体"/>
                <w:b/>
                <w:sz w:val="28"/>
                <w:szCs w:val="28"/>
                <w:highlight w:val="none"/>
                <w:lang w:val="en-US" w:eastAsia="zh-CN"/>
              </w:rPr>
              <w:t>表4.3-2防治</w:t>
            </w:r>
            <w:r>
              <w:rPr>
                <w:rFonts w:hint="eastAsia" w:ascii="Times New Roman" w:hAnsi="Times New Roman" w:cs="Times New Roman"/>
                <w:b/>
                <w:sz w:val="28"/>
                <w:szCs w:val="28"/>
                <w:highlight w:val="none"/>
                <w:lang w:val="en-US" w:eastAsia="zh-CN"/>
              </w:rPr>
              <w:t>队伍</w:t>
            </w:r>
            <w:r>
              <w:rPr>
                <w:rFonts w:hint="eastAsia" w:ascii="Times New Roman" w:hAnsi="Times New Roman" w:eastAsia="仿宋" w:cs="Times New Roman"/>
                <w:b/>
                <w:sz w:val="28"/>
                <w:szCs w:val="28"/>
                <w:highlight w:val="none"/>
                <w:lang w:val="en-US" w:eastAsia="zh-CN"/>
              </w:rPr>
              <w:t>建设任务分解一览表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2096"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bCs/>
                <w:sz w:val="24"/>
                <w:highlight w:val="none"/>
                <w:lang w:eastAsia="zh-CN"/>
              </w:rPr>
            </w:pPr>
            <w:r>
              <w:rPr>
                <w:rFonts w:hint="eastAsia" w:ascii="Times New Roman" w:hAnsi="Times New Roman" w:eastAsia="黑体" w:cs="黑体"/>
                <w:b/>
                <w:bCs/>
                <w:sz w:val="24"/>
                <w:highlight w:val="none"/>
                <w:lang w:val="en-US" w:eastAsia="zh-CN"/>
              </w:rPr>
              <w:t>县（市、区）</w:t>
            </w:r>
          </w:p>
        </w:tc>
        <w:tc>
          <w:tcPr>
            <w:tcW w:w="7202"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eastAsia="黑体" w:cs="黑体"/>
                <w:b/>
                <w:bCs/>
                <w:sz w:val="24"/>
                <w:highlight w:val="none"/>
              </w:rPr>
            </w:pPr>
            <w:r>
              <w:rPr>
                <w:rFonts w:hint="eastAsia" w:ascii="Times New Roman" w:hAnsi="Times New Roman" w:eastAsia="黑体" w:cs="黑体"/>
                <w:b/>
                <w:bCs/>
                <w:sz w:val="24"/>
                <w:highlight w:val="none"/>
              </w:rPr>
              <w:t>建设任务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9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 w:cs="Times New Roman"/>
                <w:kern w:val="2"/>
                <w:sz w:val="24"/>
                <w:szCs w:val="24"/>
                <w:highlight w:val="none"/>
                <w:lang w:val="en-US" w:eastAsia="zh-CN" w:bidi="ar-SA"/>
              </w:rPr>
            </w:pPr>
            <w:bookmarkStart w:id="41" w:name="OLE_LINK1" w:colFirst="0" w:colLast="0"/>
            <w:r>
              <w:rPr>
                <w:rFonts w:hint="eastAsia" w:ascii="Times New Roman" w:hAnsi="Times New Roman" w:cs="Times New Roman"/>
                <w:kern w:val="2"/>
                <w:sz w:val="24"/>
                <w:szCs w:val="24"/>
                <w:highlight w:val="none"/>
                <w:lang w:val="en-US" w:eastAsia="zh-CN" w:bidi="ar-SA"/>
              </w:rPr>
              <w:t>任城区</w:t>
            </w:r>
          </w:p>
        </w:tc>
        <w:tc>
          <w:tcPr>
            <w:tcW w:w="72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kern w:val="2"/>
                <w:sz w:val="24"/>
                <w:szCs w:val="24"/>
                <w:highlight w:val="none"/>
                <w:lang w:val="en-US" w:eastAsia="zh-CN" w:bidi="ar-SA"/>
              </w:rPr>
            </w:pPr>
            <w:r>
              <w:rPr>
                <w:rFonts w:hint="eastAsia" w:ascii="方正仿宋简体" w:hAnsi="方正仿宋简体" w:eastAsia="方正仿宋简体" w:cs="方正仿宋简体"/>
                <w:sz w:val="24"/>
                <w:szCs w:val="24"/>
                <w:highlight w:val="none"/>
                <w:lang w:val="en-US" w:eastAsia="zh-CN"/>
              </w:rPr>
              <w:t>县级10~20人，各乡镇（街道）5~10人，各行政村1~5人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9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 w:cs="Times New Roman"/>
                <w:kern w:val="2"/>
                <w:sz w:val="24"/>
                <w:szCs w:val="24"/>
                <w:highlight w:val="none"/>
                <w:lang w:val="en-US" w:eastAsia="zh-CN" w:bidi="ar-SA"/>
              </w:rPr>
            </w:pPr>
            <w:r>
              <w:rPr>
                <w:rFonts w:hint="eastAsia" w:ascii="Times New Roman" w:hAnsi="Times New Roman" w:cs="Times New Roman"/>
                <w:kern w:val="2"/>
                <w:sz w:val="24"/>
                <w:szCs w:val="24"/>
                <w:highlight w:val="none"/>
                <w:lang w:val="en-US" w:eastAsia="zh-CN" w:bidi="ar-SA"/>
              </w:rPr>
              <w:t>兖州区</w:t>
            </w:r>
          </w:p>
        </w:tc>
        <w:tc>
          <w:tcPr>
            <w:tcW w:w="72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kern w:val="2"/>
                <w:sz w:val="24"/>
                <w:szCs w:val="24"/>
                <w:highlight w:val="none"/>
                <w:lang w:val="en-US" w:eastAsia="zh-CN" w:bidi="ar-SA"/>
              </w:rPr>
            </w:pPr>
            <w:r>
              <w:rPr>
                <w:rFonts w:hint="eastAsia" w:ascii="方正仿宋简体" w:hAnsi="方正仿宋简体" w:eastAsia="方正仿宋简体" w:cs="方正仿宋简体"/>
                <w:sz w:val="24"/>
                <w:szCs w:val="24"/>
                <w:highlight w:val="none"/>
                <w:lang w:val="en-US" w:eastAsia="zh-CN"/>
              </w:rPr>
              <w:t>县级10~20人，各乡镇（街道）5~10人，各行政村1~5人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9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 w:cs="Times New Roman"/>
                <w:kern w:val="2"/>
                <w:sz w:val="24"/>
                <w:szCs w:val="24"/>
                <w:highlight w:val="none"/>
                <w:lang w:val="en-US" w:eastAsia="zh-CN" w:bidi="ar-SA"/>
              </w:rPr>
            </w:pPr>
            <w:r>
              <w:rPr>
                <w:rFonts w:hint="eastAsia" w:ascii="Times New Roman" w:hAnsi="Times New Roman" w:cs="Times New Roman"/>
                <w:sz w:val="24"/>
                <w:szCs w:val="24"/>
                <w:highlight w:val="none"/>
                <w:lang w:val="en-US" w:eastAsia="zh-CN"/>
              </w:rPr>
              <w:t>曲阜市</w:t>
            </w:r>
          </w:p>
        </w:tc>
        <w:tc>
          <w:tcPr>
            <w:tcW w:w="72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kern w:val="2"/>
                <w:sz w:val="24"/>
                <w:szCs w:val="24"/>
                <w:highlight w:val="none"/>
                <w:lang w:val="en-US" w:eastAsia="zh-CN" w:bidi="ar-SA"/>
              </w:rPr>
            </w:pPr>
            <w:r>
              <w:rPr>
                <w:rFonts w:hint="eastAsia" w:ascii="方正仿宋简体" w:hAnsi="方正仿宋简体" w:eastAsia="方正仿宋简体" w:cs="方正仿宋简体"/>
                <w:sz w:val="24"/>
                <w:szCs w:val="24"/>
                <w:highlight w:val="none"/>
                <w:lang w:val="en-US" w:eastAsia="zh-CN"/>
              </w:rPr>
              <w:t>县级10~20人，各乡镇（街道）5~10人，各行政村1~5人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9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 w:cs="Times New Roman"/>
                <w:kern w:val="2"/>
                <w:sz w:val="24"/>
                <w:szCs w:val="24"/>
                <w:highlight w:val="none"/>
                <w:lang w:val="en-US" w:eastAsia="zh-CN" w:bidi="ar-SA"/>
              </w:rPr>
            </w:pPr>
            <w:r>
              <w:rPr>
                <w:rFonts w:hint="eastAsia" w:ascii="Times New Roman" w:hAnsi="Times New Roman" w:cs="Times New Roman"/>
                <w:sz w:val="24"/>
                <w:szCs w:val="24"/>
                <w:highlight w:val="none"/>
                <w:lang w:val="en-US" w:eastAsia="zh-CN"/>
              </w:rPr>
              <w:t>泗水县</w:t>
            </w:r>
          </w:p>
        </w:tc>
        <w:tc>
          <w:tcPr>
            <w:tcW w:w="72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kern w:val="2"/>
                <w:sz w:val="24"/>
                <w:szCs w:val="24"/>
                <w:highlight w:val="none"/>
                <w:lang w:val="en-US" w:eastAsia="zh-CN" w:bidi="ar-SA"/>
              </w:rPr>
            </w:pPr>
            <w:r>
              <w:rPr>
                <w:rFonts w:hint="eastAsia" w:ascii="方正仿宋简体" w:hAnsi="方正仿宋简体" w:eastAsia="方正仿宋简体" w:cs="方正仿宋简体"/>
                <w:sz w:val="24"/>
                <w:szCs w:val="24"/>
                <w:highlight w:val="none"/>
                <w:lang w:val="en-US" w:eastAsia="zh-CN"/>
              </w:rPr>
              <w:t>县级5~10人，各乡镇（街道）5~10人，各行政村1~5人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9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 w:cs="Times New Roman"/>
                <w:kern w:val="2"/>
                <w:sz w:val="24"/>
                <w:szCs w:val="24"/>
                <w:highlight w:val="none"/>
                <w:lang w:val="en-US" w:eastAsia="zh-CN" w:bidi="ar-SA"/>
              </w:rPr>
            </w:pPr>
            <w:r>
              <w:rPr>
                <w:rFonts w:hint="eastAsia" w:ascii="Times New Roman" w:hAnsi="Times New Roman" w:cs="Times New Roman"/>
                <w:sz w:val="24"/>
                <w:szCs w:val="24"/>
                <w:highlight w:val="none"/>
                <w:lang w:val="en-US" w:eastAsia="zh-CN"/>
              </w:rPr>
              <w:t>邹城市</w:t>
            </w:r>
          </w:p>
        </w:tc>
        <w:tc>
          <w:tcPr>
            <w:tcW w:w="72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kern w:val="2"/>
                <w:sz w:val="24"/>
                <w:szCs w:val="24"/>
                <w:highlight w:val="none"/>
                <w:lang w:val="en-US" w:eastAsia="zh-CN" w:bidi="ar-SA"/>
              </w:rPr>
            </w:pPr>
            <w:r>
              <w:rPr>
                <w:rFonts w:hint="eastAsia" w:ascii="方正仿宋简体" w:hAnsi="方正仿宋简体" w:eastAsia="方正仿宋简体" w:cs="方正仿宋简体"/>
                <w:sz w:val="24"/>
                <w:szCs w:val="24"/>
                <w:highlight w:val="none"/>
                <w:lang w:val="en-US" w:eastAsia="zh-CN"/>
              </w:rPr>
              <w:t>各乡镇（街道）5~10人，各行政村1~5人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9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 w:cs="Times New Roman"/>
                <w:kern w:val="2"/>
                <w:sz w:val="24"/>
                <w:szCs w:val="24"/>
                <w:highlight w:val="none"/>
                <w:lang w:val="en-US" w:eastAsia="zh-CN" w:bidi="ar-SA"/>
              </w:rPr>
            </w:pPr>
            <w:r>
              <w:rPr>
                <w:rFonts w:hint="eastAsia" w:ascii="Times New Roman" w:hAnsi="Times New Roman" w:cs="Times New Roman"/>
                <w:sz w:val="24"/>
                <w:szCs w:val="24"/>
                <w:highlight w:val="none"/>
                <w:lang w:val="en-US" w:eastAsia="zh-CN"/>
              </w:rPr>
              <w:t>微山县</w:t>
            </w:r>
          </w:p>
        </w:tc>
        <w:tc>
          <w:tcPr>
            <w:tcW w:w="72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kern w:val="2"/>
                <w:sz w:val="24"/>
                <w:szCs w:val="24"/>
                <w:highlight w:val="none"/>
                <w:lang w:val="en-US" w:eastAsia="zh-CN" w:bidi="ar-SA"/>
              </w:rPr>
            </w:pPr>
            <w:r>
              <w:rPr>
                <w:rFonts w:hint="eastAsia" w:ascii="方正仿宋简体" w:hAnsi="方正仿宋简体" w:eastAsia="方正仿宋简体" w:cs="方正仿宋简体"/>
                <w:sz w:val="24"/>
                <w:szCs w:val="24"/>
                <w:highlight w:val="none"/>
                <w:lang w:val="en-US" w:eastAsia="zh-CN"/>
              </w:rPr>
              <w:t>县级10~20人，各乡镇（街道）5~10人，各行政村1~5人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9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 w:cs="Times New Roman"/>
                <w:kern w:val="2"/>
                <w:sz w:val="24"/>
                <w:szCs w:val="24"/>
                <w:highlight w:val="none"/>
                <w:lang w:val="en-US" w:eastAsia="zh-CN" w:bidi="ar-SA"/>
              </w:rPr>
            </w:pPr>
            <w:r>
              <w:rPr>
                <w:rFonts w:hint="eastAsia" w:ascii="Times New Roman" w:hAnsi="Times New Roman" w:cs="Times New Roman"/>
                <w:kern w:val="2"/>
                <w:sz w:val="24"/>
                <w:szCs w:val="24"/>
                <w:highlight w:val="none"/>
                <w:lang w:val="en-US" w:eastAsia="zh-CN" w:bidi="ar-SA"/>
              </w:rPr>
              <w:t>鱼台县</w:t>
            </w:r>
          </w:p>
        </w:tc>
        <w:tc>
          <w:tcPr>
            <w:tcW w:w="72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kern w:val="2"/>
                <w:sz w:val="24"/>
                <w:szCs w:val="24"/>
                <w:highlight w:val="none"/>
                <w:lang w:val="en-US" w:eastAsia="zh-CN" w:bidi="ar-SA"/>
              </w:rPr>
            </w:pPr>
            <w:r>
              <w:rPr>
                <w:rFonts w:hint="eastAsia" w:ascii="方正仿宋简体" w:hAnsi="方正仿宋简体" w:eastAsia="方正仿宋简体" w:cs="方正仿宋简体"/>
                <w:sz w:val="24"/>
                <w:szCs w:val="24"/>
                <w:highlight w:val="none"/>
                <w:lang w:val="en-US" w:eastAsia="zh-CN"/>
              </w:rPr>
              <w:t>县级10~20人，各乡镇（街道）5~10人，各行政村1~5人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9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 w:cs="Times New Roman"/>
                <w:kern w:val="2"/>
                <w:sz w:val="24"/>
                <w:szCs w:val="24"/>
                <w:highlight w:val="none"/>
                <w:lang w:val="en-US" w:eastAsia="zh-CN" w:bidi="ar-SA"/>
              </w:rPr>
            </w:pPr>
            <w:r>
              <w:rPr>
                <w:rFonts w:hint="eastAsia" w:ascii="Times New Roman" w:hAnsi="Times New Roman" w:cs="Times New Roman"/>
                <w:kern w:val="2"/>
                <w:sz w:val="24"/>
                <w:szCs w:val="24"/>
                <w:highlight w:val="none"/>
                <w:lang w:val="en-US" w:eastAsia="zh-CN" w:bidi="ar-SA"/>
              </w:rPr>
              <w:t>金乡县</w:t>
            </w:r>
          </w:p>
        </w:tc>
        <w:tc>
          <w:tcPr>
            <w:tcW w:w="72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jc w:val="left"/>
              <w:textAlignment w:val="auto"/>
              <w:rPr>
                <w:rFonts w:hint="eastAsia" w:ascii="方正仿宋简体" w:hAnsi="方正仿宋简体" w:eastAsia="方正仿宋简体" w:cs="方正仿宋简体"/>
                <w:kern w:val="2"/>
                <w:szCs w:val="24"/>
                <w:highlight w:val="none"/>
                <w:lang w:val="en-US" w:eastAsia="zh-CN" w:bidi="ar-SA"/>
              </w:rPr>
            </w:pPr>
            <w:r>
              <w:rPr>
                <w:rFonts w:hint="eastAsia" w:ascii="方正仿宋简体" w:hAnsi="方正仿宋简体" w:eastAsia="方正仿宋简体" w:cs="方正仿宋简体"/>
                <w:sz w:val="24"/>
                <w:szCs w:val="24"/>
                <w:highlight w:val="none"/>
                <w:lang w:val="en-US" w:eastAsia="zh-CN"/>
              </w:rPr>
              <w:t>县级10~20人，各乡镇（街道）5~10人，各行政村1~5人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9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 w:cs="Times New Roman"/>
                <w:kern w:val="2"/>
                <w:sz w:val="24"/>
                <w:szCs w:val="24"/>
                <w:highlight w:val="none"/>
                <w:lang w:val="en-US" w:eastAsia="zh-CN" w:bidi="ar-SA"/>
              </w:rPr>
            </w:pPr>
            <w:r>
              <w:rPr>
                <w:rFonts w:hint="eastAsia" w:ascii="Times New Roman" w:hAnsi="Times New Roman" w:cs="Times New Roman"/>
                <w:sz w:val="24"/>
                <w:szCs w:val="24"/>
                <w:highlight w:val="none"/>
                <w:lang w:val="en-US" w:eastAsia="zh-CN"/>
              </w:rPr>
              <w:t>嘉祥县</w:t>
            </w:r>
          </w:p>
        </w:tc>
        <w:tc>
          <w:tcPr>
            <w:tcW w:w="72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sz w:val="24"/>
                <w:szCs w:val="24"/>
                <w:highlight w:val="none"/>
                <w:lang w:val="en-US" w:eastAsia="zh-CN"/>
              </w:rPr>
            </w:pPr>
            <w:r>
              <w:rPr>
                <w:rFonts w:hint="eastAsia" w:ascii="方正仿宋简体" w:hAnsi="方正仿宋简体" w:eastAsia="方正仿宋简体" w:cs="方正仿宋简体"/>
                <w:sz w:val="24"/>
                <w:szCs w:val="24"/>
                <w:highlight w:val="none"/>
                <w:lang w:val="en-US" w:eastAsia="zh-CN"/>
              </w:rPr>
              <w:t>县级10~20人，各乡镇（街道）5~10人，各行政村1~5人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 w:cs="Times New Roman"/>
                <w:kern w:val="2"/>
                <w:sz w:val="24"/>
                <w:szCs w:val="24"/>
                <w:highlight w:val="none"/>
                <w:lang w:val="en-US" w:eastAsia="zh-CN" w:bidi="ar-SA"/>
              </w:rPr>
            </w:pPr>
            <w:r>
              <w:rPr>
                <w:rFonts w:hint="eastAsia" w:ascii="Times New Roman" w:hAnsi="Times New Roman" w:cs="Times New Roman"/>
                <w:kern w:val="2"/>
                <w:sz w:val="24"/>
                <w:szCs w:val="24"/>
                <w:highlight w:val="none"/>
                <w:lang w:val="en-US" w:eastAsia="zh-CN" w:bidi="ar-SA"/>
              </w:rPr>
              <w:t>汶上县</w:t>
            </w:r>
          </w:p>
        </w:tc>
        <w:tc>
          <w:tcPr>
            <w:tcW w:w="72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sz w:val="24"/>
                <w:szCs w:val="24"/>
                <w:highlight w:val="none"/>
                <w:lang w:val="en-US" w:eastAsia="zh-CN"/>
              </w:rPr>
            </w:pPr>
            <w:r>
              <w:rPr>
                <w:rFonts w:hint="eastAsia" w:ascii="方正仿宋简体" w:hAnsi="方正仿宋简体" w:eastAsia="方正仿宋简体" w:cs="方正仿宋简体"/>
                <w:sz w:val="24"/>
                <w:szCs w:val="24"/>
                <w:highlight w:val="none"/>
                <w:lang w:val="en-US" w:eastAsia="zh-CN"/>
              </w:rPr>
              <w:t>县级10~20人，各乡镇（街道）5~10人，各行政村1~5人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 w:cs="Times New Roman"/>
                <w:kern w:val="2"/>
                <w:sz w:val="24"/>
                <w:szCs w:val="24"/>
                <w:highlight w:val="none"/>
                <w:lang w:val="en-US" w:eastAsia="zh-CN" w:bidi="ar-SA"/>
              </w:rPr>
            </w:pPr>
            <w:r>
              <w:rPr>
                <w:rFonts w:hint="eastAsia" w:ascii="Times New Roman" w:hAnsi="Times New Roman" w:cs="Times New Roman"/>
                <w:sz w:val="24"/>
                <w:szCs w:val="24"/>
                <w:highlight w:val="none"/>
                <w:lang w:val="en-US" w:eastAsia="zh-CN"/>
              </w:rPr>
              <w:t>梁山县</w:t>
            </w:r>
          </w:p>
        </w:tc>
        <w:tc>
          <w:tcPr>
            <w:tcW w:w="72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sz w:val="24"/>
                <w:szCs w:val="24"/>
                <w:highlight w:val="none"/>
                <w:lang w:val="en-US" w:eastAsia="zh-CN"/>
              </w:rPr>
            </w:pPr>
            <w:r>
              <w:rPr>
                <w:rFonts w:hint="eastAsia" w:ascii="方正仿宋简体" w:hAnsi="方正仿宋简体" w:eastAsia="方正仿宋简体" w:cs="方正仿宋简体"/>
                <w:sz w:val="24"/>
                <w:szCs w:val="24"/>
                <w:highlight w:val="none"/>
                <w:lang w:val="en-US" w:eastAsia="zh-CN"/>
              </w:rPr>
              <w:t>县级10~20人，各乡镇（街道）5~10人，各行政村1~5人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高新区</w:t>
            </w:r>
          </w:p>
        </w:tc>
        <w:tc>
          <w:tcPr>
            <w:tcW w:w="72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sz w:val="24"/>
                <w:szCs w:val="24"/>
                <w:highlight w:val="none"/>
                <w:lang w:val="en-US" w:eastAsia="zh-CN"/>
              </w:rPr>
            </w:pPr>
            <w:r>
              <w:rPr>
                <w:rFonts w:hint="eastAsia" w:ascii="方正仿宋简体" w:hAnsi="方正仿宋简体" w:eastAsia="方正仿宋简体" w:cs="方正仿宋简体"/>
                <w:sz w:val="24"/>
                <w:szCs w:val="24"/>
                <w:highlight w:val="none"/>
                <w:lang w:val="en-US" w:eastAsia="zh-CN"/>
              </w:rPr>
              <w:t>县级10~20人，各乡镇（街道）5~10人，各行政村1~5人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太白湖新区</w:t>
            </w:r>
          </w:p>
        </w:tc>
        <w:tc>
          <w:tcPr>
            <w:tcW w:w="72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sz w:val="24"/>
                <w:szCs w:val="24"/>
                <w:highlight w:val="none"/>
                <w:lang w:val="en-US" w:eastAsia="zh-CN"/>
              </w:rPr>
            </w:pPr>
            <w:r>
              <w:rPr>
                <w:rFonts w:hint="eastAsia" w:ascii="方正仿宋简体" w:hAnsi="方正仿宋简体" w:eastAsia="方正仿宋简体" w:cs="方正仿宋简体"/>
                <w:sz w:val="24"/>
                <w:szCs w:val="24"/>
                <w:highlight w:val="none"/>
                <w:lang w:val="en-US" w:eastAsia="zh-CN"/>
              </w:rPr>
              <w:t>县级10~20人，各乡镇（街道）5~10人，各行政村1~5人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经开区</w:t>
            </w:r>
          </w:p>
        </w:tc>
        <w:tc>
          <w:tcPr>
            <w:tcW w:w="72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sz w:val="24"/>
                <w:szCs w:val="24"/>
                <w:highlight w:val="none"/>
                <w:lang w:val="en-US" w:eastAsia="zh-CN"/>
              </w:rPr>
            </w:pPr>
            <w:r>
              <w:rPr>
                <w:rFonts w:hint="eastAsia" w:ascii="方正仿宋简体" w:hAnsi="方正仿宋简体" w:eastAsia="方正仿宋简体" w:cs="方正仿宋简体"/>
                <w:sz w:val="24"/>
                <w:szCs w:val="24"/>
                <w:highlight w:val="none"/>
                <w:lang w:val="en-US" w:eastAsia="zh-CN"/>
              </w:rPr>
              <w:t>县级10~20人，各乡镇（街道）5~10人，各行政村1~5人</w:t>
            </w:r>
          </w:p>
        </w:tc>
      </w:tr>
      <w:bookmarkEnd w:id="41"/>
    </w:tbl>
    <w:p>
      <w:pPr>
        <w:pStyle w:val="5"/>
        <w:pageBreakBefore w:val="0"/>
        <w:kinsoku/>
        <w:overflowPunct/>
        <w:topLinePunct w:val="0"/>
        <w:autoSpaceDE/>
        <w:autoSpaceDN/>
        <w:bidi w:val="0"/>
        <w:spacing w:line="560" w:lineRule="exact"/>
        <w:outlineLvl w:val="1"/>
      </w:pPr>
      <w:bookmarkStart w:id="42" w:name="_Toc2517"/>
      <w:r>
        <w:rPr>
          <w:rFonts w:hint="eastAsia"/>
        </w:rPr>
        <w:t>四、技术保障体系</w:t>
      </w:r>
      <w:bookmarkEnd w:id="42"/>
    </w:p>
    <w:p>
      <w:pPr>
        <w:pStyle w:val="6"/>
        <w:pageBreakBefore w:val="0"/>
        <w:kinsoku/>
        <w:overflowPunct/>
        <w:topLinePunct w:val="0"/>
        <w:autoSpaceDE/>
        <w:autoSpaceDN/>
        <w:bidi w:val="0"/>
        <w:spacing w:line="560" w:lineRule="exact"/>
        <w:rPr>
          <w:rFonts w:hint="eastAsia"/>
        </w:rPr>
      </w:pPr>
      <w:r>
        <w:rPr>
          <w:rFonts w:hint="eastAsia"/>
        </w:rPr>
        <w:t>（一）建设目标</w:t>
      </w:r>
    </w:p>
    <w:p>
      <w:pPr>
        <w:pageBreakBefore w:val="0"/>
        <w:kinsoku/>
        <w:overflowPunct/>
        <w:topLinePunct w:val="0"/>
        <w:autoSpaceDE/>
        <w:autoSpaceDN/>
        <w:bidi w:val="0"/>
        <w:spacing w:line="560" w:lineRule="exact"/>
        <w:ind w:firstLine="560"/>
        <w:rPr>
          <w:rFonts w:hint="eastAsia"/>
        </w:rPr>
      </w:pPr>
      <w:r>
        <w:rPr>
          <w:rFonts w:hint="eastAsia"/>
        </w:rPr>
        <w:t>通过林业有害生物标本室建设</w:t>
      </w:r>
      <w:r>
        <w:rPr>
          <w:rFonts w:hint="eastAsia"/>
          <w:lang w:eastAsia="zh-CN"/>
        </w:rPr>
        <w:t>、</w:t>
      </w:r>
      <w:r>
        <w:rPr>
          <w:rFonts w:hint="eastAsia"/>
        </w:rPr>
        <w:t>林业有害生物知识宣传活动和教育培训活动，进一步加强群众和工作人员对济宁市林业有害生物种类、分布</w:t>
      </w:r>
      <w:r>
        <w:rPr>
          <w:rFonts w:hint="eastAsia"/>
          <w:lang w:val="en-US" w:eastAsia="zh-CN"/>
        </w:rPr>
        <w:t>和</w:t>
      </w:r>
      <w:r>
        <w:rPr>
          <w:rFonts w:hint="eastAsia"/>
        </w:rPr>
        <w:t>发生情况</w:t>
      </w:r>
      <w:r>
        <w:rPr>
          <w:rFonts w:hint="eastAsia"/>
          <w:lang w:eastAsia="zh-CN"/>
        </w:rPr>
        <w:t>的</w:t>
      </w:r>
      <w:r>
        <w:rPr>
          <w:rFonts w:hint="eastAsia"/>
        </w:rPr>
        <w:t>了解；加强林业有害生物防治工作人员培训，强化专业岗位技术培训，保障组织机构和队伍健全，保证专业防治工作人员资源充足。</w:t>
      </w:r>
    </w:p>
    <w:p>
      <w:pPr>
        <w:pStyle w:val="6"/>
        <w:pageBreakBefore w:val="0"/>
        <w:kinsoku/>
        <w:overflowPunct/>
        <w:topLinePunct w:val="0"/>
        <w:autoSpaceDE/>
        <w:autoSpaceDN/>
        <w:bidi w:val="0"/>
        <w:spacing w:line="560" w:lineRule="exact"/>
      </w:pPr>
      <w:r>
        <w:rPr>
          <w:rFonts w:hint="eastAsia"/>
        </w:rPr>
        <w:t>（二）建设任务</w:t>
      </w:r>
    </w:p>
    <w:p>
      <w:pPr>
        <w:pStyle w:val="7"/>
        <w:pageBreakBefore w:val="0"/>
        <w:kinsoku/>
        <w:overflowPunct/>
        <w:topLinePunct w:val="0"/>
        <w:autoSpaceDE/>
        <w:autoSpaceDN/>
        <w:bidi w:val="0"/>
        <w:spacing w:line="560" w:lineRule="exact"/>
        <w:jc w:val="left"/>
        <w:rPr>
          <w:rFonts w:hint="eastAsia"/>
        </w:rPr>
      </w:pPr>
      <w:r>
        <w:rPr>
          <w:rFonts w:hint="eastAsia"/>
        </w:rPr>
        <w:t>1.科技支撑系统</w:t>
      </w:r>
    </w:p>
    <w:p>
      <w:pPr>
        <w:pageBreakBefore w:val="0"/>
        <w:kinsoku/>
        <w:overflowPunct/>
        <w:topLinePunct w:val="0"/>
        <w:autoSpaceDE/>
        <w:autoSpaceDN/>
        <w:bidi w:val="0"/>
        <w:spacing w:line="560" w:lineRule="exact"/>
        <w:ind w:firstLine="560"/>
      </w:pPr>
      <w:r>
        <w:rPr>
          <w:rFonts w:hint="eastAsia"/>
        </w:rPr>
        <w:t>依托高等院校、科研和生产单位等技术力量，组织开展应用型技术研究，强化科技协调创新，推广林业有害生物防治新技术的研发和应用，提高防控质量和效果。</w:t>
      </w:r>
    </w:p>
    <w:p>
      <w:pPr>
        <w:pageBreakBefore w:val="0"/>
        <w:kinsoku/>
        <w:overflowPunct/>
        <w:topLinePunct w:val="0"/>
        <w:autoSpaceDE/>
        <w:autoSpaceDN/>
        <w:bidi w:val="0"/>
        <w:spacing w:line="560" w:lineRule="exact"/>
        <w:ind w:firstLine="560"/>
        <w:rPr>
          <w:rFonts w:hint="eastAsia"/>
          <w:highlight w:val="none"/>
        </w:rPr>
      </w:pPr>
      <w:r>
        <w:rPr>
          <w:rFonts w:hint="eastAsia"/>
        </w:rPr>
        <w:t>结合</w:t>
      </w:r>
      <w:r>
        <w:t>林业有害生物普查</w:t>
      </w:r>
      <w:r>
        <w:rPr>
          <w:rFonts w:hint="eastAsia"/>
        </w:rPr>
        <w:t>和济宁市森林、草原、湿地外来入侵物种普查成果，</w:t>
      </w:r>
      <w:r>
        <w:t>进一步加强林业有害生物标本室建设，</w:t>
      </w:r>
      <w:r>
        <w:rPr>
          <w:rFonts w:hint="eastAsia"/>
        </w:rPr>
        <w:t>全面提升市、县两级</w:t>
      </w:r>
      <w:r>
        <w:rPr>
          <w:rFonts w:hint="eastAsia"/>
          <w:highlight w:val="none"/>
        </w:rPr>
        <w:t>标本室建设水平。</w:t>
      </w:r>
    </w:p>
    <w:p>
      <w:pPr>
        <w:pageBreakBefore w:val="0"/>
        <w:kinsoku/>
        <w:overflowPunct/>
        <w:topLinePunct w:val="0"/>
        <w:autoSpaceDE/>
        <w:autoSpaceDN/>
        <w:bidi w:val="0"/>
        <w:spacing w:line="560" w:lineRule="exact"/>
        <w:ind w:firstLine="560"/>
      </w:pPr>
      <w:r>
        <w:rPr>
          <w:rFonts w:hint="eastAsia"/>
          <w:highlight w:val="none"/>
        </w:rPr>
        <w:t>“十四五”期间，</w:t>
      </w:r>
      <w:r>
        <w:rPr>
          <w:rFonts w:hint="eastAsia"/>
          <w:highlight w:val="none"/>
          <w:lang w:val="en-US" w:eastAsia="zh-CN"/>
        </w:rPr>
        <w:t>建设1处市级林业</w:t>
      </w:r>
      <w:r>
        <w:rPr>
          <w:rFonts w:hint="eastAsia"/>
          <w:highlight w:val="none"/>
        </w:rPr>
        <w:t>有害生物</w:t>
      </w:r>
      <w:r>
        <w:rPr>
          <w:rFonts w:hint="eastAsia"/>
          <w:highlight w:val="none"/>
          <w:lang w:val="en-US" w:eastAsia="zh-CN"/>
        </w:rPr>
        <w:t>标本室，建立建全</w:t>
      </w:r>
      <w:r>
        <w:rPr>
          <w:rFonts w:hint="eastAsia"/>
          <w:highlight w:val="none"/>
        </w:rPr>
        <w:t>任城</w:t>
      </w:r>
      <w:r>
        <w:rPr>
          <w:rFonts w:hint="eastAsia"/>
        </w:rPr>
        <w:t>区、兖州区、曲阜市、泗水县、邹城市、鱼台县、金</w:t>
      </w:r>
      <w:r>
        <w:rPr>
          <w:rFonts w:hint="eastAsia"/>
          <w:highlight w:val="none"/>
        </w:rPr>
        <w:t>乡县、嘉祥县、汶上县、梁山县等</w:t>
      </w:r>
      <w:r>
        <w:rPr>
          <w:highlight w:val="none"/>
        </w:rPr>
        <w:t>1</w:t>
      </w:r>
      <w:r>
        <w:rPr>
          <w:rFonts w:hint="eastAsia"/>
          <w:highlight w:val="none"/>
          <w:lang w:val="en-US" w:eastAsia="zh-CN"/>
        </w:rPr>
        <w:t>1处</w:t>
      </w:r>
      <w:r>
        <w:rPr>
          <w:rFonts w:hint="eastAsia"/>
          <w:highlight w:val="none"/>
        </w:rPr>
        <w:t>县级</w:t>
      </w:r>
      <w:r>
        <w:rPr>
          <w:rFonts w:hint="eastAsia"/>
        </w:rPr>
        <w:t>林业有害生物标本室，</w:t>
      </w:r>
      <w:r>
        <w:rPr>
          <w:rFonts w:hint="eastAsia"/>
          <w:lang w:val="en-US" w:eastAsia="zh-CN"/>
        </w:rPr>
        <w:t>并配备</w:t>
      </w:r>
      <w:r>
        <w:rPr>
          <w:rFonts w:hint="eastAsia"/>
        </w:rPr>
        <w:t>相应的标本展示设施设备。</w:t>
      </w:r>
    </w:p>
    <w:tbl>
      <w:tblPr>
        <w:tblStyle w:val="21"/>
        <w:tblW w:w="9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3632"/>
        <w:gridCol w:w="3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9061" w:type="dxa"/>
            <w:gridSpan w:val="3"/>
            <w:tcBorders>
              <w:top w:val="nil"/>
              <w:left w:val="nil"/>
              <w:bottom w:val="nil"/>
              <w:right w:val="nil"/>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b/>
                <w:szCs w:val="28"/>
              </w:rPr>
            </w:pPr>
            <w:r>
              <w:rPr>
                <w:rFonts w:hint="eastAsia" w:ascii="方正仿宋简体" w:hAnsi="方正仿宋简体" w:eastAsia="方正仿宋简体" w:cs="方正仿宋简体"/>
                <w:b/>
                <w:sz w:val="28"/>
                <w:szCs w:val="24"/>
              </w:rPr>
              <w:t>表4.4-1林业</w:t>
            </w:r>
            <w:r>
              <w:rPr>
                <w:rFonts w:hint="eastAsia" w:ascii="Times New Roman" w:hAnsi="Times New Roman"/>
                <w:b/>
                <w:sz w:val="28"/>
                <w:szCs w:val="24"/>
              </w:rPr>
              <w:t>有害生物标本室建设任务分解一览表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168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eastAsia="黑体" w:cs="黑体"/>
                <w:b/>
                <w:bCs/>
                <w:sz w:val="24"/>
              </w:rPr>
            </w:pPr>
            <w:r>
              <w:rPr>
                <w:rFonts w:hint="eastAsia" w:ascii="Times New Roman" w:hAnsi="Times New Roman" w:eastAsia="黑体" w:cs="黑体"/>
                <w:b/>
                <w:bCs/>
                <w:sz w:val="24"/>
                <w:lang w:val="en-US" w:eastAsia="zh-CN"/>
              </w:rPr>
              <w:t>类别</w:t>
            </w:r>
          </w:p>
        </w:tc>
        <w:tc>
          <w:tcPr>
            <w:tcW w:w="3632"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eastAsia="黑体" w:cs="黑体"/>
                <w:b/>
                <w:bCs/>
                <w:sz w:val="24"/>
              </w:rPr>
            </w:pPr>
            <w:r>
              <w:rPr>
                <w:rFonts w:hint="eastAsia" w:ascii="Times New Roman" w:hAnsi="Times New Roman" w:eastAsia="黑体" w:cs="黑体"/>
                <w:b/>
                <w:bCs/>
                <w:sz w:val="24"/>
              </w:rPr>
              <w:t>建设任务</w:t>
            </w:r>
          </w:p>
        </w:tc>
        <w:tc>
          <w:tcPr>
            <w:tcW w:w="374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eastAsia="黑体" w:cs="黑体"/>
                <w:b/>
                <w:bCs/>
                <w:sz w:val="24"/>
              </w:rPr>
            </w:pPr>
            <w:r>
              <w:rPr>
                <w:rFonts w:hint="eastAsia" w:ascii="Times New Roman" w:hAnsi="Times New Roman" w:eastAsia="黑体" w:cs="黑体"/>
                <w:b/>
                <w:bCs/>
                <w:sz w:val="24"/>
              </w:rPr>
              <w:t>建设地点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8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市级标本室</w:t>
            </w:r>
          </w:p>
        </w:tc>
        <w:tc>
          <w:tcPr>
            <w:tcW w:w="3632" w:type="dxa"/>
            <w:tcBorders>
              <w:top w:val="single" w:color="auto" w:sz="4" w:space="0"/>
              <w:left w:val="single" w:color="auto" w:sz="4" w:space="0"/>
              <w:bottom w:val="single" w:color="auto" w:sz="4" w:space="0"/>
              <w:right w:val="single" w:color="auto" w:sz="4" w:space="0"/>
            </w:tcBorders>
            <w:noWrap w:val="0"/>
            <w:vAlign w:val="center"/>
          </w:tcPr>
          <w:p>
            <w:pPr>
              <w:pStyle w:val="10"/>
              <w:pageBreakBefore w:val="0"/>
              <w:kinsoku/>
              <w:overflowPunct/>
              <w:topLinePunct w:val="0"/>
              <w:autoSpaceDE/>
              <w:autoSpaceDN/>
              <w:bidi w:val="0"/>
              <w:spacing w:line="560" w:lineRule="exact"/>
              <w:ind w:left="0" w:leftChars="0" w:firstLine="0" w:firstLineChars="0"/>
              <w:rPr>
                <w:rFonts w:ascii="Times New Roman" w:hAnsi="Times New Roman"/>
              </w:rPr>
            </w:pPr>
            <w:r>
              <w:rPr>
                <w:rFonts w:hint="eastAsia" w:ascii="Times New Roman" w:hAnsi="Times New Roman"/>
                <w:lang w:val="en-US" w:eastAsia="zh-CN"/>
              </w:rPr>
              <w:t>新</w:t>
            </w:r>
            <w:r>
              <w:rPr>
                <w:rFonts w:hint="eastAsia" w:ascii="方正仿宋简体" w:hAnsi="方正仿宋简体" w:eastAsia="方正仿宋简体" w:cs="方正仿宋简体"/>
                <w:lang w:val="en-US" w:eastAsia="zh-CN"/>
              </w:rPr>
              <w:t>建1处标本</w:t>
            </w:r>
            <w:r>
              <w:rPr>
                <w:rFonts w:hint="eastAsia" w:ascii="Times New Roman" w:hAnsi="Times New Roman"/>
                <w:lang w:val="en-US" w:eastAsia="zh-CN"/>
              </w:rPr>
              <w:t>室，配备展览触摸屏</w:t>
            </w:r>
            <w:r>
              <w:rPr>
                <w:rFonts w:hint="eastAsia" w:ascii="Times New Roman" w:hAnsi="Times New Roman"/>
              </w:rPr>
              <w:t>、标本柜、展示柜等</w:t>
            </w:r>
            <w:r>
              <w:rPr>
                <w:rFonts w:hint="eastAsia" w:ascii="Times New Roman" w:hAnsi="Times New Roman"/>
                <w:lang w:val="en-US" w:eastAsia="zh-CN"/>
              </w:rPr>
              <w:t>设施设备</w:t>
            </w:r>
          </w:p>
        </w:tc>
        <w:tc>
          <w:tcPr>
            <w:tcW w:w="3749" w:type="dxa"/>
            <w:tcBorders>
              <w:top w:val="single" w:color="auto" w:sz="4" w:space="0"/>
              <w:left w:val="single" w:color="auto" w:sz="4" w:space="0"/>
              <w:bottom w:val="single" w:color="auto" w:sz="4" w:space="0"/>
              <w:right w:val="single" w:color="auto" w:sz="4" w:space="0"/>
            </w:tcBorders>
            <w:noWrap w:val="0"/>
            <w:vAlign w:val="center"/>
          </w:tcPr>
          <w:p>
            <w:pPr>
              <w:pStyle w:val="10"/>
              <w:pageBreakBefore w:val="0"/>
              <w:kinsoku/>
              <w:overflowPunct/>
              <w:topLinePunct w:val="0"/>
              <w:autoSpaceDE/>
              <w:autoSpaceDN/>
              <w:bidi w:val="0"/>
              <w:spacing w:line="560" w:lineRule="exact"/>
              <w:rPr>
                <w:rFonts w:hint="eastAsia" w:ascii="Times New Roman" w:hAnsi="Times New Roman"/>
                <w:lang w:eastAsia="zh-CN"/>
              </w:rPr>
            </w:pPr>
            <w:r>
              <w:rPr>
                <w:rFonts w:hint="eastAsia" w:ascii="Times New Roman" w:hAnsi="Times New Roman"/>
                <w:lang w:val="en-US" w:eastAsia="zh-CN"/>
              </w:rPr>
              <w:t>济宁市城市展览馆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80" w:type="dxa"/>
            <w:tcBorders>
              <w:top w:val="single" w:color="auto" w:sz="4" w:space="0"/>
              <w:left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县级标本室</w:t>
            </w:r>
          </w:p>
        </w:tc>
        <w:tc>
          <w:tcPr>
            <w:tcW w:w="3632" w:type="dxa"/>
            <w:tcBorders>
              <w:top w:val="single" w:color="auto" w:sz="4" w:space="0"/>
              <w:left w:val="single" w:color="auto" w:sz="4" w:space="0"/>
              <w:bottom w:val="single" w:color="auto" w:sz="4" w:space="0"/>
              <w:right w:val="single" w:color="auto" w:sz="4" w:space="0"/>
            </w:tcBorders>
            <w:noWrap w:val="0"/>
            <w:vAlign w:val="center"/>
          </w:tcPr>
          <w:p>
            <w:pPr>
              <w:pStyle w:val="10"/>
              <w:pageBreakBefore w:val="0"/>
              <w:kinsoku/>
              <w:overflowPunct/>
              <w:topLinePunct w:val="0"/>
              <w:autoSpaceDE/>
              <w:autoSpaceDN/>
              <w:bidi w:val="0"/>
              <w:spacing w:line="560" w:lineRule="exact"/>
              <w:ind w:left="0" w:leftChars="0" w:firstLine="0" w:firstLineChars="0"/>
              <w:rPr>
                <w:rFonts w:hint="default" w:ascii="Times New Roman" w:hAnsi="Times New Roman" w:eastAsia="仿宋"/>
                <w:lang w:val="en-US" w:eastAsia="zh-CN"/>
              </w:rPr>
            </w:pPr>
            <w:r>
              <w:rPr>
                <w:rFonts w:hint="eastAsia" w:ascii="Times New Roman" w:hAnsi="Times New Roman"/>
                <w:highlight w:val="none"/>
              </w:rPr>
              <w:t>配备标本柜、展示柜等</w:t>
            </w:r>
            <w:r>
              <w:rPr>
                <w:rFonts w:hint="eastAsia" w:ascii="Times New Roman" w:hAnsi="Times New Roman"/>
                <w:highlight w:val="none"/>
                <w:lang w:val="en-US" w:eastAsia="zh-CN"/>
              </w:rPr>
              <w:t>设施设备</w:t>
            </w:r>
          </w:p>
        </w:tc>
        <w:tc>
          <w:tcPr>
            <w:tcW w:w="3749" w:type="dxa"/>
            <w:tcBorders>
              <w:top w:val="single" w:color="auto" w:sz="4" w:space="0"/>
              <w:left w:val="single" w:color="auto" w:sz="4" w:space="0"/>
              <w:bottom w:val="single" w:color="auto" w:sz="4" w:space="0"/>
              <w:right w:val="single" w:color="auto" w:sz="4" w:space="0"/>
            </w:tcBorders>
            <w:noWrap w:val="0"/>
            <w:vAlign w:val="center"/>
          </w:tcPr>
          <w:p>
            <w:pPr>
              <w:pStyle w:val="10"/>
              <w:pageBreakBefore w:val="0"/>
              <w:kinsoku/>
              <w:overflowPunct/>
              <w:topLinePunct w:val="0"/>
              <w:autoSpaceDE/>
              <w:autoSpaceDN/>
              <w:bidi w:val="0"/>
              <w:spacing w:line="560" w:lineRule="exact"/>
              <w:ind w:left="0" w:leftChars="0" w:firstLine="0" w:firstLineChars="0"/>
              <w:rPr>
                <w:rFonts w:hint="default" w:ascii="Times New Roman" w:hAnsi="Times New Roman" w:eastAsia="仿宋"/>
                <w:lang w:val="en-US" w:eastAsia="zh-CN"/>
              </w:rPr>
            </w:pPr>
            <w:r>
              <w:rPr>
                <w:rFonts w:hint="eastAsia" w:ascii="Times New Roman" w:hAnsi="Times New Roman" w:cs="Times New Roman"/>
                <w:lang w:val="en-US" w:eastAsia="zh-CN"/>
              </w:rPr>
              <w:t>任城区、兖州区、曲阜市、泗水县、邹城市、鱼台县、金乡县、嘉祥县、汶上县、梁山县</w:t>
            </w:r>
          </w:p>
        </w:tc>
      </w:tr>
    </w:tbl>
    <w:p>
      <w:pPr>
        <w:pStyle w:val="7"/>
        <w:pageBreakBefore w:val="0"/>
        <w:kinsoku/>
        <w:overflowPunct/>
        <w:topLinePunct w:val="0"/>
        <w:autoSpaceDE/>
        <w:autoSpaceDN/>
        <w:bidi w:val="0"/>
        <w:spacing w:line="560" w:lineRule="exact"/>
        <w:jc w:val="left"/>
        <w:rPr>
          <w:rFonts w:hint="eastAsia"/>
        </w:rPr>
      </w:pPr>
      <w:r>
        <w:rPr>
          <w:rFonts w:hint="eastAsia"/>
        </w:rPr>
        <w:t>2.宣传活动</w:t>
      </w:r>
    </w:p>
    <w:p>
      <w:pPr>
        <w:pageBreakBefore w:val="0"/>
        <w:kinsoku/>
        <w:overflowPunct/>
        <w:topLinePunct w:val="0"/>
        <w:autoSpaceDE/>
        <w:autoSpaceDN/>
        <w:bidi w:val="0"/>
        <w:spacing w:line="560" w:lineRule="exact"/>
        <w:ind w:firstLine="560"/>
        <w:rPr>
          <w:rFonts w:hint="eastAsia"/>
        </w:rPr>
      </w:pPr>
      <w:r>
        <w:rPr>
          <w:rFonts w:hint="eastAsia"/>
        </w:rPr>
        <w:t>通过电视、报纸、微信、赶大集、明白纸、公益广告等不同方式，传统媒体和新媒体相结合宣传报道</w:t>
      </w:r>
      <w:r>
        <w:t>松材线虫病</w:t>
      </w:r>
      <w:r>
        <w:rPr>
          <w:rFonts w:hint="eastAsia"/>
        </w:rPr>
        <w:t>、美国白蛾</w:t>
      </w:r>
      <w:r>
        <w:t>等</w:t>
      </w:r>
      <w:r>
        <w:rPr>
          <w:rFonts w:hint="eastAsia"/>
        </w:rPr>
        <w:t>林业有害生物</w:t>
      </w:r>
      <w:r>
        <w:t>的危害性、防治方法及有关法律法规</w:t>
      </w:r>
      <w:r>
        <w:rPr>
          <w:rFonts w:hint="eastAsia"/>
        </w:rPr>
        <w:t>，激发社会各界关心生态环境保护、主动参与</w:t>
      </w:r>
      <w:r>
        <w:rPr>
          <w:rFonts w:hint="eastAsia"/>
          <w:lang w:val="en-US" w:eastAsia="zh-CN"/>
        </w:rPr>
        <w:t>林业植物病虫害</w:t>
      </w:r>
      <w:r>
        <w:rPr>
          <w:rFonts w:hint="eastAsia"/>
        </w:rPr>
        <w:t>防控的热情，形成多方参与、群防群治的防控新局面。</w:t>
      </w:r>
    </w:p>
    <w:p>
      <w:pPr>
        <w:pageBreakBefore w:val="0"/>
        <w:kinsoku/>
        <w:overflowPunct/>
        <w:topLinePunct w:val="0"/>
        <w:autoSpaceDE/>
        <w:autoSpaceDN/>
        <w:bidi w:val="0"/>
        <w:spacing w:line="560" w:lineRule="exact"/>
        <w:ind w:firstLine="560"/>
        <w:rPr>
          <w:rFonts w:hint="eastAsia"/>
        </w:rPr>
      </w:pPr>
      <w:r>
        <w:rPr>
          <w:rFonts w:hint="eastAsia"/>
        </w:rPr>
        <w:t>“十四五”期间，每年开展宣传活动</w:t>
      </w:r>
      <w:r>
        <w:rPr>
          <w:rFonts w:hint="eastAsia"/>
          <w:highlight w:val="none"/>
        </w:rPr>
        <w:t>1</w:t>
      </w:r>
      <w:r>
        <w:rPr>
          <w:rFonts w:hint="eastAsia"/>
          <w:highlight w:val="none"/>
          <w:lang w:val="en-US" w:eastAsia="zh-CN"/>
        </w:rPr>
        <w:t>~2</w:t>
      </w:r>
      <w:r>
        <w:rPr>
          <w:rFonts w:hint="eastAsia"/>
          <w:highlight w:val="none"/>
        </w:rPr>
        <w:t>期，通</w:t>
      </w:r>
      <w:r>
        <w:rPr>
          <w:rFonts w:hint="eastAsia"/>
        </w:rPr>
        <w:t>过向群众发放明白纸、电视播放公益广告等方式，营造重大林业有害生物“人人知，人人治”的良好氛围。</w:t>
      </w:r>
    </w:p>
    <w:tbl>
      <w:tblPr>
        <w:tblStyle w:val="21"/>
        <w:tblW w:w="9425" w:type="dxa"/>
        <w:jc w:val="center"/>
        <w:tblInd w:w="-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3"/>
        <w:gridCol w:w="1246"/>
        <w:gridCol w:w="1248"/>
        <w:gridCol w:w="1248"/>
        <w:gridCol w:w="1248"/>
        <w:gridCol w:w="1248"/>
        <w:gridCol w:w="11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9425" w:type="dxa"/>
            <w:gridSpan w:val="7"/>
            <w:tcBorders>
              <w:top w:val="nil"/>
              <w:left w:val="nil"/>
              <w:bottom w:val="nil"/>
              <w:right w:val="nil"/>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b/>
                <w:sz w:val="28"/>
                <w:szCs w:val="24"/>
              </w:rPr>
            </w:pPr>
            <w:r>
              <w:rPr>
                <w:rFonts w:hint="eastAsia" w:ascii="方正仿宋简体" w:hAnsi="方正仿宋简体" w:eastAsia="方正仿宋简体" w:cs="方正仿宋简体"/>
                <w:b/>
                <w:sz w:val="28"/>
                <w:szCs w:val="24"/>
              </w:rPr>
              <w:t>表4.4-2宣传活动</w:t>
            </w:r>
            <w:r>
              <w:rPr>
                <w:rFonts w:hint="eastAsia" w:ascii="Times New Roman" w:hAnsi="Times New Roman"/>
                <w:b/>
                <w:sz w:val="28"/>
                <w:szCs w:val="24"/>
              </w:rPr>
              <w:t>任务分解一览表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20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lang w:val="en-US" w:eastAsia="zh-CN"/>
              </w:rPr>
              <w:t>类别</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lang w:val="en-US" w:eastAsia="zh-CN"/>
              </w:rPr>
            </w:pPr>
            <w:r>
              <w:rPr>
                <w:rFonts w:hint="eastAsia" w:ascii="方正仿宋简体" w:hAnsi="方正仿宋简体" w:eastAsia="方正仿宋简体" w:cs="方正仿宋简体"/>
                <w:b/>
                <w:bCs/>
                <w:sz w:val="24"/>
                <w:lang w:val="en-US" w:eastAsia="zh-CN"/>
              </w:rPr>
              <w:t>2021年</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lang w:val="en-US" w:eastAsia="zh-CN"/>
              </w:rPr>
            </w:pPr>
            <w:r>
              <w:rPr>
                <w:rFonts w:hint="eastAsia" w:ascii="方正仿宋简体" w:hAnsi="方正仿宋简体" w:eastAsia="方正仿宋简体" w:cs="方正仿宋简体"/>
                <w:b/>
                <w:bCs/>
                <w:sz w:val="24"/>
                <w:lang w:val="en-US" w:eastAsia="zh-CN"/>
              </w:rPr>
              <w:t>2022年</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lang w:val="en-US" w:eastAsia="zh-CN"/>
              </w:rPr>
            </w:pPr>
            <w:r>
              <w:rPr>
                <w:rFonts w:hint="eastAsia" w:ascii="方正仿宋简体" w:hAnsi="方正仿宋简体" w:eastAsia="方正仿宋简体" w:cs="方正仿宋简体"/>
                <w:b/>
                <w:bCs/>
                <w:sz w:val="24"/>
                <w:lang w:val="en-US" w:eastAsia="zh-CN"/>
              </w:rPr>
              <w:t>2023年</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lang w:val="en-US" w:eastAsia="zh-CN"/>
              </w:rPr>
            </w:pPr>
            <w:r>
              <w:rPr>
                <w:rFonts w:hint="eastAsia" w:ascii="方正仿宋简体" w:hAnsi="方正仿宋简体" w:eastAsia="方正仿宋简体" w:cs="方正仿宋简体"/>
                <w:b/>
                <w:bCs/>
                <w:sz w:val="24"/>
                <w:lang w:val="en-US" w:eastAsia="zh-CN"/>
              </w:rPr>
              <w:t>2024年</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lang w:val="en-US" w:eastAsia="zh-CN"/>
              </w:rPr>
            </w:pPr>
            <w:r>
              <w:rPr>
                <w:rFonts w:hint="eastAsia" w:ascii="方正仿宋简体" w:hAnsi="方正仿宋简体" w:eastAsia="方正仿宋简体" w:cs="方正仿宋简体"/>
                <w:b/>
                <w:bCs/>
                <w:sz w:val="24"/>
                <w:lang w:val="en-US" w:eastAsia="zh-CN"/>
              </w:rPr>
              <w:t>2025年</w:t>
            </w:r>
          </w:p>
        </w:tc>
        <w:tc>
          <w:tcPr>
            <w:tcW w:w="114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lang w:val="en-US" w:eastAsia="zh-CN"/>
              </w:rPr>
            </w:pPr>
            <w:r>
              <w:rPr>
                <w:rFonts w:hint="eastAsia" w:ascii="方正仿宋简体" w:hAnsi="方正仿宋简体" w:eastAsia="方正仿宋简体" w:cs="方正仿宋简体"/>
                <w:b/>
                <w:bCs/>
                <w:sz w:val="24"/>
                <w:lang w:val="en-US"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市级（次）</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1</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1</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1</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1</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1</w:t>
            </w:r>
          </w:p>
        </w:tc>
        <w:tc>
          <w:tcPr>
            <w:tcW w:w="114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4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县级（次）</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28</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28</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28</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28</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28</w:t>
            </w:r>
          </w:p>
        </w:tc>
        <w:tc>
          <w:tcPr>
            <w:tcW w:w="1144"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140</w:t>
            </w:r>
          </w:p>
        </w:tc>
      </w:tr>
    </w:tbl>
    <w:p>
      <w:pPr>
        <w:pStyle w:val="7"/>
        <w:pageBreakBefore w:val="0"/>
        <w:kinsoku/>
        <w:overflowPunct/>
        <w:topLinePunct w:val="0"/>
        <w:autoSpaceDE/>
        <w:autoSpaceDN/>
        <w:bidi w:val="0"/>
        <w:spacing w:line="560" w:lineRule="exact"/>
        <w:jc w:val="left"/>
      </w:pPr>
      <w:r>
        <w:rPr>
          <w:rFonts w:hint="eastAsia"/>
        </w:rPr>
        <w:t>3.教育培训</w:t>
      </w:r>
    </w:p>
    <w:p>
      <w:pPr>
        <w:pageBreakBefore w:val="0"/>
        <w:kinsoku/>
        <w:overflowPunct/>
        <w:topLinePunct w:val="0"/>
        <w:autoSpaceDE/>
        <w:autoSpaceDN/>
        <w:bidi w:val="0"/>
        <w:spacing w:line="560" w:lineRule="exact"/>
        <w:ind w:firstLine="560"/>
        <w:rPr>
          <w:rFonts w:hint="eastAsia"/>
        </w:rPr>
      </w:pPr>
      <w:bookmarkStart w:id="43" w:name="_Toc9058"/>
      <w:r>
        <w:rPr>
          <w:rFonts w:hint="eastAsia"/>
        </w:rPr>
        <w:t>加强全市测报员、检疫员、防治员等林业有害生物防控工作人员的培训工作，</w:t>
      </w:r>
      <w:r>
        <w:t>定期开展防控政策解读、技术推广、经验交流</w:t>
      </w:r>
      <w:r>
        <w:rPr>
          <w:rFonts w:hint="eastAsia"/>
        </w:rPr>
        <w:t>、现场会、演练</w:t>
      </w:r>
      <w:r>
        <w:t>等</w:t>
      </w:r>
      <w:r>
        <w:rPr>
          <w:rFonts w:hint="eastAsia"/>
        </w:rPr>
        <w:t>教育</w:t>
      </w:r>
      <w:r>
        <w:t>培训</w:t>
      </w:r>
      <w:r>
        <w:rPr>
          <w:rFonts w:hint="eastAsia"/>
        </w:rPr>
        <w:t>活动</w:t>
      </w:r>
      <w:r>
        <w:t>，</w:t>
      </w:r>
      <w:r>
        <w:rPr>
          <w:rFonts w:hint="eastAsia"/>
        </w:rPr>
        <w:t>提高全市林业有害生物防控工作人员业务能力。</w:t>
      </w:r>
    </w:p>
    <w:p>
      <w:pPr>
        <w:pageBreakBefore w:val="0"/>
        <w:kinsoku/>
        <w:overflowPunct/>
        <w:topLinePunct w:val="0"/>
        <w:autoSpaceDE/>
        <w:autoSpaceDN/>
        <w:bidi w:val="0"/>
        <w:spacing w:line="560" w:lineRule="exact"/>
        <w:ind w:firstLine="560"/>
        <w:rPr>
          <w:rFonts w:hint="eastAsia"/>
        </w:rPr>
      </w:pPr>
      <w:r>
        <w:rPr>
          <w:rFonts w:hint="eastAsia"/>
        </w:rPr>
        <w:t>“十四五”期间，市</w:t>
      </w:r>
      <w:r>
        <w:rPr>
          <w:rFonts w:hint="eastAsia"/>
          <w:lang w:eastAsia="zh-CN"/>
        </w:rPr>
        <w:t>、</w:t>
      </w:r>
      <w:r>
        <w:rPr>
          <w:rFonts w:hint="eastAsia"/>
        </w:rPr>
        <w:t>县两级每年各举行1次林业有害生物培训活</w:t>
      </w:r>
      <w:r>
        <w:rPr>
          <w:rFonts w:hint="eastAsia"/>
          <w:highlight w:val="none"/>
        </w:rPr>
        <w:t>动，</w:t>
      </w:r>
      <w:r>
        <w:rPr>
          <w:rFonts w:hint="eastAsia"/>
          <w:highlight w:val="none"/>
          <w:lang w:val="en-US" w:eastAsia="zh-CN"/>
        </w:rPr>
        <w:t>逐级</w:t>
      </w:r>
      <w:r>
        <w:rPr>
          <w:rFonts w:hint="eastAsia"/>
          <w:highlight w:val="none"/>
        </w:rPr>
        <w:t>在全市</w:t>
      </w:r>
      <w:r>
        <w:rPr>
          <w:rFonts w:hint="eastAsia"/>
        </w:rPr>
        <w:t>156个</w:t>
      </w:r>
      <w:r>
        <w:rPr>
          <w:rFonts w:hint="eastAsia"/>
          <w:lang w:eastAsia="zh-CN"/>
        </w:rPr>
        <w:t>乡镇（街道）</w:t>
      </w:r>
      <w:r>
        <w:rPr>
          <w:rFonts w:hint="eastAsia"/>
        </w:rPr>
        <w:t>开展技术培训班。</w:t>
      </w:r>
    </w:p>
    <w:p>
      <w:pPr>
        <w:rPr>
          <w:rFonts w:hint="eastAsia"/>
        </w:rPr>
      </w:pPr>
    </w:p>
    <w:tbl>
      <w:tblPr>
        <w:tblStyle w:val="21"/>
        <w:tblW w:w="9425" w:type="dxa"/>
        <w:jc w:val="center"/>
        <w:tblInd w:w="-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5"/>
        <w:gridCol w:w="1248"/>
        <w:gridCol w:w="1248"/>
        <w:gridCol w:w="1248"/>
        <w:gridCol w:w="1248"/>
        <w:gridCol w:w="1248"/>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9425" w:type="dxa"/>
            <w:gridSpan w:val="7"/>
            <w:tcBorders>
              <w:top w:val="nil"/>
              <w:left w:val="nil"/>
              <w:bottom w:val="nil"/>
              <w:right w:val="nil"/>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b/>
                <w:szCs w:val="28"/>
              </w:rPr>
            </w:pPr>
            <w:r>
              <w:rPr>
                <w:rFonts w:hint="eastAsia" w:ascii="方正仿宋简体" w:hAnsi="方正仿宋简体" w:eastAsia="方正仿宋简体" w:cs="方正仿宋简体"/>
                <w:b/>
                <w:sz w:val="28"/>
                <w:szCs w:val="24"/>
              </w:rPr>
              <w:t>表4.4-3教</w:t>
            </w:r>
            <w:r>
              <w:rPr>
                <w:rFonts w:hint="eastAsia" w:ascii="Times New Roman" w:hAnsi="Times New Roman"/>
                <w:b/>
                <w:sz w:val="28"/>
                <w:szCs w:val="24"/>
              </w:rPr>
              <w:t>育培训任务分解一览表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2045"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lang w:val="en-US" w:eastAsia="zh-CN"/>
              </w:rPr>
            </w:pPr>
            <w:r>
              <w:rPr>
                <w:rFonts w:hint="eastAsia" w:ascii="方正仿宋简体" w:hAnsi="方正仿宋简体" w:eastAsia="方正仿宋简体" w:cs="方正仿宋简体"/>
                <w:b/>
                <w:bCs/>
                <w:sz w:val="24"/>
                <w:lang w:val="en-US" w:eastAsia="zh-CN"/>
              </w:rPr>
              <w:t>类别</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lang w:val="en-US" w:eastAsia="zh-CN"/>
              </w:rPr>
            </w:pPr>
            <w:r>
              <w:rPr>
                <w:rFonts w:hint="eastAsia" w:ascii="方正仿宋简体" w:hAnsi="方正仿宋简体" w:eastAsia="方正仿宋简体" w:cs="方正仿宋简体"/>
                <w:b/>
                <w:bCs/>
                <w:sz w:val="24"/>
                <w:lang w:val="en-US" w:eastAsia="zh-CN"/>
              </w:rPr>
              <w:t>2021年</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lang w:val="en-US" w:eastAsia="zh-CN"/>
              </w:rPr>
            </w:pPr>
            <w:r>
              <w:rPr>
                <w:rFonts w:hint="eastAsia" w:ascii="方正仿宋简体" w:hAnsi="方正仿宋简体" w:eastAsia="方正仿宋简体" w:cs="方正仿宋简体"/>
                <w:b/>
                <w:bCs/>
                <w:sz w:val="24"/>
                <w:lang w:val="en-US" w:eastAsia="zh-CN"/>
              </w:rPr>
              <w:t>2022年</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lang w:val="en-US" w:eastAsia="zh-CN"/>
              </w:rPr>
            </w:pPr>
            <w:r>
              <w:rPr>
                <w:rFonts w:hint="eastAsia" w:ascii="方正仿宋简体" w:hAnsi="方正仿宋简体" w:eastAsia="方正仿宋简体" w:cs="方正仿宋简体"/>
                <w:b/>
                <w:bCs/>
                <w:sz w:val="24"/>
                <w:lang w:val="en-US" w:eastAsia="zh-CN"/>
              </w:rPr>
              <w:t>2023年</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lang w:val="en-US" w:eastAsia="zh-CN"/>
              </w:rPr>
            </w:pPr>
            <w:r>
              <w:rPr>
                <w:rFonts w:hint="eastAsia" w:ascii="方正仿宋简体" w:hAnsi="方正仿宋简体" w:eastAsia="方正仿宋简体" w:cs="方正仿宋简体"/>
                <w:b/>
                <w:bCs/>
                <w:sz w:val="24"/>
                <w:lang w:val="en-US" w:eastAsia="zh-CN"/>
              </w:rPr>
              <w:t>2024年</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lang w:val="en-US" w:eastAsia="zh-CN"/>
              </w:rPr>
            </w:pPr>
            <w:r>
              <w:rPr>
                <w:rFonts w:hint="eastAsia" w:ascii="方正仿宋简体" w:hAnsi="方正仿宋简体" w:eastAsia="方正仿宋简体" w:cs="方正仿宋简体"/>
                <w:b/>
                <w:bCs/>
                <w:sz w:val="24"/>
                <w:lang w:val="en-US" w:eastAsia="zh-CN"/>
              </w:rPr>
              <w:t>2025年</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lang w:val="en-US" w:eastAsia="zh-CN"/>
              </w:rPr>
            </w:pPr>
            <w:r>
              <w:rPr>
                <w:rFonts w:hint="eastAsia" w:ascii="方正仿宋简体" w:hAnsi="方正仿宋简体" w:eastAsia="方正仿宋简体" w:cs="方正仿宋简体"/>
                <w:b/>
                <w:bCs/>
                <w:sz w:val="24"/>
                <w:lang w:val="en-US"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45"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市级（次）</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1</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1</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1</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1</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1</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045"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县级（次）</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14</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14</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14</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14</w:t>
            </w:r>
          </w:p>
        </w:tc>
        <w:tc>
          <w:tcPr>
            <w:tcW w:w="1248"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14</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70</w:t>
            </w:r>
          </w:p>
        </w:tc>
      </w:tr>
      <w:bookmarkEnd w:id="43"/>
    </w:tbl>
    <w:p>
      <w:pPr>
        <w:pStyle w:val="7"/>
        <w:pageBreakBefore w:val="0"/>
        <w:kinsoku/>
        <w:overflowPunct/>
        <w:topLinePunct w:val="0"/>
        <w:autoSpaceDE/>
        <w:autoSpaceDN/>
        <w:bidi w:val="0"/>
        <w:spacing w:line="560" w:lineRule="exact"/>
        <w:jc w:val="left"/>
      </w:pPr>
      <w:r>
        <w:rPr>
          <w:rFonts w:hint="eastAsia"/>
          <w:lang w:val="en-US" w:eastAsia="zh-CN"/>
        </w:rPr>
        <w:t>4</w:t>
      </w:r>
      <w:r>
        <w:rPr>
          <w:rFonts w:hint="eastAsia"/>
        </w:rPr>
        <w:t>.推进社会化防治服务</w:t>
      </w:r>
    </w:p>
    <w:p>
      <w:pPr>
        <w:pageBreakBefore w:val="0"/>
        <w:kinsoku/>
        <w:overflowPunct/>
        <w:topLinePunct w:val="0"/>
        <w:autoSpaceDE/>
        <w:autoSpaceDN/>
        <w:bidi w:val="0"/>
        <w:spacing w:line="560" w:lineRule="exact"/>
        <w:rPr>
          <w:rFonts w:hint="eastAsia"/>
        </w:rPr>
      </w:pPr>
      <w:r>
        <w:rPr>
          <w:rFonts w:hint="eastAsia"/>
        </w:rPr>
        <w:t>加强对现有防治公司的监督，引导他们向现代优质服务企业方向发展</w:t>
      </w:r>
      <w:r>
        <w:rPr>
          <w:rFonts w:hint="eastAsia"/>
          <w:lang w:eastAsia="zh-CN"/>
        </w:rPr>
        <w:t>；</w:t>
      </w:r>
      <w:r>
        <w:rPr>
          <w:rFonts w:hint="eastAsia"/>
        </w:rPr>
        <w:t>推进政府向社会化防治组织购买疫情除治、监测调查等服务工作</w:t>
      </w:r>
      <w:r>
        <w:rPr>
          <w:rFonts w:hint="eastAsia"/>
          <w:lang w:eastAsia="zh-CN"/>
        </w:rPr>
        <w:t>；</w:t>
      </w:r>
      <w:r>
        <w:rPr>
          <w:rFonts w:hint="eastAsia"/>
        </w:rPr>
        <w:t>做好对社会化防治的指导，积极提供技术服务和政策支持。</w:t>
      </w:r>
    </w:p>
    <w:p>
      <w:pPr>
        <w:pStyle w:val="4"/>
        <w:pageBreakBefore w:val="0"/>
        <w:kinsoku/>
        <w:overflowPunct/>
        <w:topLinePunct w:val="0"/>
        <w:autoSpaceDE/>
        <w:autoSpaceDN/>
        <w:bidi w:val="0"/>
        <w:spacing w:line="560" w:lineRule="exact"/>
        <w:jc w:val="center"/>
        <w:outlineLvl w:val="0"/>
        <w:rPr>
          <w:rFonts w:hint="eastAsia"/>
        </w:rPr>
      </w:pPr>
      <w:r>
        <w:rPr>
          <w:rFonts w:hint="eastAsia"/>
        </w:rPr>
        <w:br w:type="page"/>
      </w:r>
      <w:bookmarkStart w:id="44" w:name="_Toc21157"/>
      <w:bookmarkStart w:id="45" w:name="_Toc18980"/>
      <w:r>
        <w:rPr>
          <w:rStyle w:val="56"/>
          <w:rFonts w:hint="eastAsia"/>
          <w:b/>
        </w:rPr>
        <w:t>第五章 松材线虫病攻坚行动</w:t>
      </w:r>
      <w:bookmarkEnd w:id="44"/>
      <w:bookmarkEnd w:id="45"/>
    </w:p>
    <w:p>
      <w:pPr>
        <w:pStyle w:val="5"/>
        <w:pageBreakBefore w:val="0"/>
        <w:kinsoku/>
        <w:overflowPunct/>
        <w:topLinePunct w:val="0"/>
        <w:autoSpaceDE/>
        <w:autoSpaceDN/>
        <w:bidi w:val="0"/>
        <w:spacing w:line="560" w:lineRule="exact"/>
        <w:outlineLvl w:val="1"/>
        <w:rPr>
          <w:rFonts w:hint="eastAsia"/>
        </w:rPr>
      </w:pPr>
      <w:bookmarkStart w:id="46" w:name="_Toc30861"/>
      <w:r>
        <w:rPr>
          <w:rFonts w:hint="eastAsia"/>
        </w:rPr>
        <w:t>一、主要任务</w:t>
      </w:r>
      <w:bookmarkEnd w:id="46"/>
    </w:p>
    <w:p>
      <w:pPr>
        <w:pageBreakBefore w:val="0"/>
        <w:kinsoku/>
        <w:overflowPunct/>
        <w:topLinePunct w:val="0"/>
        <w:autoSpaceDE/>
        <w:autoSpaceDN/>
        <w:bidi w:val="0"/>
        <w:spacing w:line="560" w:lineRule="exact"/>
        <w:ind w:firstLine="560"/>
      </w:pPr>
      <w:r>
        <w:rPr>
          <w:rFonts w:hint="eastAsia"/>
        </w:rPr>
        <w:t>对泗水县、曲阜市、邹城市、微山县全部松林开展松材线虫病监测、</w:t>
      </w:r>
      <w:r>
        <w:rPr>
          <w:rFonts w:hint="eastAsia"/>
          <w:lang w:val="en-US" w:eastAsia="zh-CN"/>
        </w:rPr>
        <w:t>病（枯）死木</w:t>
      </w:r>
      <w:r>
        <w:rPr>
          <w:rFonts w:hint="eastAsia"/>
        </w:rPr>
        <w:t>清理、松树打孔注药、松褐天牛综合防治等工作。</w:t>
      </w:r>
    </w:p>
    <w:p>
      <w:pPr>
        <w:pStyle w:val="5"/>
        <w:pageBreakBefore w:val="0"/>
        <w:kinsoku/>
        <w:overflowPunct/>
        <w:topLinePunct w:val="0"/>
        <w:autoSpaceDE/>
        <w:autoSpaceDN/>
        <w:bidi w:val="0"/>
        <w:spacing w:line="560" w:lineRule="exact"/>
        <w:outlineLvl w:val="1"/>
        <w:rPr>
          <w:rFonts w:hint="eastAsia"/>
        </w:rPr>
      </w:pPr>
      <w:bookmarkStart w:id="47" w:name="_Toc26748"/>
      <w:r>
        <w:rPr>
          <w:rFonts w:hint="eastAsia"/>
        </w:rPr>
        <w:t>二、防控目标</w:t>
      </w:r>
      <w:bookmarkEnd w:id="47"/>
    </w:p>
    <w:p>
      <w:pPr>
        <w:pageBreakBefore w:val="0"/>
        <w:kinsoku/>
        <w:overflowPunct/>
        <w:topLinePunct w:val="0"/>
        <w:autoSpaceDE/>
        <w:autoSpaceDN/>
        <w:bidi w:val="0"/>
        <w:spacing w:line="560" w:lineRule="exact"/>
        <w:ind w:firstLine="560"/>
        <w:rPr>
          <w:rFonts w:hint="eastAsia" w:eastAsia="仿宋"/>
          <w:lang w:eastAsia="zh-CN"/>
        </w:rPr>
      </w:pPr>
      <w:r>
        <w:rPr>
          <w:rFonts w:hint="eastAsia"/>
        </w:rPr>
        <w:t>到2023年，彻底拔除泗水县中册镇松材线虫病疫点疫情。</w:t>
      </w:r>
      <w:r>
        <w:rPr>
          <w:rFonts w:hint="eastAsia"/>
          <w:lang w:val="en-US" w:eastAsia="zh-CN"/>
        </w:rPr>
        <w:t>至2025年底</w:t>
      </w:r>
      <w:r>
        <w:rPr>
          <w:rFonts w:hint="eastAsia"/>
        </w:rPr>
        <w:t>，曲阜市、泗水县、邹城市、微山县等松林分布地区</w:t>
      </w:r>
      <w:r>
        <w:rPr>
          <w:rFonts w:hint="eastAsia"/>
          <w:lang w:eastAsia="zh-CN"/>
        </w:rPr>
        <w:t>，</w:t>
      </w:r>
      <w:r>
        <w:rPr>
          <w:rFonts w:hint="eastAsia"/>
        </w:rPr>
        <w:t>松材线虫病</w:t>
      </w:r>
      <w:r>
        <w:t>监测覆盖率</w:t>
      </w:r>
      <w:r>
        <w:rPr>
          <w:rFonts w:hint="eastAsia"/>
        </w:rPr>
        <w:t>达到100</w:t>
      </w:r>
      <w:r>
        <w:t>%</w:t>
      </w:r>
      <w:r>
        <w:rPr>
          <w:rFonts w:hint="eastAsia"/>
        </w:rPr>
        <w:t>，死树鉴定率达到100%</w:t>
      </w:r>
      <w:r>
        <w:rPr>
          <w:rFonts w:hint="eastAsia"/>
          <w:lang w:eastAsia="zh-CN"/>
        </w:rPr>
        <w:t>，</w:t>
      </w:r>
      <w:r>
        <w:rPr>
          <w:rFonts w:hint="eastAsia"/>
        </w:rPr>
        <w:t>确保不出现松材线虫病疫情</w:t>
      </w:r>
      <w:r>
        <w:rPr>
          <w:rFonts w:hint="eastAsia"/>
          <w:lang w:eastAsia="zh-CN"/>
        </w:rPr>
        <w:t>。</w:t>
      </w:r>
    </w:p>
    <w:p>
      <w:pPr>
        <w:pStyle w:val="5"/>
        <w:pageBreakBefore w:val="0"/>
        <w:kinsoku/>
        <w:overflowPunct/>
        <w:topLinePunct w:val="0"/>
        <w:autoSpaceDE/>
        <w:autoSpaceDN/>
        <w:bidi w:val="0"/>
        <w:spacing w:line="560" w:lineRule="exact"/>
        <w:outlineLvl w:val="1"/>
        <w:rPr>
          <w:rFonts w:hint="eastAsia"/>
        </w:rPr>
      </w:pPr>
      <w:bookmarkStart w:id="48" w:name="_Toc2990"/>
      <w:r>
        <w:rPr>
          <w:rFonts w:hint="eastAsia"/>
        </w:rPr>
        <w:t>三、技术路线</w:t>
      </w:r>
      <w:bookmarkEnd w:id="48"/>
    </w:p>
    <w:p>
      <w:pPr>
        <w:pStyle w:val="6"/>
        <w:pageBreakBefore w:val="0"/>
        <w:kinsoku/>
        <w:overflowPunct/>
        <w:topLinePunct w:val="0"/>
        <w:autoSpaceDE/>
        <w:autoSpaceDN/>
        <w:bidi w:val="0"/>
        <w:spacing w:line="560" w:lineRule="exact"/>
        <w:rPr>
          <w:rFonts w:hint="eastAsia"/>
        </w:rPr>
      </w:pPr>
      <w:r>
        <w:rPr>
          <w:rFonts w:hint="eastAsia"/>
        </w:rPr>
        <w:t>（一）疫情精准监测</w:t>
      </w:r>
    </w:p>
    <w:tbl>
      <w:tblPr>
        <w:tblStyle w:val="21"/>
        <w:tblW w:w="101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7"/>
        <w:gridCol w:w="1423"/>
        <w:gridCol w:w="1429"/>
        <w:gridCol w:w="1429"/>
        <w:gridCol w:w="1281"/>
        <w:gridCol w:w="1326"/>
        <w:gridCol w:w="1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10134" w:type="dxa"/>
            <w:gridSpan w:val="7"/>
            <w:tcBorders>
              <w:top w:val="nil"/>
              <w:left w:val="nil"/>
              <w:bottom w:val="nil"/>
              <w:right w:val="nil"/>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b/>
                <w:szCs w:val="28"/>
              </w:rPr>
            </w:pPr>
            <w:r>
              <w:rPr>
                <w:rFonts w:hint="eastAsia" w:ascii="方正仿宋简体" w:hAnsi="方正仿宋简体" w:eastAsia="方正仿宋简体" w:cs="方正仿宋简体"/>
                <w:b/>
                <w:sz w:val="28"/>
                <w:szCs w:val="24"/>
              </w:rPr>
              <w:t>表5.3-1松</w:t>
            </w:r>
            <w:r>
              <w:rPr>
                <w:rFonts w:hint="eastAsia" w:ascii="Times New Roman" w:hAnsi="Times New Roman"/>
                <w:b/>
                <w:sz w:val="28"/>
                <w:szCs w:val="24"/>
              </w:rPr>
              <w:t>材线虫病攻坚行动监测任务分解一览表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2" w:hRule="exact"/>
          <w:tblHeader/>
          <w:jc w:val="center"/>
        </w:trPr>
        <w:tc>
          <w:tcPr>
            <w:tcW w:w="1957"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default" w:ascii="Times New Roman" w:hAnsi="Times New Roman" w:cs="Times New Roman"/>
                <w:b/>
                <w:bCs/>
                <w:sz w:val="24"/>
                <w:lang w:val="en-US" w:eastAsia="zh-CN"/>
              </w:rPr>
            </w:pPr>
            <w:r>
              <w:rPr>
                <w:rFonts w:hint="eastAsia" w:ascii="Times New Roman" w:hAnsi="Times New Roman" w:cs="Times New Roman"/>
                <w:b/>
                <w:bCs/>
                <w:sz w:val="24"/>
                <w:lang w:val="en-US" w:eastAsia="zh-CN"/>
              </w:rPr>
              <w:t>县（市）</w:t>
            </w:r>
          </w:p>
        </w:tc>
        <w:tc>
          <w:tcPr>
            <w:tcW w:w="14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cs="Times New Roman"/>
                <w:b/>
                <w:bCs/>
                <w:sz w:val="24"/>
              </w:rPr>
            </w:pPr>
            <w:r>
              <w:rPr>
                <w:rFonts w:hint="eastAsia" w:ascii="Times New Roman" w:hAnsi="Times New Roman" w:cs="Times New Roman"/>
                <w:b/>
                <w:bCs/>
                <w:sz w:val="24"/>
                <w:lang w:val="en-US" w:eastAsia="zh-CN"/>
              </w:rPr>
              <w:t>2021</w:t>
            </w:r>
            <w:r>
              <w:rPr>
                <w:rFonts w:hint="eastAsia" w:ascii="Times New Roman" w:hAnsi="Times New Roman" w:cs="Times New Roman"/>
                <w:b/>
                <w:bCs/>
                <w:sz w:val="24"/>
              </w:rPr>
              <w:t>年（亩</w:t>
            </w:r>
            <w:r>
              <w:rPr>
                <w:rFonts w:hint="eastAsia" w:ascii="Times New Roman" w:hAnsi="Times New Roman" w:cs="Times New Roman"/>
                <w:b/>
                <w:bCs/>
                <w:sz w:val="24"/>
                <w:lang w:val="en-US" w:eastAsia="zh-CN"/>
              </w:rPr>
              <w:t>次</w:t>
            </w:r>
            <w:r>
              <w:rPr>
                <w:rFonts w:hint="eastAsia" w:ascii="Times New Roman" w:hAnsi="Times New Roman" w:cs="Times New Roman"/>
                <w:b/>
                <w:bCs/>
                <w:sz w:val="24"/>
              </w:rPr>
              <w:t>）</w:t>
            </w:r>
          </w:p>
        </w:tc>
        <w:tc>
          <w:tcPr>
            <w:tcW w:w="14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cs="Times New Roman"/>
                <w:b/>
                <w:bCs/>
                <w:sz w:val="24"/>
              </w:rPr>
            </w:pPr>
            <w:r>
              <w:rPr>
                <w:rFonts w:hint="eastAsia" w:ascii="Times New Roman" w:hAnsi="Times New Roman" w:cs="Times New Roman"/>
                <w:b/>
                <w:bCs/>
                <w:sz w:val="24"/>
                <w:lang w:val="en-US" w:eastAsia="zh-CN"/>
              </w:rPr>
              <w:t>2022</w:t>
            </w:r>
            <w:r>
              <w:rPr>
                <w:rFonts w:hint="eastAsia" w:ascii="Times New Roman" w:hAnsi="Times New Roman" w:cs="Times New Roman"/>
                <w:b/>
                <w:bCs/>
                <w:sz w:val="24"/>
              </w:rPr>
              <w:t>年（亩</w:t>
            </w:r>
            <w:r>
              <w:rPr>
                <w:rFonts w:hint="eastAsia" w:ascii="Times New Roman" w:hAnsi="Times New Roman" w:cs="Times New Roman"/>
                <w:b/>
                <w:bCs/>
                <w:sz w:val="24"/>
                <w:lang w:val="en-US" w:eastAsia="zh-CN"/>
              </w:rPr>
              <w:t>次</w:t>
            </w:r>
            <w:r>
              <w:rPr>
                <w:rFonts w:hint="eastAsia" w:ascii="Times New Roman" w:hAnsi="Times New Roman" w:cs="Times New Roman"/>
                <w:b/>
                <w:bCs/>
                <w:sz w:val="24"/>
              </w:rPr>
              <w:t>）</w:t>
            </w:r>
          </w:p>
        </w:tc>
        <w:tc>
          <w:tcPr>
            <w:tcW w:w="142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cs="Times New Roman"/>
                <w:b/>
                <w:bCs/>
                <w:sz w:val="24"/>
              </w:rPr>
            </w:pPr>
            <w:r>
              <w:rPr>
                <w:rFonts w:hint="eastAsia" w:ascii="Times New Roman" w:hAnsi="Times New Roman" w:cs="Times New Roman"/>
                <w:b/>
                <w:bCs/>
                <w:sz w:val="24"/>
              </w:rPr>
              <w:t>2023年（亩</w:t>
            </w:r>
            <w:r>
              <w:rPr>
                <w:rFonts w:hint="eastAsia" w:ascii="Times New Roman" w:hAnsi="Times New Roman" w:cs="Times New Roman"/>
                <w:b/>
                <w:bCs/>
                <w:sz w:val="24"/>
                <w:lang w:val="en-US" w:eastAsia="zh-CN"/>
              </w:rPr>
              <w:t>次</w:t>
            </w:r>
            <w:r>
              <w:rPr>
                <w:rFonts w:hint="eastAsia" w:ascii="Times New Roman" w:hAnsi="Times New Roman" w:cs="Times New Roman"/>
                <w:b/>
                <w:bCs/>
                <w:sz w:val="24"/>
              </w:rPr>
              <w:t>）</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cs="Times New Roman"/>
                <w:b/>
                <w:bCs/>
                <w:sz w:val="24"/>
              </w:rPr>
            </w:pPr>
            <w:r>
              <w:rPr>
                <w:rFonts w:hint="eastAsia" w:ascii="Times New Roman" w:hAnsi="Times New Roman" w:cs="Times New Roman"/>
                <w:b/>
                <w:bCs/>
                <w:sz w:val="24"/>
              </w:rPr>
              <w:t>2024年（亩</w:t>
            </w:r>
            <w:r>
              <w:rPr>
                <w:rFonts w:hint="eastAsia" w:ascii="Times New Roman" w:hAnsi="Times New Roman" w:cs="Times New Roman"/>
                <w:b/>
                <w:bCs/>
                <w:sz w:val="24"/>
                <w:lang w:val="en-US" w:eastAsia="zh-CN"/>
              </w:rPr>
              <w:t>次</w:t>
            </w:r>
            <w:r>
              <w:rPr>
                <w:rFonts w:hint="eastAsia" w:ascii="Times New Roman" w:hAnsi="Times New Roman" w:cs="Times New Roman"/>
                <w:b/>
                <w:bCs/>
                <w:sz w:val="24"/>
              </w:rPr>
              <w:t>）</w:t>
            </w:r>
          </w:p>
        </w:tc>
        <w:tc>
          <w:tcPr>
            <w:tcW w:w="1326"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cs="Times New Roman"/>
                <w:b/>
                <w:bCs/>
                <w:sz w:val="24"/>
              </w:rPr>
            </w:pPr>
            <w:r>
              <w:rPr>
                <w:rFonts w:hint="eastAsia" w:ascii="Times New Roman" w:hAnsi="Times New Roman" w:cs="Times New Roman"/>
                <w:b/>
                <w:bCs/>
                <w:sz w:val="24"/>
              </w:rPr>
              <w:t>2025年（亩</w:t>
            </w:r>
            <w:r>
              <w:rPr>
                <w:rFonts w:hint="eastAsia" w:ascii="Times New Roman" w:hAnsi="Times New Roman" w:cs="Times New Roman"/>
                <w:b/>
                <w:bCs/>
                <w:sz w:val="24"/>
                <w:lang w:val="en-US" w:eastAsia="zh-CN"/>
              </w:rPr>
              <w:t>次</w:t>
            </w:r>
            <w:r>
              <w:rPr>
                <w:rFonts w:hint="eastAsia" w:ascii="Times New Roman" w:hAnsi="Times New Roman" w:cs="Times New Roman"/>
                <w:b/>
                <w:bCs/>
                <w:sz w:val="24"/>
              </w:rPr>
              <w:t>）</w:t>
            </w:r>
          </w:p>
        </w:tc>
        <w:tc>
          <w:tcPr>
            <w:tcW w:w="1289"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cs="Times New Roman"/>
                <w:b/>
                <w:bCs/>
                <w:sz w:val="24"/>
              </w:rPr>
            </w:pPr>
            <w:r>
              <w:rPr>
                <w:rFonts w:hint="eastAsia" w:ascii="Times New Roman" w:hAnsi="Times New Roman" w:cs="Times New Roman"/>
                <w:b/>
                <w:bCs/>
                <w:sz w:val="24"/>
              </w:rPr>
              <w:t>总计</w:t>
            </w:r>
          </w:p>
          <w:p>
            <w:pPr>
              <w:pageBreakBefore w:val="0"/>
              <w:kinsoku/>
              <w:overflowPunct/>
              <w:topLinePunct w:val="0"/>
              <w:autoSpaceDE/>
              <w:autoSpaceDN/>
              <w:bidi w:val="0"/>
              <w:spacing w:line="560" w:lineRule="exact"/>
              <w:ind w:firstLine="0" w:firstLineChars="0"/>
              <w:jc w:val="center"/>
              <w:rPr>
                <w:rFonts w:hint="eastAsia" w:ascii="Times New Roman" w:hAnsi="Times New Roman" w:cs="Times New Roman"/>
                <w:b/>
                <w:bCs/>
                <w:sz w:val="24"/>
              </w:rPr>
            </w:pPr>
            <w:r>
              <w:rPr>
                <w:rFonts w:hint="eastAsia" w:ascii="Times New Roman" w:hAnsi="Times New Roman" w:cs="Times New Roman"/>
                <w:b/>
                <w:bCs/>
                <w:sz w:val="24"/>
              </w:rPr>
              <w:t>（亩</w:t>
            </w:r>
            <w:r>
              <w:rPr>
                <w:rFonts w:hint="eastAsia" w:ascii="Times New Roman" w:hAnsi="Times New Roman" w:cs="Times New Roman"/>
                <w:b/>
                <w:bCs/>
                <w:sz w:val="24"/>
                <w:lang w:val="en-US" w:eastAsia="zh-CN"/>
              </w:rPr>
              <w:t>次</w:t>
            </w:r>
            <w:r>
              <w:rPr>
                <w:rFonts w:hint="eastAsia" w:ascii="Times New Roman" w:hAnsi="Times New Roman" w:cs="Times New Roman"/>
                <w:b/>
                <w:bCs/>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57"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曲阜市</w:t>
            </w:r>
          </w:p>
        </w:tc>
        <w:tc>
          <w:tcPr>
            <w:tcW w:w="1423"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12000</w:t>
            </w:r>
          </w:p>
        </w:tc>
        <w:tc>
          <w:tcPr>
            <w:tcW w:w="142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12000</w:t>
            </w:r>
          </w:p>
        </w:tc>
        <w:tc>
          <w:tcPr>
            <w:tcW w:w="142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12000</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12000</w:t>
            </w:r>
          </w:p>
        </w:tc>
        <w:tc>
          <w:tcPr>
            <w:tcW w:w="132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12000</w:t>
            </w:r>
          </w:p>
        </w:tc>
        <w:tc>
          <w:tcPr>
            <w:tcW w:w="128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57"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泗水县</w:t>
            </w:r>
          </w:p>
        </w:tc>
        <w:tc>
          <w:tcPr>
            <w:tcW w:w="1423"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81600</w:t>
            </w:r>
          </w:p>
        </w:tc>
        <w:tc>
          <w:tcPr>
            <w:tcW w:w="142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81600</w:t>
            </w:r>
          </w:p>
        </w:tc>
        <w:tc>
          <w:tcPr>
            <w:tcW w:w="142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81600</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81600</w:t>
            </w:r>
          </w:p>
        </w:tc>
        <w:tc>
          <w:tcPr>
            <w:tcW w:w="132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81600</w:t>
            </w:r>
          </w:p>
        </w:tc>
        <w:tc>
          <w:tcPr>
            <w:tcW w:w="128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408000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57"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邹城市</w:t>
            </w:r>
          </w:p>
        </w:tc>
        <w:tc>
          <w:tcPr>
            <w:tcW w:w="1423"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57780</w:t>
            </w:r>
          </w:p>
        </w:tc>
        <w:tc>
          <w:tcPr>
            <w:tcW w:w="142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57780</w:t>
            </w:r>
          </w:p>
        </w:tc>
        <w:tc>
          <w:tcPr>
            <w:tcW w:w="142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57780</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57780</w:t>
            </w:r>
          </w:p>
        </w:tc>
        <w:tc>
          <w:tcPr>
            <w:tcW w:w="132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57780</w:t>
            </w:r>
          </w:p>
        </w:tc>
        <w:tc>
          <w:tcPr>
            <w:tcW w:w="128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288900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57"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微山县</w:t>
            </w:r>
          </w:p>
        </w:tc>
        <w:tc>
          <w:tcPr>
            <w:tcW w:w="1423"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color w:val="000000"/>
                <w:kern w:val="0"/>
                <w:sz w:val="24"/>
                <w:lang w:bidi="ar"/>
              </w:rPr>
            </w:pPr>
            <w:r>
              <w:rPr>
                <w:rFonts w:hint="eastAsia" w:ascii="方正仿宋简体" w:hAnsi="方正仿宋简体" w:eastAsia="方正仿宋简体" w:cs="方正仿宋简体"/>
                <w:color w:val="000000"/>
                <w:kern w:val="0"/>
                <w:sz w:val="24"/>
                <w:lang w:bidi="ar"/>
              </w:rPr>
              <w:t>3126</w:t>
            </w:r>
          </w:p>
        </w:tc>
        <w:tc>
          <w:tcPr>
            <w:tcW w:w="142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3126</w:t>
            </w:r>
          </w:p>
        </w:tc>
        <w:tc>
          <w:tcPr>
            <w:tcW w:w="142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3126</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3126</w:t>
            </w:r>
          </w:p>
        </w:tc>
        <w:tc>
          <w:tcPr>
            <w:tcW w:w="132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lang w:bidi="ar"/>
              </w:rPr>
              <w:t>3126</w:t>
            </w:r>
          </w:p>
        </w:tc>
        <w:tc>
          <w:tcPr>
            <w:tcW w:w="128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15630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957"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b/>
                <w:bCs/>
                <w:sz w:val="24"/>
              </w:rPr>
            </w:pPr>
            <w:r>
              <w:rPr>
                <w:rFonts w:hint="eastAsia" w:ascii="Times New Roman" w:hAnsi="Times New Roman"/>
                <w:b/>
                <w:bCs/>
                <w:sz w:val="24"/>
              </w:rPr>
              <w:t>合计</w:t>
            </w:r>
          </w:p>
        </w:tc>
        <w:tc>
          <w:tcPr>
            <w:tcW w:w="1423"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b/>
                <w:bCs/>
                <w:color w:val="000000"/>
                <w:kern w:val="0"/>
                <w:sz w:val="24"/>
                <w:lang w:bidi="ar"/>
              </w:rPr>
            </w:pPr>
            <w:r>
              <w:rPr>
                <w:rFonts w:hint="eastAsia" w:ascii="方正仿宋简体" w:hAnsi="方正仿宋简体" w:eastAsia="方正仿宋简体" w:cs="方正仿宋简体"/>
                <w:b/>
                <w:bCs/>
                <w:color w:val="000000"/>
                <w:kern w:val="0"/>
                <w:sz w:val="24"/>
                <w:lang w:bidi="ar"/>
              </w:rPr>
              <w:t>154506</w:t>
            </w:r>
          </w:p>
        </w:tc>
        <w:tc>
          <w:tcPr>
            <w:tcW w:w="142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color w:val="000000"/>
                <w:kern w:val="0"/>
                <w:sz w:val="24"/>
                <w:lang w:bidi="ar"/>
              </w:rPr>
              <w:t>154506</w:t>
            </w:r>
          </w:p>
        </w:tc>
        <w:tc>
          <w:tcPr>
            <w:tcW w:w="142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color w:val="000000"/>
                <w:kern w:val="0"/>
                <w:sz w:val="24"/>
                <w:lang w:bidi="ar"/>
              </w:rPr>
              <w:t>154506</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color w:val="000000"/>
                <w:kern w:val="0"/>
                <w:sz w:val="24"/>
                <w:lang w:bidi="ar"/>
              </w:rPr>
              <w:t>154506</w:t>
            </w:r>
          </w:p>
        </w:tc>
        <w:tc>
          <w:tcPr>
            <w:tcW w:w="1326"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color w:val="000000"/>
                <w:kern w:val="0"/>
                <w:sz w:val="24"/>
                <w:lang w:bidi="ar"/>
              </w:rPr>
              <w:t>154506</w:t>
            </w:r>
          </w:p>
        </w:tc>
        <w:tc>
          <w:tcPr>
            <w:tcW w:w="1289"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772530</w:t>
            </w:r>
          </w:p>
        </w:tc>
      </w:tr>
    </w:tbl>
    <w:p>
      <w:pPr>
        <w:pageBreakBefore w:val="0"/>
        <w:kinsoku/>
        <w:overflowPunct/>
        <w:topLinePunct w:val="0"/>
        <w:autoSpaceDE/>
        <w:autoSpaceDN/>
        <w:bidi w:val="0"/>
        <w:spacing w:line="560" w:lineRule="exact"/>
        <w:ind w:firstLine="560"/>
        <w:rPr>
          <w:rFonts w:hint="eastAsia"/>
        </w:rPr>
      </w:pPr>
      <w:r>
        <w:t>严格执行疫情普查与日常监测制度，实行疫情监测网格化管理，开展以小班为单位的精细化疫情监测，做到监测范围全覆盖。严格执行疫情报告制度和新发疫情应急处置制度，强化疫情日常</w:t>
      </w:r>
      <w:r>
        <w:rPr>
          <w:rFonts w:hint="eastAsia"/>
        </w:rPr>
        <w:t>监测和秋季普查工作，准确统计疫情信息，如实、及时上报疫情数据，强化疫情信息的自查和核查。</w:t>
      </w:r>
    </w:p>
    <w:p>
      <w:pPr>
        <w:pageBreakBefore w:val="0"/>
        <w:kinsoku/>
        <w:overflowPunct/>
        <w:topLinePunct w:val="0"/>
        <w:autoSpaceDE/>
        <w:autoSpaceDN/>
        <w:bidi w:val="0"/>
        <w:spacing w:line="560" w:lineRule="exact"/>
        <w:ind w:firstLine="560"/>
        <w:rPr>
          <w:rFonts w:hint="eastAsia"/>
        </w:rPr>
      </w:pPr>
      <w:r>
        <w:rPr>
          <w:rFonts w:hint="eastAsia"/>
        </w:rPr>
        <w:t>“十四五”期间，每年对曲阜市、泗水县、邹城市、微山县</w:t>
      </w:r>
      <w:r>
        <w:t>4</w:t>
      </w:r>
      <w:r>
        <w:rPr>
          <w:rFonts w:hint="eastAsia"/>
        </w:rPr>
        <w:t>个县</w:t>
      </w:r>
      <w:r>
        <w:rPr>
          <w:rFonts w:hint="eastAsia"/>
          <w:lang w:eastAsia="zh-CN"/>
        </w:rPr>
        <w:t>（</w:t>
      </w:r>
      <w:r>
        <w:rPr>
          <w:rFonts w:hint="eastAsia"/>
          <w:lang w:val="en-US" w:eastAsia="zh-CN"/>
        </w:rPr>
        <w:t>市</w:t>
      </w:r>
      <w:r>
        <w:rPr>
          <w:rFonts w:hint="eastAsia"/>
          <w:lang w:eastAsia="zh-CN"/>
        </w:rPr>
        <w:t>）</w:t>
      </w:r>
      <w:r>
        <w:rPr>
          <w:rFonts w:hint="eastAsia"/>
        </w:rPr>
        <w:t>的</w:t>
      </w:r>
      <w:r>
        <w:t>15</w:t>
      </w:r>
      <w:r>
        <w:rPr>
          <w:rFonts w:hint="eastAsia"/>
        </w:rPr>
        <w:t>万亩</w:t>
      </w:r>
      <w:r>
        <w:rPr>
          <w:rFonts w:hint="eastAsia"/>
          <w:lang w:val="en-US" w:eastAsia="zh-CN"/>
        </w:rPr>
        <w:t>次</w:t>
      </w:r>
      <w:r>
        <w:rPr>
          <w:rFonts w:hint="eastAsia"/>
        </w:rPr>
        <w:t>松林实施监测。</w:t>
      </w:r>
    </w:p>
    <w:p>
      <w:pPr>
        <w:pStyle w:val="7"/>
        <w:pageBreakBefore w:val="0"/>
        <w:kinsoku/>
        <w:overflowPunct/>
        <w:topLinePunct w:val="0"/>
        <w:autoSpaceDE/>
        <w:autoSpaceDN/>
        <w:bidi w:val="0"/>
        <w:spacing w:line="560" w:lineRule="exact"/>
        <w:jc w:val="left"/>
        <w:rPr>
          <w:rFonts w:hint="eastAsia"/>
        </w:rPr>
      </w:pPr>
      <w:r>
        <w:rPr>
          <w:rFonts w:hint="eastAsia"/>
        </w:rPr>
        <w:t>1.日常监测</w:t>
      </w:r>
    </w:p>
    <w:p>
      <w:pPr>
        <w:pageBreakBefore w:val="0"/>
        <w:kinsoku/>
        <w:overflowPunct/>
        <w:topLinePunct w:val="0"/>
        <w:autoSpaceDE/>
        <w:autoSpaceDN/>
        <w:bidi w:val="0"/>
        <w:spacing w:line="560" w:lineRule="exact"/>
        <w:ind w:firstLine="560"/>
        <w:rPr>
          <w:rFonts w:hint="eastAsia"/>
        </w:rPr>
      </w:pPr>
      <w:r>
        <w:rPr>
          <w:rFonts w:hint="eastAsia"/>
        </w:rPr>
        <w:t>对全市松树根据松材线虫病发生情况，按区划要求定期巡查，每年5次。根据松林分布状况，设计出可观察全部</w:t>
      </w:r>
      <w:r>
        <w:rPr>
          <w:rFonts w:hint="eastAsia"/>
          <w:lang w:val="en-US" w:eastAsia="zh-CN"/>
        </w:rPr>
        <w:t>松林</w:t>
      </w:r>
      <w:r>
        <w:rPr>
          <w:rFonts w:hint="eastAsia"/>
        </w:rPr>
        <w:t>的踏查路线。采取目测方法，结合使用望远镜和无人机等设备，沿踏查路线调查有无枯死松树，或是否出现针叶褪色、黄化、枯萎、呈红褐色等症状的松树。</w:t>
      </w:r>
    </w:p>
    <w:p>
      <w:pPr>
        <w:pStyle w:val="7"/>
        <w:pageBreakBefore w:val="0"/>
        <w:kinsoku/>
        <w:overflowPunct/>
        <w:topLinePunct w:val="0"/>
        <w:autoSpaceDE/>
        <w:autoSpaceDN/>
        <w:bidi w:val="0"/>
        <w:spacing w:line="560" w:lineRule="exact"/>
        <w:jc w:val="left"/>
        <w:rPr>
          <w:rFonts w:hint="eastAsia"/>
        </w:rPr>
      </w:pPr>
      <w:r>
        <w:rPr>
          <w:rFonts w:hint="eastAsia"/>
        </w:rPr>
        <w:t>2.专项普查</w:t>
      </w:r>
    </w:p>
    <w:p>
      <w:pPr>
        <w:pageBreakBefore w:val="0"/>
        <w:kinsoku/>
        <w:overflowPunct/>
        <w:topLinePunct w:val="0"/>
        <w:autoSpaceDE/>
        <w:autoSpaceDN/>
        <w:bidi w:val="0"/>
        <w:spacing w:line="560" w:lineRule="exact"/>
        <w:ind w:firstLine="560"/>
        <w:rPr>
          <w:rFonts w:hint="eastAsia"/>
        </w:rPr>
      </w:pPr>
      <w:r>
        <w:rPr>
          <w:rFonts w:hint="eastAsia"/>
        </w:rPr>
        <w:t>严格按照国家林草局《松材线虫病防治技术方案（2021年版）》规范开展普查监测和取样送检。组织专业技术力量，每年秋季（9</w:t>
      </w:r>
      <w:r>
        <w:rPr>
          <w:rFonts w:hint="eastAsia"/>
          <w:lang w:val="en-US" w:eastAsia="zh-CN"/>
        </w:rPr>
        <w:t>~</w:t>
      </w:r>
      <w:r>
        <w:rPr>
          <w:rFonts w:hint="eastAsia"/>
        </w:rPr>
        <w:t>10月）对全市松林分布区进行</w:t>
      </w:r>
      <w:r>
        <w:t>1</w:t>
      </w:r>
      <w:r>
        <w:rPr>
          <w:rFonts w:hint="eastAsia"/>
        </w:rPr>
        <w:t>次专项普查。</w:t>
      </w:r>
    </w:p>
    <w:p>
      <w:pPr>
        <w:pStyle w:val="6"/>
        <w:pageBreakBefore w:val="0"/>
        <w:kinsoku/>
        <w:overflowPunct/>
        <w:topLinePunct w:val="0"/>
        <w:autoSpaceDE/>
        <w:autoSpaceDN/>
        <w:bidi w:val="0"/>
        <w:spacing w:line="560" w:lineRule="exact"/>
      </w:pPr>
      <w:r>
        <w:rPr>
          <w:rFonts w:hint="eastAsia"/>
        </w:rPr>
        <w:t>（</w:t>
      </w:r>
      <w:r>
        <w:rPr>
          <w:rFonts w:hint="eastAsia"/>
          <w:lang w:val="en-US" w:eastAsia="zh-CN"/>
        </w:rPr>
        <w:t>二</w:t>
      </w:r>
      <w:r>
        <w:rPr>
          <w:rFonts w:hint="eastAsia"/>
        </w:rPr>
        <w:t>）</w:t>
      </w:r>
      <w:r>
        <w:t>强化检疫监管</w:t>
      </w:r>
    </w:p>
    <w:p>
      <w:pPr>
        <w:pageBreakBefore w:val="0"/>
        <w:kinsoku/>
        <w:overflowPunct/>
        <w:topLinePunct w:val="0"/>
        <w:autoSpaceDE/>
        <w:autoSpaceDN/>
        <w:bidi w:val="0"/>
        <w:spacing w:line="560" w:lineRule="exact"/>
        <w:ind w:firstLine="560"/>
        <w:rPr>
          <w:rFonts w:hint="eastAsia"/>
        </w:rPr>
      </w:pPr>
      <w:r>
        <w:t>严格按照《植物检疫条例》</w:t>
      </w:r>
      <w:r>
        <w:rPr>
          <w:rFonts w:hint="eastAsia"/>
        </w:rPr>
        <w:t>和《松材线虫病疫区和疫木管理办法》等规定</w:t>
      </w:r>
      <w:r>
        <w:t>开展工作，充分发挥林业有害生物检疫检查</w:t>
      </w:r>
      <w:r>
        <w:rPr>
          <w:rFonts w:hint="eastAsia"/>
          <w:lang w:val="en-US" w:eastAsia="zh-CN"/>
        </w:rPr>
        <w:t>点（卡口）</w:t>
      </w:r>
      <w:r>
        <w:t>的作用</w:t>
      </w:r>
      <w:r>
        <w:rPr>
          <w:rFonts w:hint="eastAsia"/>
        </w:rPr>
        <w:t>，落实疫木检疫封锁和疫木除治过程管控制度，加强疫木及其制品管控，规范疫木无害化处理，杜绝疫木及其制品非法流通。</w:t>
      </w:r>
      <w:r>
        <w:rPr>
          <w:rFonts w:hint="eastAsia"/>
          <w:lang w:val="en-US" w:eastAsia="zh-CN"/>
        </w:rPr>
        <w:t>根据国家、省要求，组织开展松材线虫病疫木检疫执法专项活动。</w:t>
      </w:r>
    </w:p>
    <w:p>
      <w:pPr>
        <w:pStyle w:val="6"/>
        <w:pageBreakBefore w:val="0"/>
        <w:kinsoku/>
        <w:overflowPunct/>
        <w:topLinePunct w:val="0"/>
        <w:autoSpaceDE/>
        <w:autoSpaceDN/>
        <w:bidi w:val="0"/>
        <w:spacing w:line="560" w:lineRule="exact"/>
        <w:rPr>
          <w:rFonts w:hint="eastAsia"/>
        </w:rPr>
      </w:pPr>
      <w:r>
        <w:rPr>
          <w:rFonts w:hint="eastAsia"/>
        </w:rPr>
        <w:t>（</w:t>
      </w:r>
      <w:r>
        <w:rPr>
          <w:rFonts w:hint="eastAsia"/>
          <w:lang w:val="en-US" w:eastAsia="zh-CN"/>
        </w:rPr>
        <w:t>三</w:t>
      </w:r>
      <w:r>
        <w:rPr>
          <w:rFonts w:hint="eastAsia"/>
        </w:rPr>
        <w:t>）病</w:t>
      </w:r>
      <w:r>
        <w:rPr>
          <w:rFonts w:hint="eastAsia"/>
          <w:lang w:eastAsia="zh-CN"/>
        </w:rPr>
        <w:t>（</w:t>
      </w:r>
      <w:r>
        <w:rPr>
          <w:rFonts w:hint="eastAsia"/>
          <w:lang w:val="en-US" w:eastAsia="zh-CN"/>
        </w:rPr>
        <w:t>枯</w:t>
      </w:r>
      <w:r>
        <w:rPr>
          <w:rFonts w:hint="eastAsia"/>
          <w:lang w:eastAsia="zh-CN"/>
        </w:rPr>
        <w:t>）</w:t>
      </w:r>
      <w:r>
        <w:rPr>
          <w:rFonts w:hint="eastAsia"/>
        </w:rPr>
        <w:t>死木、媒介昆虫清理</w:t>
      </w:r>
    </w:p>
    <w:p>
      <w:pPr>
        <w:pStyle w:val="7"/>
        <w:pageBreakBefore w:val="0"/>
        <w:kinsoku/>
        <w:overflowPunct/>
        <w:topLinePunct w:val="0"/>
        <w:autoSpaceDE/>
        <w:autoSpaceDN/>
        <w:bidi w:val="0"/>
        <w:spacing w:line="560" w:lineRule="exact"/>
        <w:jc w:val="left"/>
      </w:pPr>
      <w:r>
        <w:rPr>
          <w:rFonts w:hint="eastAsia"/>
        </w:rPr>
        <w:t>1.病（枯）死木清理</w:t>
      </w:r>
    </w:p>
    <w:p>
      <w:pPr>
        <w:pageBreakBefore w:val="0"/>
        <w:kinsoku/>
        <w:overflowPunct/>
        <w:topLinePunct w:val="0"/>
        <w:autoSpaceDE/>
        <w:autoSpaceDN/>
        <w:bidi w:val="0"/>
        <w:spacing w:line="560" w:lineRule="exact"/>
        <w:ind w:firstLine="560"/>
        <w:rPr>
          <w:rFonts w:hint="eastAsia"/>
          <w:lang w:eastAsia="zh-CN"/>
        </w:rPr>
      </w:pPr>
      <w:r>
        <w:rPr>
          <w:rFonts w:hint="eastAsia"/>
        </w:rPr>
        <w:t>对</w:t>
      </w:r>
      <w:r>
        <w:rPr>
          <w:rFonts w:hint="eastAsia"/>
          <w:lang w:val="en-US" w:eastAsia="zh-CN"/>
        </w:rPr>
        <w:t>泗水县、曲阜市、邹城市等3个县（市）松林中的</w:t>
      </w:r>
      <w:r>
        <w:rPr>
          <w:rFonts w:hint="eastAsia"/>
        </w:rPr>
        <w:t>病死木、虫害木、枯立木、衰弱木进行砍伐，当日砍伐当日搬运至指定疫木粉碎点进行除害处理，处理合格后方可利用。伐除木（包括1厘米以上的枝条）严格监管，防止流失</w:t>
      </w:r>
      <w:r>
        <w:rPr>
          <w:rFonts w:hint="eastAsia"/>
          <w:lang w:eastAsia="zh-CN"/>
        </w:rPr>
        <w:t>。</w:t>
      </w:r>
    </w:p>
    <w:p>
      <w:pPr>
        <w:pageBreakBefore w:val="0"/>
        <w:kinsoku/>
        <w:overflowPunct/>
        <w:topLinePunct w:val="0"/>
        <w:autoSpaceDE/>
        <w:autoSpaceDN/>
        <w:bidi w:val="0"/>
        <w:spacing w:line="560" w:lineRule="exact"/>
        <w:ind w:firstLine="560"/>
        <w:rPr>
          <w:rFonts w:hint="eastAsia"/>
        </w:rPr>
      </w:pPr>
      <w:r>
        <w:rPr>
          <w:rFonts w:hint="eastAsia"/>
        </w:rPr>
        <w:t>“十四五”期间，</w:t>
      </w:r>
      <w:r>
        <w:rPr>
          <w:rFonts w:hint="eastAsia"/>
          <w:lang w:val="en-US" w:eastAsia="zh-CN"/>
        </w:rPr>
        <w:t>共计清理</w:t>
      </w:r>
      <w:r>
        <w:rPr>
          <w:rFonts w:hint="eastAsia"/>
        </w:rPr>
        <w:t>曲阜市、泗水县、邹城市</w:t>
      </w:r>
      <w:r>
        <w:rPr>
          <w:rFonts w:hint="eastAsia"/>
          <w:lang w:val="en-US" w:eastAsia="zh-CN"/>
        </w:rPr>
        <w:t>3</w:t>
      </w:r>
      <w:r>
        <w:rPr>
          <w:rFonts w:hint="eastAsia"/>
        </w:rPr>
        <w:t>个县</w:t>
      </w:r>
      <w:r>
        <w:rPr>
          <w:rFonts w:hint="eastAsia"/>
          <w:lang w:eastAsia="zh-CN"/>
        </w:rPr>
        <w:t>（</w:t>
      </w:r>
      <w:r>
        <w:rPr>
          <w:rFonts w:hint="eastAsia"/>
          <w:lang w:val="en-US" w:eastAsia="zh-CN"/>
        </w:rPr>
        <w:t>区</w:t>
      </w:r>
      <w:r>
        <w:rPr>
          <w:rFonts w:hint="eastAsia"/>
          <w:lang w:eastAsia="zh-CN"/>
        </w:rPr>
        <w:t>）病（枯）死木</w:t>
      </w:r>
      <w:r>
        <w:rPr>
          <w:rFonts w:hint="eastAsia"/>
          <w:lang w:val="en-US" w:eastAsia="zh-CN"/>
        </w:rPr>
        <w:t>13420棵</w:t>
      </w:r>
      <w:r>
        <w:rPr>
          <w:rFonts w:hint="eastAsia"/>
        </w:rPr>
        <w:t>。</w:t>
      </w:r>
    </w:p>
    <w:tbl>
      <w:tblPr>
        <w:tblStyle w:val="21"/>
        <w:tblW w:w="9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2"/>
        <w:gridCol w:w="1941"/>
        <w:gridCol w:w="1944"/>
        <w:gridCol w:w="1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9061" w:type="dxa"/>
            <w:gridSpan w:val="4"/>
            <w:tcBorders>
              <w:top w:val="nil"/>
              <w:left w:val="nil"/>
              <w:bottom w:val="nil"/>
              <w:right w:val="nil"/>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b/>
                <w:szCs w:val="28"/>
                <w:highlight w:val="yellow"/>
              </w:rPr>
            </w:pPr>
            <w:r>
              <w:rPr>
                <w:rFonts w:hint="eastAsia" w:ascii="方正仿宋简体" w:hAnsi="方正仿宋简体" w:eastAsia="方正仿宋简体" w:cs="方正仿宋简体"/>
                <w:b/>
                <w:sz w:val="28"/>
                <w:szCs w:val="24"/>
                <w:highlight w:val="none"/>
              </w:rPr>
              <w:t>表5.3-</w:t>
            </w:r>
            <w:r>
              <w:rPr>
                <w:rFonts w:hint="eastAsia" w:ascii="方正仿宋简体" w:hAnsi="方正仿宋简体" w:eastAsia="方正仿宋简体" w:cs="方正仿宋简体"/>
                <w:b/>
                <w:sz w:val="28"/>
                <w:szCs w:val="24"/>
                <w:highlight w:val="none"/>
                <w:lang w:val="en-US" w:eastAsia="zh-CN"/>
              </w:rPr>
              <w:t>2</w:t>
            </w:r>
            <w:r>
              <w:rPr>
                <w:rFonts w:hint="eastAsia" w:ascii="方正仿宋简体" w:hAnsi="方正仿宋简体" w:eastAsia="方正仿宋简体" w:cs="方正仿宋简体"/>
                <w:b/>
                <w:sz w:val="28"/>
                <w:szCs w:val="24"/>
                <w:highlight w:val="none"/>
              </w:rPr>
              <w:t>病</w:t>
            </w:r>
            <w:r>
              <w:rPr>
                <w:rFonts w:hint="eastAsia" w:ascii="Times New Roman" w:hAnsi="Times New Roman"/>
                <w:b/>
                <w:sz w:val="28"/>
                <w:szCs w:val="24"/>
                <w:highlight w:val="none"/>
                <w:lang w:eastAsia="zh-CN"/>
              </w:rPr>
              <w:t>（</w:t>
            </w:r>
            <w:r>
              <w:rPr>
                <w:rFonts w:hint="eastAsia" w:ascii="Times New Roman" w:hAnsi="Times New Roman"/>
                <w:b/>
                <w:sz w:val="28"/>
                <w:szCs w:val="24"/>
                <w:highlight w:val="none"/>
                <w:lang w:val="en-US" w:eastAsia="zh-CN"/>
              </w:rPr>
              <w:t>枯</w:t>
            </w:r>
            <w:r>
              <w:rPr>
                <w:rFonts w:hint="eastAsia" w:ascii="Times New Roman" w:hAnsi="Times New Roman"/>
                <w:b/>
                <w:sz w:val="28"/>
                <w:szCs w:val="24"/>
                <w:highlight w:val="none"/>
                <w:lang w:eastAsia="zh-CN"/>
              </w:rPr>
              <w:t>）</w:t>
            </w:r>
            <w:r>
              <w:rPr>
                <w:rFonts w:hint="eastAsia" w:ascii="Times New Roman" w:hAnsi="Times New Roman"/>
                <w:b/>
                <w:sz w:val="28"/>
                <w:szCs w:val="24"/>
                <w:highlight w:val="none"/>
              </w:rPr>
              <w:t>死木清理任务分解一览表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32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lang w:val="en-US" w:eastAsia="zh-CN"/>
              </w:rPr>
              <w:t>县（市）</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2021年（</w:t>
            </w:r>
            <w:r>
              <w:rPr>
                <w:rFonts w:hint="eastAsia" w:ascii="方正仿宋简体" w:hAnsi="方正仿宋简体" w:eastAsia="方正仿宋简体" w:cs="方正仿宋简体"/>
                <w:b/>
                <w:bCs/>
                <w:sz w:val="24"/>
                <w:lang w:val="en-US" w:eastAsia="zh-CN"/>
              </w:rPr>
              <w:t>株</w:t>
            </w:r>
            <w:r>
              <w:rPr>
                <w:rFonts w:hint="eastAsia" w:ascii="方正仿宋简体" w:hAnsi="方正仿宋简体" w:eastAsia="方正仿宋简体" w:cs="方正仿宋简体"/>
                <w:b/>
                <w:bCs/>
                <w:sz w:val="24"/>
              </w:rPr>
              <w:t>）</w:t>
            </w: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2022年（</w:t>
            </w:r>
            <w:r>
              <w:rPr>
                <w:rFonts w:hint="eastAsia" w:ascii="方正仿宋简体" w:hAnsi="方正仿宋简体" w:eastAsia="方正仿宋简体" w:cs="方正仿宋简体"/>
                <w:b/>
                <w:bCs/>
                <w:sz w:val="24"/>
                <w:lang w:val="en-US" w:eastAsia="zh-CN"/>
              </w:rPr>
              <w:t>株</w:t>
            </w:r>
            <w:r>
              <w:rPr>
                <w:rFonts w:hint="eastAsia" w:ascii="方正仿宋简体" w:hAnsi="方正仿宋简体" w:eastAsia="方正仿宋简体" w:cs="方正仿宋简体"/>
                <w:b/>
                <w:bCs/>
                <w:sz w:val="24"/>
              </w:rPr>
              <w:t>）</w:t>
            </w:r>
          </w:p>
        </w:tc>
        <w:tc>
          <w:tcPr>
            <w:tcW w:w="19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2023年（</w:t>
            </w:r>
            <w:r>
              <w:rPr>
                <w:rFonts w:hint="eastAsia" w:ascii="方正仿宋简体" w:hAnsi="方正仿宋简体" w:eastAsia="方正仿宋简体" w:cs="方正仿宋简体"/>
                <w:b/>
                <w:bCs/>
                <w:sz w:val="24"/>
                <w:lang w:val="en-US" w:eastAsia="zh-CN"/>
              </w:rPr>
              <w:t>株</w:t>
            </w:r>
            <w:r>
              <w:rPr>
                <w:rFonts w:hint="eastAsia" w:ascii="方正仿宋简体" w:hAnsi="方正仿宋简体" w:eastAsia="方正仿宋简体" w:cs="方正仿宋简体"/>
                <w:b/>
                <w:bCs/>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2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sz w:val="24"/>
              </w:rPr>
            </w:pPr>
            <w:r>
              <w:rPr>
                <w:rFonts w:hint="eastAsia" w:ascii="Times New Roman" w:hAnsi="Times New Roman"/>
                <w:sz w:val="24"/>
              </w:rPr>
              <w:t>曲阜市</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3000</w:t>
            </w: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w:t>
            </w:r>
          </w:p>
        </w:tc>
        <w:tc>
          <w:tcPr>
            <w:tcW w:w="19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2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sz w:val="24"/>
              </w:rPr>
            </w:pPr>
            <w:r>
              <w:rPr>
                <w:rFonts w:hint="eastAsia" w:ascii="Times New Roman" w:hAnsi="Times New Roman"/>
                <w:sz w:val="24"/>
              </w:rPr>
              <w:t>泗水县</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4800</w:t>
            </w: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1500</w:t>
            </w:r>
          </w:p>
        </w:tc>
        <w:tc>
          <w:tcPr>
            <w:tcW w:w="19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2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sz w:val="24"/>
              </w:rPr>
            </w:pPr>
            <w:r>
              <w:rPr>
                <w:rFonts w:hint="eastAsia" w:ascii="Times New Roman" w:hAnsi="Times New Roman"/>
                <w:sz w:val="24"/>
              </w:rPr>
              <w:t>邹城市</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500</w:t>
            </w: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1500</w:t>
            </w:r>
          </w:p>
        </w:tc>
        <w:tc>
          <w:tcPr>
            <w:tcW w:w="19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2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b/>
                <w:bCs/>
                <w:sz w:val="24"/>
              </w:rPr>
            </w:pPr>
            <w:r>
              <w:rPr>
                <w:rFonts w:hint="eastAsia" w:ascii="Times New Roman" w:hAnsi="Times New Roman"/>
                <w:b/>
                <w:bCs/>
                <w:sz w:val="24"/>
              </w:rPr>
              <w:t>合计</w:t>
            </w:r>
          </w:p>
        </w:tc>
        <w:tc>
          <w:tcPr>
            <w:tcW w:w="1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8300</w:t>
            </w:r>
          </w:p>
        </w:tc>
        <w:tc>
          <w:tcPr>
            <w:tcW w:w="19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3000</w:t>
            </w:r>
          </w:p>
        </w:tc>
        <w:tc>
          <w:tcPr>
            <w:tcW w:w="19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val="en-US" w:eastAsia="zh-CN"/>
              </w:rPr>
              <w:t>2120</w:t>
            </w:r>
          </w:p>
        </w:tc>
      </w:tr>
    </w:tbl>
    <w:p>
      <w:pPr>
        <w:pStyle w:val="7"/>
        <w:pageBreakBefore w:val="0"/>
        <w:kinsoku/>
        <w:overflowPunct/>
        <w:topLinePunct w:val="0"/>
        <w:autoSpaceDE/>
        <w:autoSpaceDN/>
        <w:bidi w:val="0"/>
        <w:spacing w:line="560" w:lineRule="exact"/>
        <w:jc w:val="left"/>
        <w:rPr>
          <w:rFonts w:hint="eastAsia"/>
        </w:rPr>
      </w:pPr>
      <w:r>
        <w:rPr>
          <w:rFonts w:hint="eastAsia"/>
        </w:rPr>
        <w:t>2.媒介昆虫防治</w:t>
      </w:r>
    </w:p>
    <w:p>
      <w:pPr>
        <w:pageBreakBefore w:val="0"/>
        <w:kinsoku/>
        <w:overflowPunct/>
        <w:topLinePunct w:val="0"/>
        <w:autoSpaceDE/>
        <w:autoSpaceDN/>
        <w:bidi w:val="0"/>
        <w:spacing w:line="560" w:lineRule="exact"/>
        <w:ind w:firstLine="560"/>
        <w:rPr>
          <w:rFonts w:hint="eastAsia"/>
          <w:highlight w:val="none"/>
        </w:rPr>
      </w:pPr>
      <w:r>
        <w:rPr>
          <w:rFonts w:hint="eastAsia"/>
          <w:highlight w:val="none"/>
        </w:rPr>
        <w:t>化学防治：5月下旬至8月下旬对松材线虫病疫区和预防区</w:t>
      </w:r>
      <w:r>
        <w:rPr>
          <w:rFonts w:hint="eastAsia"/>
          <w:highlight w:val="none"/>
          <w:lang w:val="en-US" w:eastAsia="zh-CN"/>
        </w:rPr>
        <w:t>采用飞机防治或地面防治的方式防治媒介昆虫，</w:t>
      </w:r>
      <w:r>
        <w:rPr>
          <w:rFonts w:hint="eastAsia"/>
          <w:highlight w:val="none"/>
        </w:rPr>
        <w:t>降低松褐天牛虫口密度。</w:t>
      </w:r>
    </w:p>
    <w:p>
      <w:pPr>
        <w:pageBreakBefore w:val="0"/>
        <w:kinsoku/>
        <w:overflowPunct/>
        <w:topLinePunct w:val="0"/>
        <w:autoSpaceDE/>
        <w:autoSpaceDN/>
        <w:bidi w:val="0"/>
        <w:spacing w:line="560" w:lineRule="exact"/>
        <w:ind w:firstLine="560"/>
        <w:rPr>
          <w:rFonts w:hint="eastAsia"/>
        </w:rPr>
      </w:pPr>
      <w:r>
        <w:rPr>
          <w:rFonts w:hint="eastAsia"/>
        </w:rPr>
        <w:t>生物防治：6月上旬至8月上旬，在松褐天牛幼虫初龄期，</w:t>
      </w:r>
      <w:r>
        <w:rPr>
          <w:rFonts w:hint="eastAsia"/>
          <w:lang w:val="en-US" w:eastAsia="zh-CN"/>
        </w:rPr>
        <w:t>可</w:t>
      </w:r>
      <w:r>
        <w:rPr>
          <w:rFonts w:hint="eastAsia"/>
        </w:rPr>
        <w:t>在松材线虫病预防区释放天敌，以降低林间</w:t>
      </w:r>
      <w:r>
        <w:rPr>
          <w:rFonts w:hint="eastAsia"/>
          <w:highlight w:val="none"/>
        </w:rPr>
        <w:t>松褐天牛</w:t>
      </w:r>
      <w:r>
        <w:rPr>
          <w:rFonts w:hint="eastAsia"/>
        </w:rPr>
        <w:t>数量。</w:t>
      </w:r>
    </w:p>
    <w:p>
      <w:pPr>
        <w:pStyle w:val="4"/>
        <w:pageBreakBefore w:val="0"/>
        <w:kinsoku/>
        <w:overflowPunct/>
        <w:topLinePunct w:val="0"/>
        <w:autoSpaceDE/>
        <w:autoSpaceDN/>
        <w:bidi w:val="0"/>
        <w:spacing w:line="560" w:lineRule="exact"/>
        <w:jc w:val="center"/>
        <w:outlineLvl w:val="0"/>
        <w:rPr>
          <w:rFonts w:hint="eastAsia"/>
        </w:rPr>
      </w:pPr>
      <w:r>
        <w:rPr>
          <w:rFonts w:hint="eastAsia"/>
        </w:rPr>
        <w:br w:type="page"/>
      </w:r>
      <w:bookmarkStart w:id="49" w:name="_Toc16710"/>
      <w:bookmarkStart w:id="50" w:name="_Toc4690"/>
      <w:r>
        <w:rPr>
          <w:rFonts w:hint="eastAsia"/>
        </w:rPr>
        <w:t>第六章 美国白蛾防控行动</w:t>
      </w:r>
      <w:bookmarkEnd w:id="49"/>
      <w:bookmarkEnd w:id="50"/>
      <w:bookmarkStart w:id="51" w:name="_Toc6753"/>
    </w:p>
    <w:p>
      <w:pPr>
        <w:pStyle w:val="5"/>
        <w:pageBreakBefore w:val="0"/>
        <w:kinsoku/>
        <w:overflowPunct/>
        <w:topLinePunct w:val="0"/>
        <w:autoSpaceDE/>
        <w:autoSpaceDN/>
        <w:bidi w:val="0"/>
        <w:spacing w:line="560" w:lineRule="exact"/>
        <w:outlineLvl w:val="1"/>
        <w:rPr>
          <w:rFonts w:hint="eastAsia"/>
        </w:rPr>
      </w:pPr>
      <w:r>
        <w:rPr>
          <w:rFonts w:hint="eastAsia"/>
        </w:rPr>
        <w:t>一、主要任务</w:t>
      </w:r>
      <w:bookmarkEnd w:id="51"/>
    </w:p>
    <w:p>
      <w:pPr>
        <w:pageBreakBefore w:val="0"/>
        <w:kinsoku/>
        <w:overflowPunct/>
        <w:topLinePunct w:val="0"/>
        <w:autoSpaceDE/>
        <w:autoSpaceDN/>
        <w:bidi w:val="0"/>
        <w:spacing w:line="560" w:lineRule="exact"/>
        <w:ind w:firstLine="560"/>
      </w:pPr>
      <w:r>
        <w:rPr>
          <w:rFonts w:hint="eastAsia"/>
        </w:rPr>
        <w:t>对全市14个县（市、区）发生的美国白蛾</w:t>
      </w:r>
      <w:r>
        <w:rPr>
          <w:rFonts w:hint="eastAsia"/>
          <w:lang w:val="en-US" w:eastAsia="zh-CN"/>
        </w:rPr>
        <w:t>开展</w:t>
      </w:r>
      <w:r>
        <w:rPr>
          <w:rFonts w:hint="eastAsia"/>
        </w:rPr>
        <w:t>监测、飞机防治、</w:t>
      </w:r>
      <w:r>
        <w:rPr>
          <w:rFonts w:hint="eastAsia"/>
          <w:lang w:val="en-US" w:eastAsia="zh-CN"/>
        </w:rPr>
        <w:t>地面防治、人工物理防治</w:t>
      </w:r>
      <w:r>
        <w:rPr>
          <w:rFonts w:hint="eastAsia"/>
        </w:rPr>
        <w:t>等工作，特别是重点道路（高速公路、国道、省道等）两侧林带、自然保护区、林场、森林公园等关键地点。</w:t>
      </w:r>
    </w:p>
    <w:p>
      <w:pPr>
        <w:pStyle w:val="5"/>
        <w:pageBreakBefore w:val="0"/>
        <w:kinsoku/>
        <w:overflowPunct/>
        <w:topLinePunct w:val="0"/>
        <w:autoSpaceDE/>
        <w:autoSpaceDN/>
        <w:bidi w:val="0"/>
        <w:spacing w:line="560" w:lineRule="exact"/>
        <w:outlineLvl w:val="1"/>
      </w:pPr>
      <w:bookmarkStart w:id="52" w:name="_Toc23320"/>
      <w:r>
        <w:rPr>
          <w:rFonts w:hint="eastAsia"/>
        </w:rPr>
        <w:t>二、防控目标</w:t>
      </w:r>
      <w:bookmarkEnd w:id="52"/>
    </w:p>
    <w:p>
      <w:pPr>
        <w:pageBreakBefore w:val="0"/>
        <w:kinsoku/>
        <w:overflowPunct/>
        <w:topLinePunct w:val="0"/>
        <w:autoSpaceDE/>
        <w:autoSpaceDN/>
        <w:bidi w:val="0"/>
        <w:spacing w:line="560" w:lineRule="exact"/>
        <w:ind w:firstLine="560"/>
        <w:rPr>
          <w:rFonts w:hint="eastAsia" w:eastAsia="仿宋"/>
          <w:lang w:eastAsia="zh-CN"/>
        </w:rPr>
      </w:pPr>
      <w:r>
        <w:rPr>
          <w:rFonts w:hint="eastAsia"/>
        </w:rPr>
        <w:t>“十四五”期间，美国白蛾成灾率控</w:t>
      </w:r>
      <w:r>
        <w:rPr>
          <w:rFonts w:hint="eastAsia" w:ascii="Times New Roman" w:hAnsi="Times New Roman" w:cs="Times New Roman"/>
        </w:rPr>
        <w:t>制</w:t>
      </w:r>
      <w:r>
        <w:rPr>
          <w:rFonts w:hint="eastAsia" w:ascii="方正仿宋简体" w:hAnsi="方正仿宋简体" w:eastAsia="方正仿宋简体" w:cs="方正仿宋简体"/>
        </w:rPr>
        <w:t>在8‰以</w:t>
      </w:r>
      <w:r>
        <w:rPr>
          <w:rFonts w:hint="eastAsia" w:ascii="Times New Roman" w:hAnsi="Times New Roman" w:cs="Times New Roman"/>
        </w:rPr>
        <w:t>下</w:t>
      </w:r>
      <w:r>
        <w:rPr>
          <w:rFonts w:hint="eastAsia" w:ascii="Times New Roman" w:hAnsi="Times New Roman" w:cs="Times New Roman"/>
          <w:lang w:eastAsia="zh-CN"/>
        </w:rPr>
        <w:t>。</w:t>
      </w:r>
    </w:p>
    <w:p>
      <w:pPr>
        <w:pStyle w:val="5"/>
        <w:pageBreakBefore w:val="0"/>
        <w:kinsoku/>
        <w:overflowPunct/>
        <w:topLinePunct w:val="0"/>
        <w:autoSpaceDE/>
        <w:autoSpaceDN/>
        <w:bidi w:val="0"/>
        <w:spacing w:line="560" w:lineRule="exact"/>
        <w:outlineLvl w:val="1"/>
        <w:rPr>
          <w:rFonts w:hint="eastAsia"/>
        </w:rPr>
      </w:pPr>
      <w:bookmarkStart w:id="53" w:name="_Toc18380"/>
      <w:r>
        <w:rPr>
          <w:rFonts w:hint="eastAsia"/>
        </w:rPr>
        <w:t>三、技术路线</w:t>
      </w:r>
      <w:bookmarkEnd w:id="53"/>
    </w:p>
    <w:p>
      <w:pPr>
        <w:pStyle w:val="6"/>
        <w:pageBreakBefore w:val="0"/>
        <w:kinsoku/>
        <w:overflowPunct/>
        <w:topLinePunct w:val="0"/>
        <w:autoSpaceDE/>
        <w:autoSpaceDN/>
        <w:bidi w:val="0"/>
        <w:spacing w:line="560" w:lineRule="exact"/>
      </w:pPr>
      <w:r>
        <w:rPr>
          <w:rFonts w:hint="eastAsia"/>
        </w:rPr>
        <w:t>（一）强化监测预报</w:t>
      </w:r>
    </w:p>
    <w:p>
      <w:pPr>
        <w:pageBreakBefore w:val="0"/>
        <w:kinsoku/>
        <w:overflowPunct/>
        <w:topLinePunct w:val="0"/>
        <w:autoSpaceDE/>
        <w:autoSpaceDN/>
        <w:bidi w:val="0"/>
        <w:spacing w:line="560" w:lineRule="exact"/>
        <w:ind w:firstLine="560"/>
      </w:pPr>
      <w:r>
        <w:rPr>
          <w:rFonts w:hint="eastAsia"/>
          <w:lang w:val="en-US" w:eastAsia="zh-CN"/>
        </w:rPr>
        <w:t>“十四五”期间，</w:t>
      </w:r>
      <w:r>
        <w:rPr>
          <w:rFonts w:hint="eastAsia"/>
        </w:rPr>
        <w:t>在重点道路两侧林带、自然保护区、林场、森林公园等关键地点设立监测点，悬挂</w:t>
      </w:r>
      <w:r>
        <w:rPr>
          <w:rFonts w:hint="eastAsia"/>
          <w:lang w:val="en-US" w:eastAsia="zh-CN"/>
        </w:rPr>
        <w:t>测报灯</w:t>
      </w:r>
      <w:r>
        <w:rPr>
          <w:rFonts w:hint="eastAsia"/>
        </w:rPr>
        <w:t>、诱捕器等</w:t>
      </w:r>
      <w:r>
        <w:rPr>
          <w:rFonts w:hint="eastAsia"/>
          <w:lang w:val="en-US" w:eastAsia="zh-CN"/>
        </w:rPr>
        <w:t>监测</w:t>
      </w:r>
      <w:r>
        <w:rPr>
          <w:rFonts w:hint="eastAsia"/>
        </w:rPr>
        <w:t>设备，定期统计上报监测数据。</w:t>
      </w:r>
      <w:r>
        <w:rPr>
          <w:rFonts w:hint="eastAsia"/>
          <w:lang w:val="en-US" w:eastAsia="zh-CN"/>
        </w:rPr>
        <w:t>每年</w:t>
      </w:r>
      <w:r>
        <w:rPr>
          <w:rFonts w:hint="eastAsia"/>
        </w:rPr>
        <w:t>开展3次美国白蛾发生期专项调查活动，</w:t>
      </w:r>
      <w:r>
        <w:rPr>
          <w:rFonts w:hint="eastAsia"/>
          <w:lang w:val="en-US" w:eastAsia="zh-CN"/>
        </w:rPr>
        <w:t>共计</w:t>
      </w:r>
      <w:r>
        <w:rPr>
          <w:rFonts w:hint="eastAsia"/>
        </w:rPr>
        <w:t>监测美国白蛾约637万亩</w:t>
      </w:r>
      <w:r>
        <w:rPr>
          <w:rFonts w:hint="eastAsia"/>
          <w:lang w:val="en-US" w:eastAsia="zh-CN"/>
        </w:rPr>
        <w:t>次</w:t>
      </w:r>
      <w:r>
        <w:rPr>
          <w:rFonts w:hint="eastAsia"/>
        </w:rPr>
        <w:t>。</w:t>
      </w:r>
    </w:p>
    <w:tbl>
      <w:tblPr>
        <w:tblStyle w:val="21"/>
        <w:tblW w:w="10128" w:type="dxa"/>
        <w:jc w:val="center"/>
        <w:tblInd w:w="-5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1323"/>
        <w:gridCol w:w="1323"/>
        <w:gridCol w:w="1323"/>
        <w:gridCol w:w="1323"/>
        <w:gridCol w:w="1323"/>
        <w:gridCol w:w="1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10128" w:type="dxa"/>
            <w:gridSpan w:val="7"/>
            <w:tcBorders>
              <w:top w:val="nil"/>
              <w:left w:val="nil"/>
              <w:bottom w:val="nil"/>
              <w:right w:val="nil"/>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b/>
                <w:szCs w:val="28"/>
              </w:rPr>
            </w:pPr>
            <w:r>
              <w:rPr>
                <w:rFonts w:hint="eastAsia" w:ascii="方正仿宋简体" w:hAnsi="方正仿宋简体" w:eastAsia="方正仿宋简体" w:cs="方正仿宋简体"/>
                <w:b/>
                <w:sz w:val="28"/>
                <w:szCs w:val="24"/>
              </w:rPr>
              <w:t>表6.3-1美</w:t>
            </w:r>
            <w:r>
              <w:rPr>
                <w:rFonts w:hint="eastAsia" w:ascii="Times New Roman" w:hAnsi="Times New Roman"/>
                <w:b/>
                <w:sz w:val="28"/>
                <w:szCs w:val="24"/>
              </w:rPr>
              <w:t>国白蛾监测任务分解一览表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2" w:hRule="exact"/>
          <w:tblHeader/>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lang w:val="en-US" w:eastAsia="zh-CN"/>
              </w:rPr>
              <w:t>县（市、区）</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2021年</w:t>
            </w:r>
          </w:p>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（亩</w:t>
            </w:r>
            <w:r>
              <w:rPr>
                <w:rFonts w:hint="eastAsia" w:ascii="方正仿宋简体" w:hAnsi="方正仿宋简体" w:eastAsia="方正仿宋简体" w:cs="方正仿宋简体"/>
                <w:b/>
                <w:bCs/>
                <w:sz w:val="24"/>
                <w:lang w:val="en-US" w:eastAsia="zh-CN"/>
              </w:rPr>
              <w:t>次</w:t>
            </w:r>
            <w:r>
              <w:rPr>
                <w:rFonts w:hint="eastAsia" w:ascii="方正仿宋简体" w:hAnsi="方正仿宋简体" w:eastAsia="方正仿宋简体" w:cs="方正仿宋简体"/>
                <w:b/>
                <w:bCs/>
                <w:sz w:val="24"/>
              </w:rPr>
              <w:t>）</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2022年（亩</w:t>
            </w:r>
            <w:r>
              <w:rPr>
                <w:rFonts w:hint="eastAsia" w:ascii="方正仿宋简体" w:hAnsi="方正仿宋简体" w:eastAsia="方正仿宋简体" w:cs="方正仿宋简体"/>
                <w:b/>
                <w:bCs/>
                <w:sz w:val="24"/>
                <w:lang w:val="en-US" w:eastAsia="zh-CN"/>
              </w:rPr>
              <w:t>次</w:t>
            </w:r>
            <w:r>
              <w:rPr>
                <w:rFonts w:hint="eastAsia" w:ascii="方正仿宋简体" w:hAnsi="方正仿宋简体" w:eastAsia="方正仿宋简体" w:cs="方正仿宋简体"/>
                <w:b/>
                <w:bCs/>
                <w:sz w:val="24"/>
              </w:rPr>
              <w:t>）</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2023年（亩</w:t>
            </w:r>
            <w:r>
              <w:rPr>
                <w:rFonts w:hint="eastAsia" w:ascii="方正仿宋简体" w:hAnsi="方正仿宋简体" w:eastAsia="方正仿宋简体" w:cs="方正仿宋简体"/>
                <w:b/>
                <w:bCs/>
                <w:sz w:val="24"/>
                <w:lang w:val="en-US" w:eastAsia="zh-CN"/>
              </w:rPr>
              <w:t>次</w:t>
            </w:r>
            <w:r>
              <w:rPr>
                <w:rFonts w:hint="eastAsia" w:ascii="方正仿宋简体" w:hAnsi="方正仿宋简体" w:eastAsia="方正仿宋简体" w:cs="方正仿宋简体"/>
                <w:b/>
                <w:bCs/>
                <w:sz w:val="24"/>
              </w:rPr>
              <w:t>）</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2024年（亩</w:t>
            </w:r>
            <w:r>
              <w:rPr>
                <w:rFonts w:hint="eastAsia" w:ascii="方正仿宋简体" w:hAnsi="方正仿宋简体" w:eastAsia="方正仿宋简体" w:cs="方正仿宋简体"/>
                <w:b/>
                <w:bCs/>
                <w:sz w:val="24"/>
                <w:lang w:val="en-US" w:eastAsia="zh-CN"/>
              </w:rPr>
              <w:t>次</w:t>
            </w:r>
            <w:r>
              <w:rPr>
                <w:rFonts w:hint="eastAsia" w:ascii="方正仿宋简体" w:hAnsi="方正仿宋简体" w:eastAsia="方正仿宋简体" w:cs="方正仿宋简体"/>
                <w:b/>
                <w:bCs/>
                <w:sz w:val="24"/>
              </w:rPr>
              <w:t>）</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2025年（亩</w:t>
            </w:r>
            <w:r>
              <w:rPr>
                <w:rFonts w:hint="eastAsia" w:ascii="方正仿宋简体" w:hAnsi="方正仿宋简体" w:eastAsia="方正仿宋简体" w:cs="方正仿宋简体"/>
                <w:b/>
                <w:bCs/>
                <w:sz w:val="24"/>
                <w:lang w:val="en-US" w:eastAsia="zh-CN"/>
              </w:rPr>
              <w:t>次</w:t>
            </w:r>
            <w:r>
              <w:rPr>
                <w:rFonts w:hint="eastAsia" w:ascii="方正仿宋简体" w:hAnsi="方正仿宋简体" w:eastAsia="方正仿宋简体" w:cs="方正仿宋简体"/>
                <w:b/>
                <w:bCs/>
                <w:sz w:val="24"/>
              </w:rPr>
              <w:t>）</w:t>
            </w:r>
          </w:p>
        </w:tc>
        <w:tc>
          <w:tcPr>
            <w:tcW w:w="135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总计</w:t>
            </w:r>
          </w:p>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（亩</w:t>
            </w:r>
            <w:r>
              <w:rPr>
                <w:rFonts w:hint="eastAsia" w:ascii="方正仿宋简体" w:hAnsi="方正仿宋简体" w:eastAsia="方正仿宋简体" w:cs="方正仿宋简体"/>
                <w:b/>
                <w:bCs/>
                <w:sz w:val="24"/>
                <w:lang w:val="en-US" w:eastAsia="zh-CN"/>
              </w:rPr>
              <w:t>次</w:t>
            </w:r>
            <w:r>
              <w:rPr>
                <w:rFonts w:hint="eastAsia" w:ascii="方正仿宋简体" w:hAnsi="方正仿宋简体" w:eastAsia="方正仿宋简体" w:cs="方正仿宋简体"/>
                <w:b/>
                <w:bCs/>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任城区</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660000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660000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660000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660000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660000</w:t>
            </w:r>
          </w:p>
        </w:tc>
        <w:tc>
          <w:tcPr>
            <w:tcW w:w="135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3300000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兖州区</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714000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714000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714000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714000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714000</w:t>
            </w:r>
          </w:p>
        </w:tc>
        <w:tc>
          <w:tcPr>
            <w:tcW w:w="135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3570000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曲阜市</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418110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418110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418110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418110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418110</w:t>
            </w:r>
          </w:p>
        </w:tc>
        <w:tc>
          <w:tcPr>
            <w:tcW w:w="135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2090550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泗水县</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687540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687540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687540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687540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687540</w:t>
            </w:r>
          </w:p>
        </w:tc>
        <w:tc>
          <w:tcPr>
            <w:tcW w:w="135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3437700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ascii="Times New Roman" w:hAnsi="Times New Roman"/>
                <w:sz w:val="24"/>
              </w:rPr>
            </w:pPr>
            <w:r>
              <w:rPr>
                <w:rFonts w:hint="eastAsia" w:ascii="Times New Roman" w:hAnsi="Times New Roman"/>
                <w:sz w:val="24"/>
              </w:rPr>
              <w:t>邹城市</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605850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605850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605850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605850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605850</w:t>
            </w:r>
          </w:p>
        </w:tc>
        <w:tc>
          <w:tcPr>
            <w:tcW w:w="135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z w:val="22"/>
                <w:szCs w:val="22"/>
              </w:rPr>
              <w:t>3029250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微山县</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328029</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328029</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328029</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328029</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328029</w:t>
            </w:r>
          </w:p>
        </w:tc>
        <w:tc>
          <w:tcPr>
            <w:tcW w:w="1353"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szCs w:val="22"/>
                <w:lang w:bidi="ar"/>
              </w:rPr>
              <w:t>1640145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鱼台县</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315000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315000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315000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315000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315000</w:t>
            </w:r>
          </w:p>
        </w:tc>
        <w:tc>
          <w:tcPr>
            <w:tcW w:w="1353"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szCs w:val="22"/>
                <w:lang w:bidi="ar"/>
              </w:rPr>
              <w:t>1575000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金乡县</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664500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664500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664500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664500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664500</w:t>
            </w:r>
          </w:p>
        </w:tc>
        <w:tc>
          <w:tcPr>
            <w:tcW w:w="1353"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szCs w:val="22"/>
                <w:lang w:bidi="ar"/>
              </w:rPr>
              <w:t>3322500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嘉祥县</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459000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459000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459000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459000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459000</w:t>
            </w:r>
          </w:p>
        </w:tc>
        <w:tc>
          <w:tcPr>
            <w:tcW w:w="1353"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szCs w:val="22"/>
                <w:lang w:bidi="ar"/>
              </w:rPr>
              <w:t>2295000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汶上县</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702066</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702066</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702066</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702066</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702066</w:t>
            </w:r>
          </w:p>
        </w:tc>
        <w:tc>
          <w:tcPr>
            <w:tcW w:w="1353"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szCs w:val="22"/>
                <w:lang w:bidi="ar"/>
              </w:rPr>
              <w:t>3510330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梁山县</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439629</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439629</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439629</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439629</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439629</w:t>
            </w:r>
          </w:p>
        </w:tc>
        <w:tc>
          <w:tcPr>
            <w:tcW w:w="1353"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szCs w:val="22"/>
                <w:lang w:bidi="ar"/>
              </w:rPr>
              <w:t>2198145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高新区</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183000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183000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183000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183000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183000</w:t>
            </w:r>
          </w:p>
        </w:tc>
        <w:tc>
          <w:tcPr>
            <w:tcW w:w="1353"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szCs w:val="22"/>
                <w:lang w:bidi="ar"/>
              </w:rPr>
              <w:t>915000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太白湖新区</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105000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105000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105000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105000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105000</w:t>
            </w:r>
          </w:p>
        </w:tc>
        <w:tc>
          <w:tcPr>
            <w:tcW w:w="1353"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szCs w:val="22"/>
                <w:lang w:bidi="ar"/>
              </w:rPr>
              <w:t>525000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sz w:val="24"/>
              </w:rPr>
            </w:pPr>
            <w:r>
              <w:rPr>
                <w:rFonts w:hint="eastAsia" w:ascii="Times New Roman" w:hAnsi="Times New Roman"/>
                <w:sz w:val="24"/>
              </w:rPr>
              <w:t>经开区</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84000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84000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84000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84000</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84000</w:t>
            </w:r>
          </w:p>
        </w:tc>
        <w:tc>
          <w:tcPr>
            <w:tcW w:w="1353"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color w:val="000000"/>
                <w:kern w:val="0"/>
                <w:sz w:val="24"/>
                <w:szCs w:val="22"/>
                <w:lang w:bidi="ar"/>
              </w:rPr>
              <w:t>420000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160"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Times New Roman" w:hAnsi="Times New Roman"/>
                <w:b/>
                <w:bCs/>
                <w:sz w:val="24"/>
              </w:rPr>
            </w:pPr>
            <w:r>
              <w:rPr>
                <w:rFonts w:hint="eastAsia" w:ascii="Times New Roman" w:hAnsi="Times New Roman"/>
                <w:b/>
                <w:bCs/>
                <w:sz w:val="24"/>
              </w:rPr>
              <w:t>合计</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6365724</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6365724</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6365724</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6365724</w:t>
            </w:r>
          </w:p>
        </w:tc>
        <w:tc>
          <w:tcPr>
            <w:tcW w:w="1323" w:type="dxa"/>
            <w:tcBorders>
              <w:top w:val="single" w:color="auto" w:sz="4" w:space="0"/>
              <w:left w:val="single" w:color="auto" w:sz="4" w:space="0"/>
              <w:bottom w:val="single" w:color="auto" w:sz="4" w:space="0"/>
              <w:right w:val="single" w:color="auto" w:sz="4" w:space="0"/>
            </w:tcBorders>
            <w:noWrap w:val="0"/>
            <w:vAlign w:val="center"/>
          </w:tcPr>
          <w:p>
            <w:pPr>
              <w:pageBreakBefore w:val="0"/>
              <w:kinsoku/>
              <w:overflowPunct/>
              <w:topLinePunct w:val="0"/>
              <w:autoSpaceDE/>
              <w:autoSpaceDN/>
              <w:bidi w:val="0"/>
              <w:spacing w:line="560" w:lineRule="exact"/>
              <w:ind w:firstLine="0" w:firstLineChars="0"/>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6365724</w:t>
            </w:r>
          </w:p>
        </w:tc>
        <w:tc>
          <w:tcPr>
            <w:tcW w:w="1353"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autoSpaceDE/>
              <w:autoSpaceDN/>
              <w:bidi w:val="0"/>
              <w:spacing w:line="560" w:lineRule="exact"/>
              <w:ind w:firstLine="0" w:firstLineChars="0"/>
              <w:jc w:val="center"/>
              <w:textAlignment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color w:val="000000"/>
                <w:kern w:val="0"/>
                <w:sz w:val="24"/>
                <w:szCs w:val="22"/>
                <w:lang w:bidi="ar"/>
              </w:rPr>
              <w:t>31828620</w:t>
            </w:r>
          </w:p>
        </w:tc>
      </w:tr>
    </w:tbl>
    <w:p>
      <w:pPr>
        <w:pStyle w:val="6"/>
        <w:pageBreakBefore w:val="0"/>
        <w:shd w:val="clear" w:color="auto" w:fill="FFFFFF"/>
        <w:kinsoku/>
        <w:overflowPunct/>
        <w:topLinePunct w:val="0"/>
        <w:autoSpaceDE/>
        <w:autoSpaceDN/>
        <w:bidi w:val="0"/>
        <w:spacing w:line="560" w:lineRule="exact"/>
        <w:rPr>
          <w:rFonts w:hint="eastAsia"/>
          <w:highlight w:val="none"/>
        </w:rPr>
      </w:pPr>
      <w:r>
        <w:rPr>
          <w:rFonts w:hint="eastAsia"/>
          <w:highlight w:val="none"/>
        </w:rPr>
        <w:t>（二）科学</w:t>
      </w:r>
      <w:r>
        <w:rPr>
          <w:rFonts w:hint="default"/>
          <w:highlight w:val="none"/>
          <w:lang w:val="en-US"/>
        </w:rPr>
        <w:t>实施</w:t>
      </w:r>
      <w:r>
        <w:rPr>
          <w:rFonts w:hint="eastAsia"/>
          <w:highlight w:val="none"/>
          <w:lang w:val="en-US" w:eastAsia="zh-CN"/>
        </w:rPr>
        <w:t>精准</w:t>
      </w:r>
      <w:r>
        <w:rPr>
          <w:rFonts w:hint="eastAsia"/>
          <w:highlight w:val="none"/>
        </w:rPr>
        <w:t>防控</w:t>
      </w:r>
    </w:p>
    <w:p>
      <w:pPr>
        <w:pageBreakBefore w:val="0"/>
        <w:kinsoku/>
        <w:overflowPunct/>
        <w:topLinePunct w:val="0"/>
        <w:autoSpaceDE/>
        <w:autoSpaceDN/>
        <w:bidi w:val="0"/>
        <w:spacing w:line="560" w:lineRule="exact"/>
        <w:ind w:firstLine="560"/>
        <w:rPr>
          <w:rFonts w:hint="eastAsia"/>
        </w:rPr>
      </w:pPr>
      <w:r>
        <w:rPr>
          <w:rFonts w:hint="eastAsia"/>
        </w:rPr>
        <w:t>坚持“重防第一代、查防第二代、监控第三代”的防控思路，抓住有利时机（幼虫危害期）和重要环节（成虫羽化期、卵期、蛹期），采取诱捕器诱杀、人工剪除网幕、地面</w:t>
      </w:r>
      <w:r>
        <w:rPr>
          <w:rFonts w:hint="eastAsia"/>
          <w:lang w:val="en-US" w:eastAsia="zh-CN"/>
        </w:rPr>
        <w:t>防治</w:t>
      </w:r>
      <w:r>
        <w:rPr>
          <w:rFonts w:hint="eastAsia"/>
        </w:rPr>
        <w:t>、飞机防治等综合措施进行科学防治。</w:t>
      </w:r>
    </w:p>
    <w:p>
      <w:pPr>
        <w:pageBreakBefore w:val="0"/>
        <w:kinsoku/>
        <w:overflowPunct/>
        <w:topLinePunct w:val="0"/>
        <w:autoSpaceDE/>
        <w:autoSpaceDN/>
        <w:bidi w:val="0"/>
        <w:spacing w:line="560" w:lineRule="exact"/>
        <w:ind w:firstLine="560"/>
        <w:rPr>
          <w:rFonts w:hint="eastAsia"/>
        </w:rPr>
      </w:pPr>
      <w:r>
        <w:rPr>
          <w:rFonts w:hint="eastAsia"/>
        </w:rPr>
        <w:t>推行飞机施药防治为主的综合治理策略，提高全市飞机防治</w:t>
      </w:r>
      <w:r>
        <w:rPr>
          <w:rFonts w:hint="eastAsia"/>
          <w:lang w:val="en-US" w:eastAsia="zh-CN"/>
        </w:rPr>
        <w:t>美国白蛾</w:t>
      </w:r>
      <w:r>
        <w:rPr>
          <w:rFonts w:hint="eastAsia"/>
        </w:rPr>
        <w:t>工作水平。根据本区域美国白蛾发生范围、危害程度，实事求是地科学选用飞机施药防治。严格按照《飞机施药防治美国白蛾技术规程》（鲁质监标发</w:t>
      </w:r>
      <w:r>
        <w:t>〔20</w:t>
      </w:r>
      <w:r>
        <w:rPr>
          <w:rFonts w:hint="eastAsia"/>
        </w:rPr>
        <w:t>12</w:t>
      </w:r>
      <w:r>
        <w:t>〕</w:t>
      </w:r>
      <w:r>
        <w:rPr>
          <w:rFonts w:hint="eastAsia"/>
        </w:rPr>
        <w:t>45号）技术标准和工作流程，</w:t>
      </w:r>
      <w:r>
        <w:t>周密部署，精心组织，抓住当前有利时机，科学制定</w:t>
      </w:r>
      <w:r>
        <w:rPr>
          <w:rFonts w:hint="eastAsia"/>
        </w:rPr>
        <w:t>方案，确保飞机防治的效果和安全。</w:t>
      </w:r>
    </w:p>
    <w:p>
      <w:pPr>
        <w:pageBreakBefore w:val="0"/>
        <w:kinsoku/>
        <w:overflowPunct/>
        <w:topLinePunct w:val="0"/>
        <w:autoSpaceDE/>
        <w:autoSpaceDN/>
        <w:bidi w:val="0"/>
        <w:spacing w:line="560" w:lineRule="exact"/>
        <w:rPr>
          <w:rFonts w:hint="eastAsia"/>
          <w:lang w:val="en-US" w:eastAsia="zh-CN"/>
        </w:rPr>
      </w:pPr>
      <w:r>
        <w:rPr>
          <w:rFonts w:hint="eastAsia"/>
          <w:lang w:val="en-US" w:eastAsia="zh-CN"/>
        </w:rPr>
        <w:t>在</w:t>
      </w:r>
      <w:r>
        <w:rPr>
          <w:rFonts w:hint="eastAsia"/>
        </w:rPr>
        <w:t>环湖沿河虾蟹</w:t>
      </w:r>
      <w:r>
        <w:rPr>
          <w:rFonts w:hint="eastAsia"/>
          <w:lang w:val="en-US" w:eastAsia="zh-CN"/>
        </w:rPr>
        <w:t>养殖区</w:t>
      </w:r>
      <w:r>
        <w:rPr>
          <w:rFonts w:hint="eastAsia"/>
          <w:lang w:eastAsia="zh-CN"/>
        </w:rPr>
        <w:t>、</w:t>
      </w:r>
      <w:r>
        <w:rPr>
          <w:rFonts w:hint="eastAsia"/>
        </w:rPr>
        <w:t>山区平原蜜蜂</w:t>
      </w:r>
      <w:r>
        <w:rPr>
          <w:rFonts w:hint="eastAsia"/>
          <w:lang w:val="en-US" w:eastAsia="zh-CN"/>
        </w:rPr>
        <w:t>养殖区</w:t>
      </w:r>
      <w:r>
        <w:rPr>
          <w:rFonts w:hint="eastAsia"/>
        </w:rPr>
        <w:t>、桑蚕养殖</w:t>
      </w:r>
      <w:r>
        <w:rPr>
          <w:rFonts w:hint="eastAsia"/>
          <w:lang w:val="en-US" w:eastAsia="zh-CN"/>
        </w:rPr>
        <w:t>区等</w:t>
      </w:r>
      <w:r>
        <w:rPr>
          <w:rFonts w:hint="eastAsia"/>
        </w:rPr>
        <w:t>无法开展飞机喷药</w:t>
      </w:r>
      <w:r>
        <w:rPr>
          <w:rFonts w:hint="eastAsia"/>
          <w:lang w:eastAsia="zh-CN"/>
        </w:rPr>
        <w:t>的</w:t>
      </w:r>
      <w:r>
        <w:rPr>
          <w:rFonts w:hint="eastAsia"/>
          <w:lang w:val="en-US" w:eastAsia="zh-CN"/>
        </w:rPr>
        <w:t>地区，加强地面防治。组织防治队伍开展人工剪除网幕、释放周氏啮小蜂、</w:t>
      </w:r>
      <w:r>
        <w:rPr>
          <w:rFonts w:hint="eastAsia"/>
        </w:rPr>
        <w:t>诱捕器诱杀</w:t>
      </w:r>
      <w:r>
        <w:rPr>
          <w:rFonts w:hint="eastAsia"/>
          <w:lang w:val="en-US" w:eastAsia="zh-CN"/>
        </w:rPr>
        <w:t>等防治措施。</w:t>
      </w:r>
    </w:p>
    <w:p>
      <w:pPr>
        <w:pStyle w:val="6"/>
        <w:pageBreakBefore w:val="0"/>
        <w:kinsoku/>
        <w:overflowPunct/>
        <w:topLinePunct w:val="0"/>
        <w:autoSpaceDE/>
        <w:autoSpaceDN/>
        <w:bidi w:val="0"/>
        <w:spacing w:line="560" w:lineRule="exact"/>
      </w:pPr>
      <w:r>
        <w:rPr>
          <w:rStyle w:val="53"/>
          <w:rFonts w:hint="eastAsia"/>
          <w:b/>
        </w:rPr>
        <w:t>（</w:t>
      </w:r>
      <w:r>
        <w:rPr>
          <w:rStyle w:val="53"/>
          <w:rFonts w:hint="eastAsia"/>
          <w:b/>
          <w:lang w:val="en-US" w:eastAsia="zh-CN"/>
        </w:rPr>
        <w:t>三</w:t>
      </w:r>
      <w:r>
        <w:rPr>
          <w:rStyle w:val="53"/>
          <w:rFonts w:hint="eastAsia"/>
          <w:b/>
        </w:rPr>
        <w:t>）</w:t>
      </w:r>
      <w:r>
        <w:rPr>
          <w:rFonts w:hint="eastAsia"/>
        </w:rPr>
        <w:t>绿色防治示范区</w:t>
      </w:r>
    </w:p>
    <w:p>
      <w:pPr>
        <w:pageBreakBefore w:val="0"/>
        <w:kinsoku/>
        <w:overflowPunct/>
        <w:topLinePunct w:val="0"/>
        <w:autoSpaceDE/>
        <w:autoSpaceDN/>
        <w:bidi w:val="0"/>
        <w:spacing w:line="560" w:lineRule="exact"/>
        <w:ind w:firstLine="560"/>
        <w:rPr>
          <w:rFonts w:hint="eastAsia" w:eastAsia="仿宋"/>
          <w:highlight w:val="none"/>
          <w:lang w:eastAsia="zh-CN"/>
        </w:rPr>
      </w:pPr>
      <w:r>
        <w:rPr>
          <w:rFonts w:hint="eastAsia"/>
        </w:rPr>
        <w:t>牢固树立绿色防治理念，积极转变防治方式，落实绿色无公害防治要求，在发生较轻的地方，建立3处绿色防治示范区。在绿色防控示范区，综合采取诱捕器诱杀，人工剪网幕、绑草把</w:t>
      </w:r>
      <w:r>
        <w:rPr>
          <w:rFonts w:hint="eastAsia"/>
          <w:highlight w:val="none"/>
        </w:rPr>
        <w:t>，喷施</w:t>
      </w:r>
      <w:r>
        <w:rPr>
          <w:rFonts w:hint="eastAsia"/>
          <w:highlight w:val="none"/>
          <w:lang w:val="en-US" w:eastAsia="zh-CN"/>
        </w:rPr>
        <w:t>生物制剂</w:t>
      </w:r>
      <w:r>
        <w:rPr>
          <w:rFonts w:hint="eastAsia"/>
          <w:highlight w:val="none"/>
        </w:rPr>
        <w:t>等绿色防控技术，全面提升美国白蛾综合防控成效</w:t>
      </w:r>
      <w:r>
        <w:rPr>
          <w:rFonts w:hint="eastAsia"/>
          <w:highlight w:val="none"/>
          <w:lang w:eastAsia="zh-CN"/>
        </w:rPr>
        <w:t>。</w:t>
      </w:r>
    </w:p>
    <w:tbl>
      <w:tblPr>
        <w:tblStyle w:val="21"/>
        <w:tblW w:w="8469" w:type="dxa"/>
        <w:jc w:val="center"/>
        <w:tblInd w:w="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20"/>
        <w:gridCol w:w="4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8469" w:type="dxa"/>
            <w:gridSpan w:val="2"/>
            <w:tcBorders>
              <w:top w:val="nil"/>
              <w:left w:val="nil"/>
              <w:bottom w:val="single" w:color="auto" w:sz="4"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sz w:val="24"/>
              </w:rPr>
            </w:pPr>
            <w:r>
              <w:rPr>
                <w:rFonts w:hint="eastAsia" w:ascii="方正仿宋简体" w:hAnsi="方正仿宋简体" w:eastAsia="方正仿宋简体" w:cs="方正仿宋简体"/>
                <w:b/>
                <w:sz w:val="28"/>
                <w:szCs w:val="24"/>
              </w:rPr>
              <w:t>表6.3-2绿色</w:t>
            </w:r>
            <w:r>
              <w:rPr>
                <w:rFonts w:hint="eastAsia" w:ascii="Times New Roman" w:hAnsi="Times New Roman"/>
                <w:b/>
                <w:sz w:val="28"/>
                <w:szCs w:val="24"/>
              </w:rPr>
              <w:t>防治示范区任务分解一览表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36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黑体" w:cs="黑体"/>
                <w:b/>
                <w:sz w:val="24"/>
                <w:lang w:eastAsia="zh-CN"/>
              </w:rPr>
            </w:pPr>
            <w:r>
              <w:rPr>
                <w:rFonts w:hint="eastAsia" w:ascii="Times New Roman" w:hAnsi="Times New Roman" w:eastAsia="黑体" w:cs="黑体"/>
                <w:b/>
                <w:sz w:val="24"/>
                <w:lang w:val="en-US" w:eastAsia="zh-CN"/>
              </w:rPr>
              <w:t>类别</w:t>
            </w:r>
          </w:p>
        </w:tc>
        <w:tc>
          <w:tcPr>
            <w:tcW w:w="48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eastAsia="黑体" w:cs="黑体"/>
                <w:b/>
                <w:sz w:val="24"/>
              </w:rPr>
            </w:pPr>
            <w:r>
              <w:rPr>
                <w:rFonts w:hint="eastAsia" w:ascii="Times New Roman" w:hAnsi="Times New Roman" w:eastAsia="黑体" w:cs="黑体"/>
                <w:b/>
                <w:sz w:val="24"/>
              </w:rPr>
              <w:t>建设地点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36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sz w:val="24"/>
              </w:rPr>
            </w:pPr>
            <w:r>
              <w:rPr>
                <w:rFonts w:hint="eastAsia" w:ascii="Times New Roman" w:hAnsi="Times New Roman"/>
                <w:sz w:val="24"/>
              </w:rPr>
              <w:t>任城区绿色防治示范区</w:t>
            </w:r>
          </w:p>
        </w:tc>
        <w:tc>
          <w:tcPr>
            <w:tcW w:w="48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sz w:val="24"/>
              </w:rPr>
            </w:pPr>
            <w:r>
              <w:rPr>
                <w:rFonts w:ascii="Times New Roman" w:hAnsi="Times New Roman"/>
                <w:sz w:val="24"/>
              </w:rPr>
              <w:t>喻屯镇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36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sz w:val="24"/>
              </w:rPr>
            </w:pPr>
            <w:r>
              <w:rPr>
                <w:rFonts w:hint="eastAsia" w:ascii="Times New Roman" w:hAnsi="Times New Roman"/>
                <w:sz w:val="24"/>
              </w:rPr>
              <w:t>鱼台县绿色防治示范区</w:t>
            </w:r>
          </w:p>
        </w:tc>
        <w:tc>
          <w:tcPr>
            <w:tcW w:w="48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sz w:val="24"/>
                <w:highlight w:val="magenta"/>
              </w:rPr>
            </w:pPr>
            <w:r>
              <w:rPr>
                <w:rFonts w:ascii="Times New Roman" w:hAnsi="Times New Roman"/>
                <w:sz w:val="24"/>
              </w:rPr>
              <w:t>张黄镇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36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sz w:val="24"/>
              </w:rPr>
            </w:pPr>
            <w:r>
              <w:rPr>
                <w:rFonts w:hint="eastAsia" w:ascii="Times New Roman" w:hAnsi="Times New Roman"/>
                <w:sz w:val="24"/>
              </w:rPr>
              <w:t>梁山县绿色防治示范区</w:t>
            </w:r>
          </w:p>
        </w:tc>
        <w:tc>
          <w:tcPr>
            <w:tcW w:w="48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sz w:val="24"/>
                <w:highlight w:val="magenta"/>
              </w:rPr>
            </w:pPr>
            <w:r>
              <w:rPr>
                <w:rFonts w:hint="eastAsia" w:ascii="Times New Roman" w:hAnsi="Times New Roman"/>
                <w:sz w:val="24"/>
              </w:rPr>
              <w:t>小安山镇</w:t>
            </w:r>
          </w:p>
        </w:tc>
      </w:tr>
    </w:tbl>
    <w:p>
      <w:pPr>
        <w:pStyle w:val="4"/>
        <w:pageBreakBefore w:val="0"/>
        <w:widowControl w:val="0"/>
        <w:numPr>
          <w:ilvl w:val="0"/>
          <w:numId w:val="4"/>
        </w:numPr>
        <w:kinsoku/>
        <w:wordWrap/>
        <w:overflowPunct/>
        <w:topLinePunct w:val="0"/>
        <w:autoSpaceDE/>
        <w:autoSpaceDN/>
        <w:bidi w:val="0"/>
        <w:adjustRightInd/>
        <w:snapToGrid/>
        <w:spacing w:line="560" w:lineRule="exact"/>
        <w:jc w:val="center"/>
        <w:textAlignment w:val="auto"/>
        <w:outlineLvl w:val="0"/>
      </w:pPr>
      <w:r>
        <w:rPr>
          <w:rFonts w:hint="eastAsia"/>
        </w:rPr>
        <w:br w:type="page"/>
      </w:r>
      <w:bookmarkStart w:id="54" w:name="_Toc12136"/>
      <w:bookmarkStart w:id="55" w:name="_Toc31833"/>
      <w:r>
        <w:rPr>
          <w:rFonts w:hint="eastAsia"/>
        </w:rPr>
        <w:t>其他突发有害生物和外来物种入侵防控行动</w:t>
      </w:r>
      <w:bookmarkEnd w:id="54"/>
      <w:bookmarkEnd w:id="55"/>
    </w:p>
    <w:p>
      <w:pPr>
        <w:pStyle w:val="5"/>
        <w:pageBreakBefore w:val="0"/>
        <w:widowControl w:val="0"/>
        <w:numPr>
          <w:ilvl w:val="0"/>
          <w:numId w:val="5"/>
        </w:numPr>
        <w:kinsoku/>
        <w:wordWrap/>
        <w:overflowPunct/>
        <w:topLinePunct w:val="0"/>
        <w:autoSpaceDE/>
        <w:autoSpaceDN/>
        <w:bidi w:val="0"/>
        <w:adjustRightInd/>
        <w:snapToGrid/>
        <w:spacing w:line="560" w:lineRule="exact"/>
        <w:textAlignment w:val="auto"/>
        <w:outlineLvl w:val="1"/>
        <w:rPr>
          <w:rFonts w:hint="eastAsia"/>
        </w:rPr>
      </w:pPr>
      <w:bookmarkStart w:id="56" w:name="_Toc6441"/>
      <w:r>
        <w:rPr>
          <w:rFonts w:hint="eastAsia"/>
        </w:rPr>
        <w:t>主要任务</w:t>
      </w:r>
      <w:bookmarkEnd w:id="56"/>
    </w:p>
    <w:p>
      <w:pPr>
        <w:pageBreakBefore w:val="0"/>
        <w:widowControl w:val="0"/>
        <w:kinsoku/>
        <w:wordWrap/>
        <w:overflowPunct/>
        <w:topLinePunct w:val="0"/>
        <w:autoSpaceDE/>
        <w:autoSpaceDN/>
        <w:bidi w:val="0"/>
        <w:adjustRightInd/>
        <w:snapToGrid/>
        <w:spacing w:line="560" w:lineRule="exact"/>
        <w:ind w:firstLine="0"/>
        <w:textAlignment w:val="auto"/>
        <w:rPr>
          <w:rFonts w:eastAsia="仿宋"/>
          <w:bCs w:val="0"/>
          <w:sz w:val="28"/>
          <w:szCs w:val="24"/>
        </w:rPr>
      </w:pPr>
      <w:r>
        <w:rPr>
          <w:rFonts w:hint="eastAsia"/>
        </w:rPr>
        <w:t>全市进行森林、草原、湿地生态系统外来入侵物种普查。对全市14</w:t>
      </w:r>
      <w:r>
        <w:rPr>
          <w:rFonts w:eastAsia="仿宋"/>
          <w:bCs w:val="0"/>
          <w:sz w:val="28"/>
          <w:szCs w:val="24"/>
        </w:rPr>
        <w:t>个</w:t>
      </w:r>
      <w:r>
        <w:rPr>
          <w:rFonts w:hint="eastAsia"/>
        </w:rPr>
        <w:t>县（市、区）</w:t>
      </w:r>
      <w:r>
        <w:rPr>
          <w:rFonts w:hint="default" w:eastAsia="仿宋"/>
          <w:bCs w:val="0"/>
          <w:sz w:val="28"/>
          <w:szCs w:val="24"/>
        </w:rPr>
        <w:t>发生的</w:t>
      </w:r>
      <w:r>
        <w:rPr>
          <w:rFonts w:hint="eastAsia"/>
        </w:rPr>
        <w:t>春尺蠖、杨小舟蛾、</w:t>
      </w:r>
      <w:r>
        <w:rPr>
          <w:rFonts w:hint="eastAsia"/>
          <w:lang w:val="en-US" w:eastAsia="zh-CN"/>
        </w:rPr>
        <w:t>杨扇舟蛾、</w:t>
      </w:r>
      <w:r>
        <w:rPr>
          <w:rFonts w:hint="eastAsia"/>
        </w:rPr>
        <w:t>悬铃木方翅网蝽</w:t>
      </w:r>
      <w:r>
        <w:rPr>
          <w:rFonts w:hint="eastAsia"/>
          <w:lang w:eastAsia="zh-CN"/>
        </w:rPr>
        <w:t>、</w:t>
      </w:r>
      <w:r>
        <w:rPr>
          <w:rFonts w:hint="eastAsia"/>
          <w:lang w:val="en-US" w:eastAsia="zh-CN"/>
        </w:rPr>
        <w:t>杨树溃疡病、杨树黑斑病和杨树锈病</w:t>
      </w:r>
      <w:r>
        <w:rPr>
          <w:rFonts w:hint="default" w:eastAsia="仿宋"/>
          <w:bCs w:val="0"/>
          <w:sz w:val="28"/>
          <w:szCs w:val="24"/>
        </w:rPr>
        <w:t>等林业有害生物进行防治。</w:t>
      </w:r>
    </w:p>
    <w:p>
      <w:pPr>
        <w:pStyle w:val="5"/>
        <w:pageBreakBefore w:val="0"/>
        <w:widowControl w:val="0"/>
        <w:numPr>
          <w:ilvl w:val="0"/>
          <w:numId w:val="5"/>
        </w:numPr>
        <w:kinsoku/>
        <w:wordWrap/>
        <w:overflowPunct/>
        <w:topLinePunct w:val="0"/>
        <w:autoSpaceDE/>
        <w:autoSpaceDN/>
        <w:bidi w:val="0"/>
        <w:adjustRightInd/>
        <w:snapToGrid/>
        <w:spacing w:line="560" w:lineRule="exact"/>
        <w:textAlignment w:val="auto"/>
        <w:outlineLvl w:val="1"/>
        <w:rPr>
          <w:rFonts w:hint="eastAsia"/>
        </w:rPr>
      </w:pPr>
      <w:bookmarkStart w:id="57" w:name="_Toc21504"/>
      <w:r>
        <w:rPr>
          <w:rFonts w:hint="eastAsia"/>
        </w:rPr>
        <w:t>防控目标</w:t>
      </w:r>
      <w:bookmarkEnd w:id="57"/>
    </w:p>
    <w:p>
      <w:pPr>
        <w:pageBreakBefore w:val="0"/>
        <w:kinsoku/>
        <w:overflowPunct/>
        <w:topLinePunct w:val="0"/>
        <w:autoSpaceDE/>
        <w:autoSpaceDN/>
        <w:bidi w:val="0"/>
        <w:spacing w:line="560" w:lineRule="exact"/>
        <w:ind w:firstLine="560"/>
        <w:rPr>
          <w:rFonts w:hint="eastAsia"/>
        </w:rPr>
      </w:pPr>
      <w:r>
        <w:rPr>
          <w:rFonts w:hint="eastAsia"/>
        </w:rPr>
        <w:t>“十四五”期间，全市实现春尺蠖、杨小舟蛾、</w:t>
      </w:r>
      <w:r>
        <w:rPr>
          <w:rFonts w:hint="eastAsia"/>
          <w:lang w:val="en-US" w:eastAsia="zh-CN"/>
        </w:rPr>
        <w:t>杨扇舟蛾、</w:t>
      </w:r>
      <w:r>
        <w:rPr>
          <w:rFonts w:hint="eastAsia"/>
        </w:rPr>
        <w:t>悬铃木方翅网蝽</w:t>
      </w:r>
      <w:r>
        <w:rPr>
          <w:rFonts w:hint="eastAsia"/>
          <w:lang w:eastAsia="zh-CN"/>
        </w:rPr>
        <w:t>、</w:t>
      </w:r>
      <w:r>
        <w:rPr>
          <w:rFonts w:hint="eastAsia"/>
          <w:lang w:val="en-US" w:eastAsia="zh-CN"/>
        </w:rPr>
        <w:t>杨树溃疡病、杨树黑斑病和杨树锈病</w:t>
      </w:r>
      <w:r>
        <w:rPr>
          <w:rFonts w:hint="eastAsia"/>
        </w:rPr>
        <w:t>等林业有害生物</w:t>
      </w:r>
      <w:r>
        <w:rPr>
          <w:rFonts w:hint="eastAsia"/>
          <w:lang w:val="en-US" w:eastAsia="zh-CN"/>
        </w:rPr>
        <w:t>成灾率</w:t>
      </w:r>
      <w:r>
        <w:rPr>
          <w:rFonts w:hint="eastAsia" w:ascii="方正仿宋简体" w:hAnsi="方正仿宋简体" w:eastAsia="方正仿宋简体" w:cs="方正仿宋简体"/>
          <w:lang w:val="en-US" w:eastAsia="zh-CN"/>
        </w:rPr>
        <w:t>控制</w:t>
      </w:r>
      <w:r>
        <w:rPr>
          <w:rFonts w:hint="eastAsia" w:ascii="方正仿宋简体" w:hAnsi="方正仿宋简体" w:eastAsia="方正仿宋简体" w:cs="方正仿宋简体"/>
        </w:rPr>
        <w:t>在8‰以下。</w:t>
      </w:r>
    </w:p>
    <w:p>
      <w:pPr>
        <w:pStyle w:val="5"/>
        <w:pageBreakBefore w:val="0"/>
        <w:numPr>
          <w:ilvl w:val="0"/>
          <w:numId w:val="5"/>
        </w:numPr>
        <w:kinsoku/>
        <w:overflowPunct/>
        <w:topLinePunct w:val="0"/>
        <w:autoSpaceDE/>
        <w:autoSpaceDN/>
        <w:bidi w:val="0"/>
        <w:spacing w:line="560" w:lineRule="exact"/>
        <w:outlineLvl w:val="1"/>
        <w:rPr>
          <w:rFonts w:hint="eastAsia"/>
        </w:rPr>
      </w:pPr>
      <w:bookmarkStart w:id="58" w:name="_Toc28054"/>
      <w:r>
        <w:rPr>
          <w:rFonts w:hint="eastAsia"/>
        </w:rPr>
        <w:t>技术路线</w:t>
      </w:r>
      <w:bookmarkEnd w:id="58"/>
    </w:p>
    <w:p>
      <w:pPr>
        <w:pStyle w:val="6"/>
        <w:pageBreakBefore w:val="0"/>
        <w:kinsoku/>
        <w:overflowPunct/>
        <w:topLinePunct w:val="0"/>
        <w:autoSpaceDE/>
        <w:autoSpaceDN/>
        <w:bidi w:val="0"/>
        <w:spacing w:line="560" w:lineRule="exact"/>
        <w:rPr>
          <w:rFonts w:hint="eastAsia"/>
        </w:rPr>
      </w:pPr>
      <w:r>
        <w:rPr>
          <w:rFonts w:hint="eastAsia"/>
        </w:rPr>
        <w:t>（一）外来入侵林业有害生物专项普查</w:t>
      </w:r>
    </w:p>
    <w:p>
      <w:pPr>
        <w:pageBreakBefore w:val="0"/>
        <w:kinsoku/>
        <w:overflowPunct/>
        <w:topLinePunct w:val="0"/>
        <w:autoSpaceDE/>
        <w:autoSpaceDN/>
        <w:bidi w:val="0"/>
        <w:spacing w:line="560" w:lineRule="exact"/>
        <w:ind w:firstLine="560"/>
        <w:rPr>
          <w:rFonts w:hint="eastAsia"/>
        </w:rPr>
      </w:pPr>
      <w:r>
        <w:rPr>
          <w:rFonts w:hint="eastAsia"/>
        </w:rPr>
        <w:t>组织开展森林、草原、湿地生态系统外来入侵物种普查，摸清全市外来入侵林业有害生物种类分布范围、发生面积等信息。</w:t>
      </w:r>
    </w:p>
    <w:p>
      <w:pPr>
        <w:pageBreakBefore w:val="0"/>
        <w:kinsoku/>
        <w:overflowPunct/>
        <w:topLinePunct w:val="0"/>
        <w:autoSpaceDE/>
        <w:autoSpaceDN/>
        <w:bidi w:val="0"/>
        <w:spacing w:line="560" w:lineRule="exact"/>
        <w:ind w:firstLine="560"/>
        <w:rPr>
          <w:rFonts w:hint="eastAsia"/>
        </w:rPr>
      </w:pPr>
      <w:r>
        <w:rPr>
          <w:rFonts w:hint="eastAsia"/>
          <w:lang w:val="en-US" w:eastAsia="zh-CN"/>
        </w:rPr>
        <w:t>至</w:t>
      </w:r>
      <w:r>
        <w:rPr>
          <w:rFonts w:hint="eastAsia"/>
        </w:rPr>
        <w:t>2023年底</w:t>
      </w:r>
      <w:r>
        <w:rPr>
          <w:rFonts w:hint="eastAsia"/>
          <w:lang w:eastAsia="zh-CN"/>
        </w:rPr>
        <w:t>，</w:t>
      </w:r>
      <w:r>
        <w:rPr>
          <w:rFonts w:hint="eastAsia"/>
        </w:rPr>
        <w:t>完成</w:t>
      </w:r>
      <w:r>
        <w:rPr>
          <w:rFonts w:hint="eastAsia"/>
          <w:lang w:val="en-US" w:eastAsia="zh-CN"/>
        </w:rPr>
        <w:t>全市14个县（市、区）</w:t>
      </w:r>
      <w:r>
        <w:rPr>
          <w:rFonts w:hint="eastAsia"/>
        </w:rPr>
        <w:t>外来入侵物种普查，形成调查照片、部分物种标本及物种分布和种群数量数据库、工作报告、技术报告及图册等。</w:t>
      </w:r>
    </w:p>
    <w:p>
      <w:pPr>
        <w:pStyle w:val="6"/>
        <w:pageBreakBefore w:val="0"/>
        <w:kinsoku/>
        <w:overflowPunct/>
        <w:topLinePunct w:val="0"/>
        <w:autoSpaceDE/>
        <w:autoSpaceDN/>
        <w:bidi w:val="0"/>
        <w:spacing w:line="560" w:lineRule="exact"/>
      </w:pPr>
      <w:r>
        <w:rPr>
          <w:rFonts w:hint="eastAsia"/>
        </w:rPr>
        <w:t>（二）科学实施防控</w:t>
      </w:r>
    </w:p>
    <w:p>
      <w:pPr>
        <w:pStyle w:val="7"/>
        <w:pageBreakBefore w:val="0"/>
        <w:kinsoku/>
        <w:overflowPunct/>
        <w:topLinePunct w:val="0"/>
        <w:autoSpaceDE/>
        <w:autoSpaceDN/>
        <w:bidi w:val="0"/>
        <w:spacing w:line="560" w:lineRule="exact"/>
        <w:jc w:val="left"/>
        <w:rPr>
          <w:rFonts w:hint="eastAsia"/>
        </w:rPr>
      </w:pPr>
      <w:r>
        <w:rPr>
          <w:rFonts w:hint="eastAsia"/>
        </w:rPr>
        <w:t>1.春尺蠖</w:t>
      </w:r>
    </w:p>
    <w:p>
      <w:pPr>
        <w:pageBreakBefore w:val="0"/>
        <w:kinsoku/>
        <w:overflowPunct/>
        <w:topLinePunct w:val="0"/>
        <w:autoSpaceDE/>
        <w:autoSpaceDN/>
        <w:bidi w:val="0"/>
        <w:spacing w:line="560" w:lineRule="exact"/>
        <w:ind w:firstLine="560"/>
        <w:rPr>
          <w:rFonts w:hint="eastAsia"/>
        </w:rPr>
      </w:pPr>
      <w:r>
        <w:rPr>
          <w:rFonts w:hint="eastAsia"/>
        </w:rPr>
        <w:t>加强春尺蠖监测调查，及时掌握虫情动态，结合气象因子、历年资料进行科学分析，适时发布预报预警。针对春尺蠖具有发生期早、危害期短、暴食性强，防控有效时间相对较短，防控难度大等特点</w:t>
      </w:r>
      <w:r>
        <w:rPr>
          <w:rFonts w:hint="eastAsia"/>
          <w:lang w:eastAsia="zh-CN"/>
        </w:rPr>
        <w:t>，</w:t>
      </w:r>
      <w:r>
        <w:rPr>
          <w:rFonts w:hint="eastAsia"/>
        </w:rPr>
        <w:t>制定防治方案。</w:t>
      </w:r>
    </w:p>
    <w:p>
      <w:pPr>
        <w:pStyle w:val="7"/>
        <w:pageBreakBefore w:val="0"/>
        <w:kinsoku/>
        <w:overflowPunct/>
        <w:topLinePunct w:val="0"/>
        <w:autoSpaceDE/>
        <w:autoSpaceDN/>
        <w:bidi w:val="0"/>
        <w:spacing w:line="560" w:lineRule="exact"/>
        <w:jc w:val="left"/>
        <w:rPr>
          <w:rFonts w:hint="eastAsia" w:cs="Times New Roman"/>
          <w:lang w:val="en-US" w:eastAsia="zh-CN"/>
        </w:rPr>
      </w:pPr>
      <w:r>
        <w:rPr>
          <w:rFonts w:hint="eastAsia" w:cs="Times New Roman"/>
        </w:rPr>
        <w:t>2.</w:t>
      </w:r>
      <w:r>
        <w:rPr>
          <w:rFonts w:hint="eastAsia" w:cs="Times New Roman"/>
          <w:lang w:val="en-US" w:eastAsia="zh-CN"/>
        </w:rPr>
        <w:t>杨小舟蛾、杨扇舟蛾</w:t>
      </w:r>
    </w:p>
    <w:p>
      <w:pPr>
        <w:pageBreakBefore w:val="0"/>
        <w:kinsoku/>
        <w:overflowPunct/>
        <w:topLinePunct w:val="0"/>
        <w:autoSpaceDE/>
        <w:autoSpaceDN/>
        <w:bidi w:val="0"/>
        <w:spacing w:line="560" w:lineRule="exact"/>
        <w:ind w:firstLine="560"/>
        <w:rPr>
          <w:rFonts w:hint="eastAsia"/>
        </w:rPr>
      </w:pPr>
      <w:r>
        <w:rPr>
          <w:rFonts w:hint="eastAsia"/>
          <w:lang w:val="en-US" w:eastAsia="zh-CN"/>
        </w:rPr>
        <w:t>根据</w:t>
      </w:r>
      <w:r>
        <w:rPr>
          <w:rFonts w:hint="eastAsia"/>
        </w:rPr>
        <w:t>全市杨树资源分布</w:t>
      </w:r>
      <w:r>
        <w:rPr>
          <w:rFonts w:hint="eastAsia"/>
          <w:lang w:val="en-US" w:eastAsia="zh-CN"/>
        </w:rPr>
        <w:t>和</w:t>
      </w:r>
      <w:r>
        <w:rPr>
          <w:rFonts w:hint="eastAsia"/>
        </w:rPr>
        <w:t>历年的发生情况，加强</w:t>
      </w:r>
      <w:r>
        <w:rPr>
          <w:rFonts w:hint="eastAsia"/>
          <w:lang w:val="en-US" w:eastAsia="zh-CN"/>
        </w:rPr>
        <w:t>杨小舟蛾、杨扇舟蛾</w:t>
      </w:r>
      <w:r>
        <w:rPr>
          <w:rFonts w:hint="eastAsia"/>
        </w:rPr>
        <w:t>监测。</w:t>
      </w:r>
      <w:r>
        <w:rPr>
          <w:rFonts w:hint="eastAsia"/>
          <w:lang w:val="en-US" w:eastAsia="zh-CN"/>
        </w:rPr>
        <w:t>结合美国白蛾等其他蛾类昆虫防治工作，</w:t>
      </w:r>
      <w:r>
        <w:rPr>
          <w:rFonts w:hint="eastAsia"/>
        </w:rPr>
        <w:t>采用黑光灯诱杀成虫</w:t>
      </w:r>
      <w:r>
        <w:rPr>
          <w:rFonts w:hint="eastAsia"/>
          <w:lang w:eastAsia="zh-CN"/>
        </w:rPr>
        <w:t>、</w:t>
      </w:r>
      <w:r>
        <w:rPr>
          <w:rFonts w:hint="eastAsia"/>
        </w:rPr>
        <w:t>人工摘除虫包和卵块</w:t>
      </w:r>
      <w:r>
        <w:rPr>
          <w:rFonts w:hint="eastAsia"/>
          <w:lang w:eastAsia="zh-CN"/>
        </w:rPr>
        <w:t>、</w:t>
      </w:r>
      <w:r>
        <w:rPr>
          <w:rFonts w:hint="eastAsia"/>
        </w:rPr>
        <w:t>喷施生物</w:t>
      </w:r>
      <w:r>
        <w:rPr>
          <w:rFonts w:hint="eastAsia"/>
          <w:lang w:val="en-US" w:eastAsia="zh-CN"/>
        </w:rPr>
        <w:t>农药</w:t>
      </w:r>
      <w:r>
        <w:rPr>
          <w:rFonts w:hint="eastAsia"/>
        </w:rPr>
        <w:t>等防治方法综合防治。</w:t>
      </w:r>
    </w:p>
    <w:p>
      <w:pPr>
        <w:pStyle w:val="7"/>
        <w:pageBreakBefore w:val="0"/>
        <w:kinsoku/>
        <w:overflowPunct/>
        <w:topLinePunct w:val="0"/>
        <w:autoSpaceDE/>
        <w:autoSpaceDN/>
        <w:bidi w:val="0"/>
        <w:spacing w:line="560" w:lineRule="exact"/>
        <w:jc w:val="left"/>
        <w:rPr>
          <w:rFonts w:hint="eastAsia" w:cs="Times New Roman"/>
        </w:rPr>
      </w:pPr>
      <w:r>
        <w:rPr>
          <w:rFonts w:hint="eastAsia" w:cs="Times New Roman"/>
        </w:rPr>
        <w:t>3.悬铃木方翅网蝽</w:t>
      </w:r>
    </w:p>
    <w:p>
      <w:pPr>
        <w:pageBreakBefore w:val="0"/>
        <w:kinsoku/>
        <w:overflowPunct/>
        <w:topLinePunct w:val="0"/>
        <w:autoSpaceDE/>
        <w:autoSpaceDN/>
        <w:bidi w:val="0"/>
        <w:spacing w:line="560" w:lineRule="exact"/>
        <w:ind w:firstLine="560"/>
        <w:rPr>
          <w:rFonts w:hint="eastAsia"/>
        </w:rPr>
      </w:pPr>
      <w:r>
        <w:rPr>
          <w:rFonts w:hint="eastAsia"/>
        </w:rPr>
        <w:t>加强</w:t>
      </w:r>
      <w:r>
        <w:rPr>
          <w:rFonts w:hint="eastAsia"/>
          <w:lang w:val="en-US" w:eastAsia="zh-CN"/>
        </w:rPr>
        <w:t>全市</w:t>
      </w:r>
      <w:r>
        <w:rPr>
          <w:rFonts w:hint="eastAsia"/>
        </w:rPr>
        <w:t>悬铃木属植物集中分布区的悬铃木方翅网蝽监测，摸清悬铃木方翅网蝽发生分布情况。悬铃木方翅网蝽防治时要抓住危害初期的有利时机，选用内吸性药剂（可加入杀卵剂），每7</w:t>
      </w:r>
      <w:r>
        <w:rPr>
          <w:rFonts w:hint="eastAsia"/>
          <w:lang w:val="en-US" w:eastAsia="zh-CN"/>
        </w:rPr>
        <w:t>~</w:t>
      </w:r>
      <w:r>
        <w:rPr>
          <w:rFonts w:hint="eastAsia"/>
        </w:rPr>
        <w:t>10天复喷一次，连喷2</w:t>
      </w:r>
      <w:r>
        <w:rPr>
          <w:rFonts w:hint="eastAsia"/>
          <w:lang w:val="en-US" w:eastAsia="zh-CN"/>
        </w:rPr>
        <w:t>~</w:t>
      </w:r>
      <w:r>
        <w:rPr>
          <w:rFonts w:hint="eastAsia"/>
        </w:rPr>
        <w:t>4次，以穿透式喷药为主，自下而上穿透树冠，不留死角和盲区。</w:t>
      </w:r>
    </w:p>
    <w:p>
      <w:pPr>
        <w:pStyle w:val="7"/>
        <w:pageBreakBefore w:val="0"/>
        <w:kinsoku/>
        <w:overflowPunct/>
        <w:topLinePunct w:val="0"/>
        <w:autoSpaceDE/>
        <w:autoSpaceDN/>
        <w:bidi w:val="0"/>
        <w:spacing w:line="560" w:lineRule="exact"/>
        <w:jc w:val="left"/>
        <w:rPr>
          <w:rFonts w:hint="eastAsia" w:cs="Times New Roman"/>
          <w:lang w:val="en-US" w:eastAsia="zh-CN"/>
        </w:rPr>
      </w:pPr>
      <w:r>
        <w:rPr>
          <w:rFonts w:hint="eastAsia" w:cs="Times New Roman"/>
          <w:lang w:val="en-US" w:eastAsia="zh-CN"/>
        </w:rPr>
        <w:t>4.杨树溃疡病</w:t>
      </w:r>
    </w:p>
    <w:p>
      <w:pPr>
        <w:pageBreakBefore w:val="0"/>
        <w:kinsoku/>
        <w:overflowPunct/>
        <w:topLinePunct w:val="0"/>
        <w:autoSpaceDE/>
        <w:autoSpaceDN/>
        <w:bidi w:val="0"/>
        <w:spacing w:line="560" w:lineRule="exact"/>
        <w:ind w:firstLine="560"/>
        <w:rPr>
          <w:rFonts w:hint="default" w:ascii="Times New Roman" w:hAnsi="Times New Roman" w:cs="Times New Roman"/>
          <w:lang w:val="en-US" w:eastAsia="zh-CN"/>
        </w:rPr>
      </w:pPr>
      <w:r>
        <w:rPr>
          <w:rFonts w:hint="eastAsia" w:ascii="Times New Roman" w:hAnsi="Times New Roman" w:cs="Times New Roman"/>
          <w:lang w:val="en-US" w:eastAsia="zh-CN"/>
        </w:rPr>
        <w:t>加强全市杨树溃疡病检疫，严格把好检疫关卡，禁止带菌苗木调入调出。在杨树溃疡病发病高峰期前，用药剂涂抹病斑或喷洒涂刷发病部位，清理林内重病树，清除病残植株，减少病菌的侵染来源。</w:t>
      </w:r>
    </w:p>
    <w:p>
      <w:pPr>
        <w:pStyle w:val="7"/>
        <w:pageBreakBefore w:val="0"/>
        <w:kinsoku/>
        <w:overflowPunct/>
        <w:topLinePunct w:val="0"/>
        <w:autoSpaceDE/>
        <w:autoSpaceDN/>
        <w:bidi w:val="0"/>
        <w:spacing w:line="560" w:lineRule="exact"/>
        <w:jc w:val="left"/>
        <w:rPr>
          <w:rFonts w:hint="eastAsia" w:cs="Times New Roman"/>
          <w:lang w:val="en-US" w:eastAsia="zh-CN"/>
        </w:rPr>
      </w:pPr>
      <w:r>
        <w:rPr>
          <w:rFonts w:hint="eastAsia" w:cs="Times New Roman"/>
          <w:lang w:val="en-US" w:eastAsia="zh-CN"/>
        </w:rPr>
        <w:t>5.杨树黑斑病</w:t>
      </w:r>
    </w:p>
    <w:p>
      <w:pPr>
        <w:pageBreakBefore w:val="0"/>
        <w:kinsoku/>
        <w:overflowPunct/>
        <w:topLinePunct w:val="0"/>
        <w:autoSpaceDE/>
        <w:autoSpaceDN/>
        <w:bidi w:val="0"/>
        <w:spacing w:line="560" w:lineRule="exact"/>
        <w:rPr>
          <w:rFonts w:hint="eastAsia"/>
          <w:lang w:eastAsia="zh-CN"/>
        </w:rPr>
      </w:pPr>
      <w:r>
        <w:rPr>
          <w:rFonts w:hint="eastAsia"/>
          <w:lang w:val="en-US" w:eastAsia="zh-CN"/>
        </w:rPr>
        <w:t>完善杨树黑斑病疫情监测，</w:t>
      </w:r>
      <w:r>
        <w:t>在易</w:t>
      </w:r>
      <w:r>
        <w:rPr>
          <w:rFonts w:hint="eastAsia"/>
          <w:lang w:val="en-US" w:eastAsia="zh-CN"/>
        </w:rPr>
        <w:t>感病</w:t>
      </w:r>
      <w:r>
        <w:t>地区设置监测点，安排专人监测</w:t>
      </w:r>
      <w:r>
        <w:rPr>
          <w:rFonts w:hint="eastAsia"/>
          <w:lang w:eastAsia="zh-CN"/>
        </w:rPr>
        <w:t>。</w:t>
      </w:r>
      <w:r>
        <w:t>雨后加强监测</w:t>
      </w:r>
      <w:r>
        <w:rPr>
          <w:rFonts w:hint="eastAsia"/>
          <w:lang w:val="en-US" w:eastAsia="zh-CN"/>
        </w:rPr>
        <w:t>力度</w:t>
      </w:r>
      <w:r>
        <w:t>，发现疫情及时上报，</w:t>
      </w:r>
      <w:r>
        <w:rPr>
          <w:rFonts w:hint="eastAsia"/>
          <w:lang w:val="en-US" w:eastAsia="zh-CN"/>
        </w:rPr>
        <w:t>并</w:t>
      </w:r>
      <w:r>
        <w:t>迅速组织防治工作，避免病害继续蔓延。</w:t>
      </w:r>
      <w:r>
        <w:rPr>
          <w:rFonts w:hint="eastAsia"/>
          <w:lang w:val="en-US" w:eastAsia="zh-CN"/>
        </w:rPr>
        <w:t>杨树黑斑病防治时抓住</w:t>
      </w:r>
      <w:r>
        <w:t>发病初期</w:t>
      </w:r>
      <w:r>
        <w:rPr>
          <w:rFonts w:hint="eastAsia"/>
          <w:lang w:val="en-US" w:eastAsia="zh-CN"/>
        </w:rPr>
        <w:t>和</w:t>
      </w:r>
      <w:r>
        <w:t>雨季</w:t>
      </w:r>
      <w:r>
        <w:rPr>
          <w:rFonts w:hint="eastAsia"/>
          <w:lang w:val="en-US" w:eastAsia="zh-CN"/>
        </w:rPr>
        <w:t>及时</w:t>
      </w:r>
      <w:r>
        <w:t>实施药剂防治</w:t>
      </w:r>
      <w:r>
        <w:rPr>
          <w:rFonts w:hint="eastAsia"/>
          <w:lang w:eastAsia="zh-CN"/>
        </w:rPr>
        <w:t>。</w:t>
      </w:r>
    </w:p>
    <w:p>
      <w:pPr>
        <w:pStyle w:val="7"/>
        <w:pageBreakBefore w:val="0"/>
        <w:widowControl w:val="0"/>
        <w:kinsoku/>
        <w:wordWrap/>
        <w:overflowPunct/>
        <w:topLinePunct w:val="0"/>
        <w:autoSpaceDE/>
        <w:autoSpaceDN/>
        <w:bidi w:val="0"/>
        <w:adjustRightInd/>
        <w:snapToGrid/>
        <w:spacing w:line="560" w:lineRule="exact"/>
        <w:jc w:val="left"/>
        <w:textAlignment w:val="auto"/>
        <w:rPr>
          <w:rFonts w:hint="eastAsia" w:cs="Times New Roman"/>
          <w:lang w:val="en-US" w:eastAsia="zh-CN"/>
        </w:rPr>
      </w:pPr>
      <w:r>
        <w:rPr>
          <w:rFonts w:hint="eastAsia" w:cs="Times New Roman"/>
          <w:lang w:val="en-US" w:eastAsia="zh-CN"/>
        </w:rPr>
        <w:t>6.杨树锈病</w:t>
      </w:r>
    </w:p>
    <w:p>
      <w:pPr>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r>
        <w:rPr>
          <w:rFonts w:hint="eastAsia"/>
          <w:lang w:val="en-US" w:eastAsia="zh-CN"/>
        </w:rPr>
        <w:t>加强苗木管理，严防带病种苗调入。杨树锈病发病期及时清除病菌落叶，减少病菌侵染源。做到提早防治、适时防治，以少量用药达到防治效果。</w:t>
      </w:r>
    </w:p>
    <w:p>
      <w:pPr>
        <w:pStyle w:val="6"/>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r>
        <w:rPr>
          <w:rFonts w:hint="eastAsia"/>
          <w:lang w:val="en-US" w:eastAsia="zh-CN"/>
        </w:rPr>
        <w:t>（三）建立工作台账</w:t>
      </w:r>
    </w:p>
    <w:p>
      <w:pPr>
        <w:pageBreakBefore w:val="0"/>
        <w:kinsoku/>
        <w:overflowPunct/>
        <w:topLinePunct w:val="0"/>
        <w:autoSpaceDE/>
        <w:autoSpaceDN/>
        <w:bidi w:val="0"/>
        <w:spacing w:line="560" w:lineRule="exact"/>
        <w:rPr>
          <w:rFonts w:hint="default"/>
          <w:lang w:val="en-US" w:eastAsia="zh-CN"/>
        </w:rPr>
      </w:pPr>
      <w:r>
        <w:rPr>
          <w:rFonts w:hint="default"/>
          <w:lang w:val="en-US" w:eastAsia="zh-CN"/>
        </w:rPr>
        <w:t>建立防控台账，明确重点道路（高速公路、国道、省道等）两侧林带、自然保护区、林场、森林公园等关键地点的病虫害巡查时间、防治时间、防治方式和执行人。根据虫情监测，结合台账中重点林业有害生物发生情况，适时调整防治策略，力争把病虫害抑制在萌芽。</w:t>
      </w:r>
    </w:p>
    <w:p>
      <w:pPr>
        <w:pStyle w:val="4"/>
        <w:pageBreakBefore w:val="0"/>
        <w:numPr>
          <w:ilvl w:val="0"/>
          <w:numId w:val="4"/>
        </w:numPr>
        <w:kinsoku/>
        <w:overflowPunct/>
        <w:topLinePunct w:val="0"/>
        <w:autoSpaceDE/>
        <w:autoSpaceDN/>
        <w:bidi w:val="0"/>
        <w:spacing w:line="560" w:lineRule="exact"/>
        <w:jc w:val="center"/>
        <w:outlineLvl w:val="0"/>
        <w:rPr>
          <w:rFonts w:hint="eastAsia"/>
        </w:rPr>
      </w:pPr>
      <w:r>
        <w:rPr>
          <w:rFonts w:hint="eastAsia"/>
        </w:rPr>
        <w:br w:type="page"/>
      </w:r>
      <w:bookmarkStart w:id="59" w:name="_Toc2225"/>
      <w:bookmarkStart w:id="60" w:name="_Toc15157"/>
      <w:r>
        <w:rPr>
          <w:rFonts w:hint="eastAsia"/>
        </w:rPr>
        <w:t>保障措施</w:t>
      </w:r>
      <w:bookmarkEnd w:id="59"/>
      <w:bookmarkEnd w:id="60"/>
    </w:p>
    <w:p>
      <w:pPr>
        <w:pStyle w:val="5"/>
        <w:pageBreakBefore w:val="0"/>
        <w:kinsoku/>
        <w:overflowPunct/>
        <w:topLinePunct w:val="0"/>
        <w:autoSpaceDE/>
        <w:autoSpaceDN/>
        <w:bidi w:val="0"/>
        <w:spacing w:line="560" w:lineRule="exact"/>
        <w:outlineLvl w:val="1"/>
        <w:rPr>
          <w:rFonts w:hint="eastAsia"/>
          <w:lang w:val="en-US" w:eastAsia="zh-CN"/>
        </w:rPr>
      </w:pPr>
      <w:bookmarkStart w:id="61" w:name="_Toc27961"/>
      <w:bookmarkStart w:id="62" w:name="_Toc26606"/>
      <w:bookmarkStart w:id="63" w:name="_Toc25988"/>
      <w:bookmarkStart w:id="64" w:name="_Toc5504"/>
      <w:bookmarkStart w:id="65" w:name="_Toc1550"/>
      <w:bookmarkStart w:id="66" w:name="_Toc10153"/>
      <w:bookmarkStart w:id="67" w:name="_Toc16860"/>
      <w:r>
        <w:rPr>
          <w:rFonts w:hint="eastAsia"/>
          <w:lang w:val="en-US" w:eastAsia="zh-CN"/>
        </w:rPr>
        <w:t>一、落实防治责任</w:t>
      </w:r>
      <w:bookmarkEnd w:id="61"/>
    </w:p>
    <w:p>
      <w:pPr>
        <w:pageBreakBefore w:val="0"/>
        <w:kinsoku/>
        <w:overflowPunct/>
        <w:topLinePunct w:val="0"/>
        <w:autoSpaceDE/>
        <w:autoSpaceDN/>
        <w:bidi w:val="0"/>
        <w:spacing w:line="560" w:lineRule="exact"/>
        <w:ind w:firstLine="560"/>
        <w:rPr>
          <w:rFonts w:hint="eastAsia"/>
        </w:rPr>
      </w:pPr>
      <w:r>
        <w:t>全面推行林长制，构建市、县、乡</w:t>
      </w:r>
      <w:r>
        <w:rPr>
          <w:rFonts w:hint="eastAsia"/>
        </w:rPr>
        <w:t>、</w:t>
      </w:r>
      <w:r>
        <w:t>村等各级林长体系，</w:t>
      </w:r>
      <w:r>
        <w:rPr>
          <w:rFonts w:hint="eastAsia"/>
        </w:rPr>
        <w:t>依托林长制开展重大生物灾害疫情防控责任考核，按照“党委领导、党政同责、部门协同、属地负责”的要求，系统安排部署攻坚行动。</w:t>
      </w:r>
    </w:p>
    <w:p>
      <w:pPr>
        <w:pageBreakBefore w:val="0"/>
        <w:kinsoku/>
        <w:overflowPunct/>
        <w:topLinePunct w:val="0"/>
        <w:autoSpaceDE/>
        <w:autoSpaceDN/>
        <w:bidi w:val="0"/>
        <w:spacing w:line="560" w:lineRule="exact"/>
        <w:ind w:firstLine="560"/>
        <w:rPr>
          <w:rFonts w:hint="eastAsia"/>
        </w:rPr>
      </w:pPr>
      <w:r>
        <w:rPr>
          <w:rFonts w:hint="eastAsia"/>
        </w:rPr>
        <w:t>按照《森林病虫害防治条例》规定，切实明确在林业有害生物防治工作中的责任主体，采取部门联合督查、市局科室联合督查等方式，加强督导检查，狠抓责任落实，确保完成各项目标任务。</w:t>
      </w:r>
    </w:p>
    <w:p>
      <w:pPr>
        <w:pStyle w:val="5"/>
        <w:pageBreakBefore w:val="0"/>
        <w:kinsoku/>
        <w:overflowPunct/>
        <w:topLinePunct w:val="0"/>
        <w:autoSpaceDE/>
        <w:autoSpaceDN/>
        <w:bidi w:val="0"/>
        <w:spacing w:line="560" w:lineRule="exact"/>
        <w:outlineLvl w:val="1"/>
        <w:rPr>
          <w:rFonts w:hint="eastAsia" w:ascii="Times New Roman" w:hAnsi="Times New Roman" w:cs="Times New Roman"/>
          <w:lang w:val="en-US" w:eastAsia="zh-CN"/>
        </w:rPr>
      </w:pPr>
      <w:bookmarkStart w:id="68" w:name="_Toc5571"/>
      <w:r>
        <w:rPr>
          <w:rFonts w:hint="eastAsia" w:ascii="Times New Roman" w:hAnsi="Times New Roman" w:cs="Times New Roman"/>
          <w:lang w:val="en-US" w:eastAsia="zh-CN"/>
        </w:rPr>
        <w:t>二、增强行业管理</w:t>
      </w:r>
      <w:bookmarkEnd w:id="68"/>
    </w:p>
    <w:p>
      <w:pPr>
        <w:pageBreakBefore w:val="0"/>
        <w:kinsoku/>
        <w:overflowPunct/>
        <w:topLinePunct w:val="0"/>
        <w:autoSpaceDE/>
        <w:autoSpaceDN/>
        <w:bidi w:val="0"/>
        <w:spacing w:line="560" w:lineRule="exact"/>
        <w:rPr>
          <w:rFonts w:hint="default"/>
          <w:lang w:val="en-US"/>
        </w:rPr>
      </w:pPr>
      <w:r>
        <w:t>完善林业有害生物防治机制，加强市</w:t>
      </w:r>
      <w:r>
        <w:rPr>
          <w:rFonts w:hint="eastAsia"/>
          <w:lang w:eastAsia="zh-CN"/>
        </w:rPr>
        <w:t>、</w:t>
      </w:r>
      <w:r>
        <w:t>县</w:t>
      </w:r>
      <w:r>
        <w:rPr>
          <w:rFonts w:hint="eastAsia"/>
          <w:lang w:eastAsia="zh-CN"/>
        </w:rPr>
        <w:t>（</w:t>
      </w:r>
      <w:r>
        <w:rPr>
          <w:rFonts w:hint="eastAsia"/>
          <w:lang w:val="en-US" w:eastAsia="zh-CN"/>
        </w:rPr>
        <w:t>市、区</w:t>
      </w:r>
      <w:r>
        <w:rPr>
          <w:rFonts w:hint="eastAsia"/>
          <w:lang w:eastAsia="zh-CN"/>
        </w:rPr>
        <w:t>）</w:t>
      </w:r>
      <w:r>
        <w:t>间松材线虫病</w:t>
      </w:r>
      <w:r>
        <w:rPr>
          <w:rFonts w:hint="eastAsia"/>
          <w:lang w:eastAsia="zh-CN"/>
        </w:rPr>
        <w:t>、</w:t>
      </w:r>
      <w:r>
        <w:rPr>
          <w:rFonts w:hint="eastAsia"/>
          <w:lang w:val="en-US" w:eastAsia="zh-CN"/>
        </w:rPr>
        <w:t>美国白蛾等林业有害生物</w:t>
      </w:r>
      <w:r>
        <w:t>防治交流与合作，</w:t>
      </w:r>
      <w:r>
        <w:rPr>
          <w:rFonts w:hint="eastAsia"/>
          <w:lang w:val="en-US" w:eastAsia="zh-CN"/>
        </w:rPr>
        <w:t>加强与农业、市场监管、气象、环保等部门合作，</w:t>
      </w:r>
      <w:r>
        <w:t>建立区域联防联控机制，着力解决毗邻地区、共管领域防治难的问题</w:t>
      </w:r>
      <w:r>
        <w:rPr>
          <w:rFonts w:hint="eastAsia"/>
          <w:lang w:eastAsia="zh-CN"/>
        </w:rPr>
        <w:t>。</w:t>
      </w:r>
    </w:p>
    <w:p>
      <w:pPr>
        <w:pStyle w:val="5"/>
        <w:pageBreakBefore w:val="0"/>
        <w:kinsoku/>
        <w:overflowPunct/>
        <w:topLinePunct w:val="0"/>
        <w:autoSpaceDE/>
        <w:autoSpaceDN/>
        <w:bidi w:val="0"/>
        <w:spacing w:line="560" w:lineRule="exact"/>
        <w:outlineLvl w:val="1"/>
        <w:rPr>
          <w:rFonts w:hint="eastAsia" w:ascii="Times New Roman" w:hAnsi="Times New Roman" w:cs="Times New Roman"/>
          <w:lang w:val="en-US" w:eastAsia="zh-CN"/>
        </w:rPr>
      </w:pPr>
      <w:bookmarkStart w:id="69" w:name="_Toc29360"/>
      <w:r>
        <w:rPr>
          <w:rFonts w:hint="eastAsia" w:ascii="Times New Roman" w:hAnsi="Times New Roman" w:cs="Times New Roman"/>
          <w:lang w:val="en-US" w:eastAsia="zh-CN"/>
        </w:rPr>
        <w:t>三、加强检疫执法</w:t>
      </w:r>
      <w:bookmarkEnd w:id="69"/>
    </w:p>
    <w:p>
      <w:pPr>
        <w:pageBreakBefore w:val="0"/>
        <w:kinsoku/>
        <w:overflowPunct/>
        <w:topLinePunct w:val="0"/>
        <w:autoSpaceDE/>
        <w:autoSpaceDN/>
        <w:bidi w:val="0"/>
        <w:spacing w:line="560" w:lineRule="exact"/>
        <w:ind w:left="0" w:leftChars="0" w:firstLine="640" w:firstLineChars="200"/>
        <w:rPr>
          <w:rFonts w:hint="default"/>
          <w:highlight w:val="none"/>
          <w:lang w:val="en-US" w:eastAsia="zh-CN"/>
        </w:rPr>
      </w:pPr>
      <w:r>
        <w:rPr>
          <w:rFonts w:hint="eastAsia"/>
          <w:highlight w:val="none"/>
          <w:lang w:val="en-US" w:eastAsia="zh-CN"/>
        </w:rPr>
        <w:t>加强产地检疫，做好松材线虫病、美国白蛾等林业有害生物寄主植物及其产品在调出疫区之前的检疫，</w:t>
      </w:r>
      <w:r>
        <w:rPr>
          <w:rFonts w:hint="default"/>
          <w:highlight w:val="none"/>
          <w:lang w:val="en-US" w:eastAsia="zh-CN"/>
        </w:rPr>
        <w:t>严格</w:t>
      </w:r>
      <w:r>
        <w:rPr>
          <w:rFonts w:hint="eastAsia"/>
          <w:highlight w:val="none"/>
          <w:lang w:val="en-US" w:eastAsia="zh-CN"/>
        </w:rPr>
        <w:t>遵循</w:t>
      </w:r>
      <w:r>
        <w:rPr>
          <w:rFonts w:hint="default"/>
          <w:highlight w:val="none"/>
          <w:lang w:val="en-US" w:eastAsia="zh-CN"/>
        </w:rPr>
        <w:t>检疫程序，及时开展除害处理。加强绿化工程调入苗木的复检，遏制林业有害生物入侵，阻断</w:t>
      </w:r>
      <w:r>
        <w:rPr>
          <w:rFonts w:hint="eastAsia"/>
          <w:highlight w:val="none"/>
          <w:lang w:val="en-US" w:eastAsia="zh-CN"/>
        </w:rPr>
        <w:t>林业</w:t>
      </w:r>
      <w:r>
        <w:rPr>
          <w:rFonts w:hint="default"/>
          <w:highlight w:val="none"/>
          <w:lang w:val="en-US" w:eastAsia="zh-CN"/>
        </w:rPr>
        <w:t>有害生物传播。</w:t>
      </w:r>
    </w:p>
    <w:p>
      <w:pPr>
        <w:pStyle w:val="5"/>
        <w:pageBreakBefore w:val="0"/>
        <w:kinsoku/>
        <w:overflowPunct/>
        <w:topLinePunct w:val="0"/>
        <w:autoSpaceDE/>
        <w:autoSpaceDN/>
        <w:bidi w:val="0"/>
        <w:spacing w:line="560" w:lineRule="exact"/>
        <w:outlineLvl w:val="1"/>
        <w:rPr>
          <w:rFonts w:hint="eastAsia" w:ascii="Times New Roman" w:hAnsi="Times New Roman" w:cs="Times New Roman"/>
          <w:lang w:val="en-US" w:eastAsia="zh-CN"/>
        </w:rPr>
      </w:pPr>
      <w:bookmarkStart w:id="70" w:name="_Toc3447"/>
      <w:r>
        <w:rPr>
          <w:rFonts w:hint="eastAsia" w:ascii="Times New Roman" w:hAnsi="Times New Roman" w:cs="Times New Roman"/>
          <w:lang w:val="en-US" w:eastAsia="zh-CN"/>
        </w:rPr>
        <w:t>四、强化队伍建设</w:t>
      </w:r>
      <w:bookmarkEnd w:id="70"/>
    </w:p>
    <w:p>
      <w:pPr>
        <w:pageBreakBefore w:val="0"/>
        <w:kinsoku/>
        <w:overflowPunct/>
        <w:topLinePunct w:val="0"/>
        <w:autoSpaceDE/>
        <w:autoSpaceDN/>
        <w:bidi w:val="0"/>
        <w:spacing w:line="560" w:lineRule="exact"/>
        <w:rPr>
          <w:rFonts w:hint="default"/>
          <w:lang w:val="en-US" w:eastAsia="zh-CN"/>
        </w:rPr>
      </w:pPr>
      <w:r>
        <w:rPr>
          <w:rFonts w:hint="eastAsia"/>
        </w:rPr>
        <w:t>明确专人负责林业有害生物防治工作，稳定防治人员队伍。</w:t>
      </w:r>
      <w:r>
        <w:rPr>
          <w:rFonts w:hint="eastAsia"/>
          <w:lang w:val="en-US" w:eastAsia="zh-CN"/>
        </w:rPr>
        <w:t>加强专业技术人员培训，利用冬春季节和防治的间歇，分级分批的对各级监测、防治员进行全面培训，提高全市林业有害生物防治业务能力。</w:t>
      </w:r>
    </w:p>
    <w:p>
      <w:pPr>
        <w:pStyle w:val="5"/>
        <w:pageBreakBefore w:val="0"/>
        <w:kinsoku/>
        <w:overflowPunct/>
        <w:topLinePunct w:val="0"/>
        <w:autoSpaceDE/>
        <w:autoSpaceDN/>
        <w:bidi w:val="0"/>
        <w:spacing w:line="560" w:lineRule="exact"/>
        <w:outlineLvl w:val="1"/>
        <w:rPr>
          <w:rFonts w:hint="eastAsia" w:ascii="Times New Roman" w:hAnsi="Times New Roman" w:cs="Times New Roman"/>
          <w:lang w:val="en-US" w:eastAsia="zh-CN"/>
        </w:rPr>
      </w:pPr>
      <w:bookmarkStart w:id="71" w:name="_Toc18667"/>
      <w:r>
        <w:rPr>
          <w:rFonts w:hint="eastAsia" w:ascii="Times New Roman" w:hAnsi="Times New Roman" w:cs="Times New Roman"/>
          <w:lang w:val="en-US" w:eastAsia="zh-CN"/>
        </w:rPr>
        <w:t>五、加大宣传力度</w:t>
      </w:r>
      <w:bookmarkEnd w:id="71"/>
    </w:p>
    <w:p>
      <w:pPr>
        <w:pageBreakBefore w:val="0"/>
        <w:kinsoku/>
        <w:overflowPunct/>
        <w:topLinePunct w:val="0"/>
        <w:autoSpaceDE/>
        <w:autoSpaceDN/>
        <w:bidi w:val="0"/>
        <w:spacing w:line="560" w:lineRule="exact"/>
        <w:ind w:firstLine="560"/>
        <w:rPr>
          <w:rFonts w:hint="eastAsia"/>
        </w:rPr>
      </w:pPr>
      <w:r>
        <w:rPr>
          <w:rFonts w:hint="default"/>
          <w:lang w:val="en-US" w:eastAsia="zh-CN"/>
        </w:rPr>
        <w:t>组织开展林业有害生物防治主题宣传</w:t>
      </w:r>
      <w:r>
        <w:rPr>
          <w:rFonts w:hint="eastAsia"/>
          <w:lang w:val="en-US" w:eastAsia="zh-CN"/>
        </w:rPr>
        <w:t>活动，</w:t>
      </w:r>
      <w:r>
        <w:rPr>
          <w:rFonts w:hint="default"/>
          <w:lang w:val="en-US" w:eastAsia="zh-CN"/>
        </w:rPr>
        <w:t>通过广播、电视、报刊、互联网等平台开展防治宣传，增强</w:t>
      </w:r>
      <w:r>
        <w:rPr>
          <w:rFonts w:hint="eastAsia"/>
          <w:lang w:val="en-US" w:eastAsia="zh-CN"/>
        </w:rPr>
        <w:t>全市人民</w:t>
      </w:r>
      <w:r>
        <w:rPr>
          <w:rFonts w:hint="default"/>
          <w:lang w:val="en-US" w:eastAsia="zh-CN"/>
        </w:rPr>
        <w:t>林业有害生物</w:t>
      </w:r>
      <w:r>
        <w:rPr>
          <w:rFonts w:hint="eastAsia"/>
          <w:lang w:val="en-US" w:eastAsia="zh-CN"/>
        </w:rPr>
        <w:t>防治</w:t>
      </w:r>
      <w:r>
        <w:rPr>
          <w:rFonts w:hint="default"/>
          <w:lang w:val="en-US" w:eastAsia="zh-CN"/>
        </w:rPr>
        <w:t>的责任感和紧迫感，</w:t>
      </w:r>
      <w:r>
        <w:rPr>
          <w:rFonts w:hint="eastAsia"/>
        </w:rPr>
        <w:t>广泛动员和积极引导社会各界关心和支持防治工作，提高防治工作的社会化水平。</w:t>
      </w:r>
    </w:p>
    <w:bookmarkEnd w:id="62"/>
    <w:bookmarkEnd w:id="63"/>
    <w:bookmarkEnd w:id="64"/>
    <w:bookmarkEnd w:id="65"/>
    <w:bookmarkEnd w:id="66"/>
    <w:bookmarkEnd w:id="67"/>
    <w:p>
      <w:pPr>
        <w:pageBreakBefore w:val="0"/>
        <w:kinsoku/>
        <w:overflowPunct/>
        <w:topLinePunct w:val="0"/>
        <w:autoSpaceDE/>
        <w:autoSpaceDN/>
        <w:bidi w:val="0"/>
        <w:spacing w:line="560" w:lineRule="exact"/>
        <w:ind w:firstLine="0" w:firstLineChars="0"/>
        <w:jc w:val="left"/>
        <w:rPr>
          <w:rFonts w:hint="eastAsia" w:eastAsia="方正仿宋简体"/>
          <w:b/>
          <w:sz w:val="28"/>
          <w:szCs w:val="24"/>
          <w:lang w:eastAsia="zh-CN"/>
        </w:rPr>
      </w:pPr>
      <w:r>
        <w:rPr>
          <w:rFonts w:hint="eastAsia"/>
        </w:rPr>
        <w:br w:type="page"/>
      </w:r>
      <w:r>
        <w:rPr>
          <w:rStyle w:val="59"/>
          <w:rFonts w:hint="eastAsia"/>
        </w:rPr>
        <w:t>附表</w:t>
      </w:r>
      <w:r>
        <w:rPr>
          <w:rStyle w:val="59"/>
          <w:rFonts w:hint="eastAsia"/>
          <w:lang w:eastAsia="zh-CN"/>
        </w:rPr>
        <w:t>：</w:t>
      </w:r>
    </w:p>
    <w:p>
      <w:pPr>
        <w:pageBreakBefore w:val="0"/>
        <w:kinsoku/>
        <w:overflowPunct/>
        <w:topLinePunct w:val="0"/>
        <w:autoSpaceDE/>
        <w:autoSpaceDN/>
        <w:bidi w:val="0"/>
        <w:spacing w:line="560" w:lineRule="exact"/>
        <w:ind w:firstLine="0" w:firstLineChars="0"/>
        <w:jc w:val="center"/>
        <w:rPr>
          <w:rFonts w:hint="eastAsia" w:ascii="方正小标宋简体" w:hAnsi="方正小标宋简体" w:eastAsia="方正小标宋简体" w:cs="方正小标宋简体"/>
          <w:b w:val="0"/>
          <w:bCs/>
          <w:sz w:val="36"/>
          <w:szCs w:val="28"/>
        </w:rPr>
      </w:pPr>
      <w:r>
        <w:rPr>
          <w:rFonts w:hint="eastAsia" w:ascii="方正小标宋简体" w:hAnsi="方正小标宋简体" w:eastAsia="方正小标宋简体" w:cs="方正小标宋简体"/>
          <w:b w:val="0"/>
          <w:bCs/>
          <w:sz w:val="36"/>
          <w:szCs w:val="32"/>
          <w:lang w:val="en-US" w:eastAsia="zh-CN"/>
        </w:rPr>
        <w:t>1.</w:t>
      </w:r>
      <w:r>
        <w:rPr>
          <w:rFonts w:hint="eastAsia" w:ascii="方正小标宋简体" w:hAnsi="方正小标宋简体" w:eastAsia="方正小标宋简体" w:cs="方正小标宋简体"/>
          <w:b w:val="0"/>
          <w:bCs/>
          <w:sz w:val="36"/>
          <w:szCs w:val="28"/>
        </w:rPr>
        <w:t>济宁市松材线虫病、美国白蛾疫区名单</w:t>
      </w:r>
    </w:p>
    <w:tbl>
      <w:tblPr>
        <w:tblStyle w:val="21"/>
        <w:tblW w:w="9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2"/>
        <w:gridCol w:w="73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16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黑体"/>
                <w:b/>
                <w:bCs/>
                <w:sz w:val="32"/>
                <w:szCs w:val="32"/>
              </w:rPr>
            </w:pPr>
            <w:r>
              <w:rPr>
                <w:rFonts w:hint="eastAsia" w:ascii="黑体" w:hAnsi="黑体" w:eastAsia="黑体" w:cs="黑体"/>
                <w:b/>
                <w:bCs/>
                <w:sz w:val="32"/>
                <w:szCs w:val="32"/>
              </w:rPr>
              <w:t>名称</w:t>
            </w:r>
          </w:p>
        </w:tc>
        <w:tc>
          <w:tcPr>
            <w:tcW w:w="73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黑体" w:hAnsi="黑体" w:eastAsia="黑体" w:cs="黑体"/>
                <w:b/>
                <w:bCs/>
                <w:sz w:val="32"/>
                <w:szCs w:val="32"/>
              </w:rPr>
            </w:pPr>
            <w:r>
              <w:rPr>
                <w:rFonts w:hint="eastAsia" w:ascii="黑体" w:hAnsi="黑体" w:eastAsia="黑体" w:cs="黑体"/>
                <w:b/>
                <w:bCs/>
                <w:sz w:val="32"/>
                <w:szCs w:val="32"/>
              </w:rPr>
              <w:t>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sz w:val="28"/>
                <w:szCs w:val="28"/>
              </w:rPr>
            </w:pPr>
            <w:r>
              <w:rPr>
                <w:rFonts w:hint="eastAsia"/>
                <w:sz w:val="28"/>
                <w:szCs w:val="28"/>
              </w:rPr>
              <w:t>松材线虫病</w:t>
            </w:r>
          </w:p>
        </w:tc>
        <w:tc>
          <w:tcPr>
            <w:tcW w:w="73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泗水县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sz w:val="28"/>
                <w:szCs w:val="28"/>
              </w:rPr>
            </w:pPr>
            <w:r>
              <w:rPr>
                <w:rFonts w:hint="eastAsia"/>
                <w:sz w:val="28"/>
                <w:szCs w:val="28"/>
              </w:rPr>
              <w:t>美国白蛾</w:t>
            </w:r>
          </w:p>
        </w:tc>
        <w:tc>
          <w:tcPr>
            <w:tcW w:w="73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eastAsia="仿宋"/>
                <w:lang w:val="en-US" w:eastAsia="zh-CN"/>
              </w:rPr>
            </w:pPr>
            <w:r>
              <w:rPr>
                <w:rFonts w:hint="eastAsia"/>
              </w:rPr>
              <w:t>任城区、兖州区、曲阜市、邹城市、微山县、鱼台县、金乡县、嘉祥县、汶上县、泗水县、梁山县</w:t>
            </w:r>
            <w:r>
              <w:rPr>
                <w:rFonts w:hint="eastAsia"/>
                <w:lang w:val="en-US" w:eastAsia="zh-CN"/>
              </w:rPr>
              <w:t>等11个行政区和济宁国家</w:t>
            </w:r>
            <w:r>
              <w:rPr>
                <w:rFonts w:hint="eastAsia"/>
              </w:rPr>
              <w:t>高新</w:t>
            </w:r>
            <w:r>
              <w:rPr>
                <w:rFonts w:hint="eastAsia"/>
                <w:lang w:val="en-US" w:eastAsia="zh-CN"/>
              </w:rPr>
              <w:t>技术产业开发</w:t>
            </w:r>
            <w:r>
              <w:rPr>
                <w:rFonts w:hint="eastAsia"/>
              </w:rPr>
              <w:t>区、</w:t>
            </w:r>
            <w:r>
              <w:rPr>
                <w:rFonts w:hint="eastAsia"/>
                <w:lang w:val="en-US" w:eastAsia="zh-CN"/>
              </w:rPr>
              <w:t>济宁</w:t>
            </w:r>
            <w:r>
              <w:rPr>
                <w:rFonts w:hint="eastAsia"/>
              </w:rPr>
              <w:t>太白湖新区、</w:t>
            </w:r>
            <w:r>
              <w:rPr>
                <w:rFonts w:hint="eastAsia"/>
                <w:lang w:val="en-US" w:eastAsia="zh-CN"/>
              </w:rPr>
              <w:t>济宁经济技术开发区等3个功能区</w:t>
            </w:r>
          </w:p>
        </w:tc>
      </w:tr>
    </w:tbl>
    <w:p>
      <w:pPr>
        <w:pageBreakBefore w:val="0"/>
        <w:kinsoku/>
        <w:overflowPunct/>
        <w:topLinePunct w:val="0"/>
        <w:autoSpaceDE/>
        <w:autoSpaceDN/>
        <w:bidi w:val="0"/>
        <w:spacing w:line="560" w:lineRule="exact"/>
        <w:ind w:firstLine="560"/>
        <w:rPr>
          <w:rFonts w:hint="eastAsia"/>
        </w:rPr>
      </w:pPr>
    </w:p>
    <w:p>
      <w:pPr>
        <w:pageBreakBefore w:val="0"/>
        <w:kinsoku/>
        <w:overflowPunct/>
        <w:topLinePunct w:val="0"/>
        <w:autoSpaceDE/>
        <w:autoSpaceDN/>
        <w:bidi w:val="0"/>
        <w:spacing w:line="560" w:lineRule="exact"/>
        <w:ind w:firstLine="0" w:firstLineChars="0"/>
        <w:jc w:val="center"/>
        <w:rPr>
          <w:rFonts w:hint="eastAsia" w:ascii="方正小标宋简体" w:hAnsi="方正小标宋简体" w:eastAsia="方正小标宋简体" w:cs="方正小标宋简体"/>
          <w:b w:val="0"/>
          <w:bCs/>
          <w:kern w:val="2"/>
          <w:sz w:val="36"/>
          <w:szCs w:val="28"/>
          <w:lang w:val="en-US" w:eastAsia="zh-CN" w:bidi="ar-SA"/>
        </w:rPr>
      </w:pPr>
      <w:r>
        <w:rPr>
          <w:rFonts w:hint="eastAsia" w:ascii="方正小标宋简体" w:hAnsi="方正小标宋简体" w:eastAsia="方正小标宋简体" w:cs="方正小标宋简体"/>
          <w:b w:val="0"/>
          <w:bCs/>
          <w:kern w:val="2"/>
          <w:sz w:val="36"/>
          <w:szCs w:val="28"/>
          <w:lang w:val="en-US" w:eastAsia="zh-CN" w:bidi="ar-SA"/>
        </w:rPr>
        <w:t>2.松材线虫病分区分级表</w:t>
      </w:r>
    </w:p>
    <w:tbl>
      <w:tblPr>
        <w:tblStyle w:val="21"/>
        <w:tblW w:w="9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2"/>
        <w:gridCol w:w="73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blHeader/>
          <w:jc w:val="center"/>
        </w:trPr>
        <w:tc>
          <w:tcPr>
            <w:tcW w:w="16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黑体"/>
                <w:b/>
                <w:bCs/>
                <w:sz w:val="32"/>
                <w:szCs w:val="32"/>
                <w:lang w:eastAsia="zh-CN"/>
              </w:rPr>
            </w:pPr>
            <w:r>
              <w:rPr>
                <w:rFonts w:hint="eastAsia" w:ascii="黑体" w:hAnsi="黑体" w:eastAsia="黑体" w:cs="黑体"/>
                <w:b/>
                <w:bCs/>
                <w:sz w:val="32"/>
                <w:szCs w:val="32"/>
                <w:lang w:val="en-US" w:eastAsia="zh-CN"/>
              </w:rPr>
              <w:t>类别</w:t>
            </w:r>
          </w:p>
        </w:tc>
        <w:tc>
          <w:tcPr>
            <w:tcW w:w="73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黑体"/>
                <w:b/>
                <w:bCs/>
                <w:sz w:val="32"/>
                <w:szCs w:val="32"/>
              </w:rPr>
            </w:pPr>
            <w:r>
              <w:rPr>
                <w:rFonts w:hint="eastAsia" w:ascii="黑体" w:hAnsi="黑体" w:eastAsia="黑体" w:cs="黑体"/>
                <w:b/>
                <w:bCs/>
                <w:sz w:val="32"/>
                <w:szCs w:val="32"/>
              </w:rPr>
              <w:t>建设任务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cs="Times New Roman"/>
                <w:sz w:val="28"/>
                <w:szCs w:val="28"/>
              </w:rPr>
            </w:pPr>
            <w:r>
              <w:rPr>
                <w:rFonts w:hint="eastAsia" w:cs="Times New Roman"/>
                <w:sz w:val="28"/>
                <w:szCs w:val="28"/>
              </w:rPr>
              <w:t>疫区</w:t>
            </w:r>
          </w:p>
        </w:tc>
        <w:tc>
          <w:tcPr>
            <w:tcW w:w="73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cs="Times New Roman"/>
                <w:sz w:val="28"/>
                <w:szCs w:val="28"/>
              </w:rPr>
            </w:pPr>
            <w:r>
              <w:rPr>
                <w:rFonts w:hint="eastAsia" w:cs="Times New Roman"/>
                <w:sz w:val="28"/>
                <w:szCs w:val="28"/>
              </w:rPr>
              <w:t>泗水县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cs="Times New Roman"/>
                <w:sz w:val="28"/>
                <w:szCs w:val="28"/>
              </w:rPr>
            </w:pPr>
            <w:r>
              <w:rPr>
                <w:rFonts w:hint="eastAsia" w:cs="Times New Roman"/>
                <w:sz w:val="28"/>
                <w:szCs w:val="28"/>
              </w:rPr>
              <w:t>重点预防区</w:t>
            </w:r>
          </w:p>
        </w:tc>
        <w:tc>
          <w:tcPr>
            <w:tcW w:w="73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cs="Times New Roman"/>
                <w:sz w:val="28"/>
                <w:szCs w:val="28"/>
              </w:rPr>
            </w:pPr>
            <w:r>
              <w:rPr>
                <w:rFonts w:hint="eastAsia" w:cs="Times New Roman"/>
                <w:sz w:val="28"/>
                <w:szCs w:val="28"/>
              </w:rPr>
              <w:t>邹城市、曲阜市、微山县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cs="Times New Roman"/>
                <w:sz w:val="28"/>
                <w:szCs w:val="28"/>
              </w:rPr>
            </w:pPr>
            <w:r>
              <w:rPr>
                <w:rFonts w:hint="eastAsia" w:cs="Times New Roman"/>
                <w:sz w:val="28"/>
                <w:szCs w:val="28"/>
              </w:rPr>
              <w:t>一般预防区</w:t>
            </w:r>
          </w:p>
        </w:tc>
        <w:tc>
          <w:tcPr>
            <w:tcW w:w="73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default" w:cs="Times New Roman"/>
                <w:sz w:val="28"/>
                <w:szCs w:val="28"/>
                <w:lang w:val="en-US"/>
              </w:rPr>
            </w:pPr>
            <w:r>
              <w:rPr>
                <w:rFonts w:hint="eastAsia" w:cs="Times New Roman"/>
                <w:sz w:val="28"/>
                <w:szCs w:val="28"/>
              </w:rPr>
              <w:t>任城区、兖州区、鱼台县、金乡县、嘉祥县、汶上县、梁山县</w:t>
            </w:r>
            <w:r>
              <w:rPr>
                <w:rFonts w:hint="eastAsia" w:cs="Times New Roman"/>
                <w:sz w:val="28"/>
                <w:szCs w:val="28"/>
                <w:lang w:val="en-US" w:eastAsia="zh-CN"/>
              </w:rPr>
              <w:t>等7个行政区和济宁国家</w:t>
            </w:r>
            <w:r>
              <w:rPr>
                <w:rFonts w:hint="eastAsia" w:cs="Times New Roman"/>
                <w:sz w:val="28"/>
                <w:szCs w:val="28"/>
              </w:rPr>
              <w:t>高新</w:t>
            </w:r>
            <w:r>
              <w:rPr>
                <w:rFonts w:hint="eastAsia" w:cs="Times New Roman"/>
                <w:sz w:val="28"/>
                <w:szCs w:val="28"/>
                <w:lang w:val="en-US" w:eastAsia="zh-CN"/>
              </w:rPr>
              <w:t>技术产业开发</w:t>
            </w:r>
            <w:r>
              <w:rPr>
                <w:rFonts w:hint="eastAsia" w:cs="Times New Roman"/>
                <w:sz w:val="28"/>
                <w:szCs w:val="28"/>
              </w:rPr>
              <w:t>区、</w:t>
            </w:r>
            <w:r>
              <w:rPr>
                <w:rFonts w:hint="eastAsia" w:cs="Times New Roman"/>
                <w:sz w:val="28"/>
                <w:szCs w:val="28"/>
                <w:lang w:val="en-US" w:eastAsia="zh-CN"/>
              </w:rPr>
              <w:t>济宁</w:t>
            </w:r>
            <w:r>
              <w:rPr>
                <w:rFonts w:hint="eastAsia" w:cs="Times New Roman"/>
                <w:sz w:val="28"/>
                <w:szCs w:val="28"/>
              </w:rPr>
              <w:t>太白湖新区、</w:t>
            </w:r>
            <w:r>
              <w:rPr>
                <w:rFonts w:hint="eastAsia" w:cs="Times New Roman"/>
                <w:sz w:val="28"/>
                <w:szCs w:val="28"/>
                <w:lang w:val="en-US" w:eastAsia="zh-CN"/>
              </w:rPr>
              <w:t>济宁经济技术开发区等3个功能区</w:t>
            </w:r>
          </w:p>
        </w:tc>
      </w:tr>
    </w:tbl>
    <w:p>
      <w:pPr>
        <w:pageBreakBefore w:val="0"/>
        <w:kinsoku/>
        <w:overflowPunct/>
        <w:topLinePunct w:val="0"/>
        <w:autoSpaceDE/>
        <w:autoSpaceDN/>
        <w:bidi w:val="0"/>
        <w:spacing w:line="560" w:lineRule="exact"/>
        <w:ind w:firstLine="560"/>
        <w:rPr>
          <w:rFonts w:hint="eastAsia"/>
        </w:rPr>
        <w:sectPr>
          <w:headerReference r:id="rId14" w:type="first"/>
          <w:footerReference r:id="rId15" w:type="first"/>
          <w:headerReference r:id="rId12" w:type="default"/>
          <w:headerReference r:id="rId13" w:type="even"/>
          <w:pgSz w:w="11906" w:h="16838"/>
          <w:pgMar w:top="2154" w:right="1474" w:bottom="2041" w:left="1587" w:header="851" w:footer="1587" w:gutter="0"/>
          <w:paperSrc/>
          <w:pgNumType w:fmt="decimal"/>
          <w:cols w:space="720" w:num="1"/>
          <w:titlePg/>
          <w:rtlGutter w:val="0"/>
          <w:docGrid w:type="lines" w:linePitch="435" w:charSpace="0"/>
        </w:sectPr>
      </w:pPr>
    </w:p>
    <w:p>
      <w:pPr>
        <w:pageBreakBefore w:val="0"/>
        <w:kinsoku/>
        <w:overflowPunct/>
        <w:topLinePunct w:val="0"/>
        <w:autoSpaceDE/>
        <w:autoSpaceDN/>
        <w:bidi w:val="0"/>
        <w:spacing w:line="560" w:lineRule="exact"/>
        <w:ind w:firstLine="0" w:firstLineChars="0"/>
        <w:jc w:val="center"/>
        <w:rPr>
          <w:rFonts w:hint="eastAsia" w:ascii="方正小标宋简体" w:hAnsi="方正小标宋简体" w:eastAsia="方正小标宋简体" w:cs="方正小标宋简体"/>
          <w:b w:val="0"/>
          <w:bCs/>
          <w:sz w:val="36"/>
          <w:szCs w:val="28"/>
        </w:rPr>
      </w:pPr>
      <w:bookmarkStart w:id="72" w:name="_Toc16525"/>
      <w:bookmarkStart w:id="73" w:name="_Toc20967"/>
      <w:bookmarkStart w:id="74" w:name="_Toc14811"/>
      <w:bookmarkStart w:id="75" w:name="_Toc25296"/>
      <w:r>
        <w:rPr>
          <w:rFonts w:hint="eastAsia" w:ascii="方正小标宋简体" w:hAnsi="方正小标宋简体" w:eastAsia="方正小标宋简体" w:cs="方正小标宋简体"/>
          <w:b w:val="0"/>
          <w:bCs/>
          <w:sz w:val="36"/>
          <w:szCs w:val="28"/>
          <w:lang w:val="en-US" w:eastAsia="zh-CN"/>
        </w:rPr>
        <w:t>3.</w:t>
      </w:r>
      <w:r>
        <w:rPr>
          <w:rFonts w:hint="eastAsia" w:ascii="方正小标宋简体" w:hAnsi="方正小标宋简体" w:eastAsia="方正小标宋简体" w:cs="方正小标宋简体"/>
          <w:b w:val="0"/>
          <w:bCs/>
          <w:sz w:val="36"/>
          <w:szCs w:val="28"/>
        </w:rPr>
        <w:t>济宁市林业有害生物防治“十四五”任务统计表</w:t>
      </w:r>
      <w:bookmarkEnd w:id="72"/>
      <w:bookmarkEnd w:id="73"/>
      <w:bookmarkEnd w:id="74"/>
      <w:bookmarkEnd w:id="75"/>
    </w:p>
    <w:tbl>
      <w:tblPr>
        <w:tblStyle w:val="21"/>
        <w:tblW w:w="13978" w:type="dxa"/>
        <w:tblInd w:w="1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2782"/>
        <w:gridCol w:w="9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trPr>
        <w:tc>
          <w:tcPr>
            <w:tcW w:w="1239" w:type="dxa"/>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ascii="黑体" w:hAnsi="黑体" w:eastAsia="黑体" w:cs="黑体"/>
                <w:b/>
                <w:bCs/>
                <w:color w:val="000000"/>
                <w:sz w:val="24"/>
                <w:szCs w:val="22"/>
              </w:rPr>
            </w:pPr>
            <w:r>
              <w:rPr>
                <w:rFonts w:hint="eastAsia" w:ascii="黑体" w:hAnsi="黑体" w:eastAsia="黑体" w:cs="黑体"/>
                <w:b/>
                <w:bCs/>
                <w:color w:val="000000"/>
                <w:kern w:val="0"/>
                <w:sz w:val="24"/>
                <w:szCs w:val="22"/>
                <w:lang w:bidi="ar"/>
              </w:rPr>
              <w:t>类型</w:t>
            </w:r>
          </w:p>
        </w:tc>
        <w:tc>
          <w:tcPr>
            <w:tcW w:w="2782" w:type="dxa"/>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ascii="黑体" w:hAnsi="黑体" w:eastAsia="黑体" w:cs="黑体"/>
                <w:b/>
                <w:bCs/>
                <w:color w:val="000000"/>
                <w:sz w:val="24"/>
                <w:szCs w:val="22"/>
              </w:rPr>
            </w:pPr>
            <w:r>
              <w:rPr>
                <w:rFonts w:hint="eastAsia" w:ascii="黑体" w:hAnsi="黑体" w:eastAsia="黑体" w:cs="黑体"/>
                <w:b/>
                <w:bCs/>
                <w:color w:val="000000"/>
                <w:kern w:val="0"/>
                <w:sz w:val="24"/>
                <w:szCs w:val="22"/>
                <w:lang w:bidi="ar"/>
              </w:rPr>
              <w:t>项目名称</w:t>
            </w:r>
          </w:p>
        </w:tc>
        <w:tc>
          <w:tcPr>
            <w:tcW w:w="9957" w:type="dxa"/>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ascii="黑体" w:hAnsi="黑体" w:eastAsia="黑体" w:cs="黑体"/>
                <w:b/>
                <w:bCs/>
                <w:color w:val="000000"/>
                <w:sz w:val="24"/>
                <w:szCs w:val="22"/>
              </w:rPr>
            </w:pPr>
            <w:r>
              <w:rPr>
                <w:rFonts w:hint="eastAsia" w:ascii="黑体" w:hAnsi="黑体" w:eastAsia="黑体" w:cs="黑体"/>
                <w:b/>
                <w:bCs/>
                <w:color w:val="000000"/>
                <w:kern w:val="0"/>
                <w:sz w:val="24"/>
                <w:szCs w:val="22"/>
                <w:lang w:bidi="ar"/>
              </w:rPr>
              <w:t>主要建设内容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239" w:type="dxa"/>
            <w:vMerge w:val="restart"/>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ascii="黑体" w:hAnsi="黑体" w:eastAsia="黑体" w:cs="黑体"/>
                <w:b/>
                <w:bCs/>
                <w:color w:val="000000"/>
                <w:kern w:val="0"/>
                <w:sz w:val="24"/>
                <w:szCs w:val="22"/>
                <w:lang w:bidi="ar"/>
              </w:rPr>
            </w:pPr>
            <w:r>
              <w:rPr>
                <w:rFonts w:hint="eastAsia" w:ascii="黑体" w:hAnsi="黑体" w:eastAsia="黑体" w:cs="黑体"/>
                <w:b/>
                <w:bCs/>
                <w:color w:val="000000"/>
                <w:kern w:val="0"/>
                <w:sz w:val="24"/>
                <w:szCs w:val="22"/>
                <w:lang w:bidi="ar"/>
              </w:rPr>
              <w:t>监测</w:t>
            </w:r>
          </w:p>
          <w:p>
            <w:pPr>
              <w:pageBreakBefore w:val="0"/>
              <w:widowControl/>
              <w:kinsoku/>
              <w:wordWrap/>
              <w:overflowPunct/>
              <w:topLinePunct w:val="0"/>
              <w:autoSpaceDE/>
              <w:autoSpaceDN/>
              <w:bidi w:val="0"/>
              <w:spacing w:line="560" w:lineRule="exact"/>
              <w:ind w:firstLine="0" w:firstLineChars="0"/>
              <w:jc w:val="center"/>
              <w:textAlignment w:val="center"/>
              <w:rPr>
                <w:rFonts w:hint="eastAsia" w:ascii="黑体" w:hAnsi="黑体" w:eastAsia="黑体" w:cs="黑体"/>
                <w:b/>
                <w:bCs/>
                <w:color w:val="000000"/>
                <w:kern w:val="0"/>
                <w:sz w:val="24"/>
                <w:szCs w:val="22"/>
                <w:lang w:bidi="ar"/>
              </w:rPr>
            </w:pPr>
            <w:r>
              <w:rPr>
                <w:rFonts w:hint="eastAsia" w:ascii="黑体" w:hAnsi="黑体" w:eastAsia="黑体" w:cs="黑体"/>
                <w:b/>
                <w:bCs/>
                <w:color w:val="000000"/>
                <w:kern w:val="0"/>
                <w:sz w:val="24"/>
                <w:szCs w:val="22"/>
                <w:lang w:bidi="ar"/>
              </w:rPr>
              <w:t>预警</w:t>
            </w:r>
          </w:p>
          <w:p>
            <w:pPr>
              <w:pageBreakBefore w:val="0"/>
              <w:widowControl/>
              <w:kinsoku/>
              <w:wordWrap/>
              <w:overflowPunct/>
              <w:topLinePunct w:val="0"/>
              <w:autoSpaceDE/>
              <w:autoSpaceDN/>
              <w:bidi w:val="0"/>
              <w:spacing w:line="560" w:lineRule="exact"/>
              <w:ind w:firstLine="0" w:firstLineChars="0"/>
              <w:jc w:val="center"/>
              <w:textAlignment w:val="center"/>
              <w:rPr>
                <w:rFonts w:hint="eastAsia" w:ascii="黑体" w:hAnsi="黑体" w:eastAsia="黑体" w:cs="黑体"/>
              </w:rPr>
            </w:pPr>
            <w:r>
              <w:rPr>
                <w:rFonts w:hint="eastAsia" w:ascii="黑体" w:hAnsi="黑体" w:eastAsia="黑体" w:cs="黑体"/>
                <w:b/>
                <w:bCs/>
                <w:color w:val="000000"/>
                <w:kern w:val="0"/>
                <w:sz w:val="24"/>
                <w:szCs w:val="22"/>
                <w:lang w:bidi="ar"/>
              </w:rPr>
              <w:t>体系</w:t>
            </w:r>
          </w:p>
        </w:tc>
        <w:tc>
          <w:tcPr>
            <w:tcW w:w="2782" w:type="dxa"/>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cs="宋体"/>
                <w:color w:val="000000"/>
                <w:kern w:val="0"/>
                <w:sz w:val="24"/>
                <w:szCs w:val="22"/>
                <w:lang w:bidi="ar"/>
              </w:rPr>
            </w:pPr>
            <w:r>
              <w:rPr>
                <w:rFonts w:hint="eastAsia" w:cs="宋体"/>
                <w:color w:val="000000"/>
                <w:kern w:val="0"/>
                <w:sz w:val="24"/>
                <w:szCs w:val="22"/>
                <w:lang w:bidi="ar"/>
              </w:rPr>
              <w:t>监测预警系统</w:t>
            </w:r>
          </w:p>
        </w:tc>
        <w:tc>
          <w:tcPr>
            <w:tcW w:w="9957" w:type="dxa"/>
            <w:noWrap w:val="0"/>
            <w:vAlign w:val="center"/>
          </w:tcPr>
          <w:p>
            <w:pPr>
              <w:pStyle w:val="10"/>
              <w:pageBreakBefore w:val="0"/>
              <w:kinsoku/>
              <w:wordWrap/>
              <w:overflowPunct/>
              <w:topLinePunct w:val="0"/>
              <w:autoSpaceDE/>
              <w:autoSpaceDN/>
              <w:bidi w:val="0"/>
              <w:spacing w:line="560" w:lineRule="exact"/>
              <w:ind w:left="0" w:leftChars="0" w:firstLine="0" w:firstLineChars="0"/>
            </w:pPr>
            <w:r>
              <w:rPr>
                <w:rFonts w:hint="eastAsia"/>
              </w:rPr>
              <w:t>完善泗水县、曲阜市、邹城市的监测预警系统，增加监测设备和监测点，实现以松材线虫病为重点监测对象的全面、及时、准确监测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9" w:type="dxa"/>
            <w:vMerge w:val="continue"/>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ascii="黑体" w:hAnsi="黑体" w:eastAsia="黑体" w:cs="黑体"/>
                <w:b/>
                <w:bCs/>
                <w:color w:val="000000"/>
                <w:kern w:val="0"/>
                <w:sz w:val="24"/>
                <w:szCs w:val="22"/>
                <w:lang w:bidi="ar"/>
              </w:rPr>
            </w:pPr>
          </w:p>
        </w:tc>
        <w:tc>
          <w:tcPr>
            <w:tcW w:w="2782" w:type="dxa"/>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cs="宋体"/>
                <w:color w:val="000000"/>
                <w:kern w:val="0"/>
                <w:sz w:val="24"/>
                <w:szCs w:val="22"/>
                <w:lang w:bidi="ar"/>
              </w:rPr>
            </w:pPr>
            <w:r>
              <w:rPr>
                <w:rFonts w:hint="eastAsia" w:cs="宋体"/>
                <w:color w:val="000000"/>
                <w:kern w:val="0"/>
                <w:sz w:val="24"/>
                <w:szCs w:val="22"/>
                <w:lang w:bidi="ar"/>
              </w:rPr>
              <w:t>数据采集与传输系统</w:t>
            </w:r>
          </w:p>
        </w:tc>
        <w:tc>
          <w:tcPr>
            <w:tcW w:w="9957" w:type="dxa"/>
            <w:noWrap w:val="0"/>
            <w:vAlign w:val="center"/>
          </w:tcPr>
          <w:p>
            <w:pPr>
              <w:pStyle w:val="10"/>
              <w:pageBreakBefore w:val="0"/>
              <w:kinsoku/>
              <w:wordWrap/>
              <w:overflowPunct/>
              <w:topLinePunct w:val="0"/>
              <w:autoSpaceDE/>
              <w:autoSpaceDN/>
              <w:bidi w:val="0"/>
              <w:spacing w:line="560" w:lineRule="exact"/>
              <w:ind w:left="0" w:leftChars="0" w:firstLine="0" w:firstLineChars="0"/>
              <w:rPr>
                <w:rFonts w:hint="eastAsia"/>
                <w:sz w:val="24"/>
                <w:highlight w:val="none"/>
              </w:rPr>
            </w:pPr>
            <w:r>
              <w:rPr>
                <w:rFonts w:hint="eastAsia"/>
              </w:rPr>
              <w:t>①国家级监测点：</w:t>
            </w:r>
            <w:r>
              <w:rPr>
                <w:rFonts w:hint="eastAsia"/>
                <w:sz w:val="24"/>
                <w:highlight w:val="none"/>
              </w:rPr>
              <w:t>完善</w:t>
            </w:r>
            <w:r>
              <w:rPr>
                <w:rFonts w:hint="eastAsia"/>
                <w:sz w:val="24"/>
                <w:highlight w:val="none"/>
                <w:lang w:val="en-US" w:eastAsia="zh-CN"/>
              </w:rPr>
              <w:t>测报灯、诱捕器</w:t>
            </w:r>
            <w:r>
              <w:rPr>
                <w:rFonts w:hint="eastAsia"/>
                <w:sz w:val="24"/>
                <w:highlight w:val="none"/>
              </w:rPr>
              <w:t>等监测设备，增加专（兼）职测报人员</w:t>
            </w:r>
          </w:p>
          <w:p>
            <w:pPr>
              <w:pStyle w:val="10"/>
              <w:pageBreakBefore w:val="0"/>
              <w:kinsoku/>
              <w:wordWrap/>
              <w:overflowPunct/>
              <w:topLinePunct w:val="0"/>
              <w:autoSpaceDE/>
              <w:autoSpaceDN/>
              <w:bidi w:val="0"/>
              <w:spacing w:line="560" w:lineRule="exact"/>
              <w:ind w:left="0" w:leftChars="0" w:firstLine="0" w:firstLineChars="0"/>
              <w:rPr>
                <w:rFonts w:hint="eastAsia"/>
              </w:rPr>
            </w:pPr>
            <w:r>
              <w:rPr>
                <w:rFonts w:hint="eastAsia"/>
              </w:rPr>
              <w:t>②省级监测点：配置监测工具箱、测报灯、诱捕器等监测设备，增加临时监测点数量，增加专（兼）职测报人员</w:t>
            </w:r>
          </w:p>
          <w:p>
            <w:pPr>
              <w:pStyle w:val="10"/>
              <w:pageBreakBefore w:val="0"/>
              <w:kinsoku/>
              <w:wordWrap/>
              <w:overflowPunct/>
              <w:topLinePunct w:val="0"/>
              <w:autoSpaceDE/>
              <w:autoSpaceDN/>
              <w:bidi w:val="0"/>
              <w:spacing w:line="560" w:lineRule="exact"/>
              <w:ind w:left="0" w:leftChars="0" w:firstLine="0" w:firstLineChars="0"/>
            </w:pPr>
            <w:r>
              <w:rPr>
                <w:rFonts w:hint="eastAsia"/>
              </w:rPr>
              <w:t>③基层监测点：新建</w:t>
            </w:r>
            <w:r>
              <w:t>监测站点</w:t>
            </w:r>
            <w:r>
              <w:rPr>
                <w:rFonts w:hint="eastAsia" w:ascii="方正仿宋简体" w:hAnsi="方正仿宋简体" w:eastAsia="方正仿宋简体" w:cs="方正仿宋简体"/>
                <w:lang w:val="en-US" w:eastAsia="zh-CN"/>
              </w:rPr>
              <w:t>264</w:t>
            </w:r>
            <w:r>
              <w:rPr>
                <w:rFonts w:hint="eastAsia" w:ascii="方正仿宋简体" w:hAnsi="方正仿宋简体" w:eastAsia="方正仿宋简体" w:cs="方正仿宋简体"/>
              </w:rPr>
              <w:t>处，更新调查</w:t>
            </w:r>
            <w:r>
              <w:rPr>
                <w:rFonts w:hint="eastAsia"/>
              </w:rPr>
              <w:t>数据采集及处理设备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9" w:type="dxa"/>
            <w:vMerge w:val="restart"/>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ascii="黑体" w:hAnsi="黑体" w:eastAsia="黑体" w:cs="黑体"/>
                <w:b/>
                <w:bCs/>
                <w:color w:val="000000"/>
                <w:kern w:val="0"/>
                <w:sz w:val="24"/>
                <w:szCs w:val="22"/>
                <w:lang w:bidi="ar"/>
              </w:rPr>
            </w:pPr>
            <w:r>
              <w:rPr>
                <w:rFonts w:hint="eastAsia" w:ascii="黑体" w:hAnsi="黑体" w:eastAsia="黑体" w:cs="黑体"/>
                <w:b/>
                <w:bCs/>
                <w:color w:val="000000"/>
                <w:kern w:val="0"/>
                <w:sz w:val="24"/>
                <w:szCs w:val="22"/>
                <w:lang w:bidi="ar"/>
              </w:rPr>
              <w:t>检疫</w:t>
            </w:r>
          </w:p>
          <w:p>
            <w:pPr>
              <w:pageBreakBefore w:val="0"/>
              <w:widowControl/>
              <w:kinsoku/>
              <w:wordWrap/>
              <w:overflowPunct/>
              <w:topLinePunct w:val="0"/>
              <w:autoSpaceDE/>
              <w:autoSpaceDN/>
              <w:bidi w:val="0"/>
              <w:spacing w:line="560" w:lineRule="exact"/>
              <w:ind w:firstLine="0" w:firstLineChars="0"/>
              <w:jc w:val="center"/>
              <w:textAlignment w:val="center"/>
              <w:rPr>
                <w:rFonts w:hint="eastAsia" w:ascii="黑体" w:hAnsi="黑体" w:eastAsia="黑体" w:cs="黑体"/>
                <w:b/>
                <w:bCs/>
                <w:color w:val="000000"/>
                <w:kern w:val="0"/>
                <w:sz w:val="24"/>
                <w:szCs w:val="22"/>
                <w:lang w:bidi="ar"/>
              </w:rPr>
            </w:pPr>
            <w:r>
              <w:rPr>
                <w:rFonts w:hint="eastAsia" w:ascii="黑体" w:hAnsi="黑体" w:eastAsia="黑体" w:cs="黑体"/>
                <w:b/>
                <w:bCs/>
                <w:color w:val="000000"/>
                <w:kern w:val="0"/>
                <w:sz w:val="24"/>
                <w:szCs w:val="22"/>
                <w:lang w:bidi="ar"/>
              </w:rPr>
              <w:t>御灾</w:t>
            </w:r>
          </w:p>
          <w:p>
            <w:pPr>
              <w:pageBreakBefore w:val="0"/>
              <w:widowControl/>
              <w:kinsoku/>
              <w:wordWrap/>
              <w:overflowPunct/>
              <w:topLinePunct w:val="0"/>
              <w:autoSpaceDE/>
              <w:autoSpaceDN/>
              <w:bidi w:val="0"/>
              <w:spacing w:line="560" w:lineRule="exact"/>
              <w:ind w:firstLine="0" w:firstLineChars="0"/>
              <w:jc w:val="center"/>
              <w:textAlignment w:val="center"/>
              <w:rPr>
                <w:rFonts w:hint="eastAsia" w:ascii="黑体" w:hAnsi="黑体" w:eastAsia="黑体" w:cs="黑体"/>
                <w:b/>
                <w:bCs/>
                <w:color w:val="000000"/>
                <w:sz w:val="24"/>
                <w:szCs w:val="22"/>
              </w:rPr>
            </w:pPr>
            <w:r>
              <w:rPr>
                <w:rFonts w:hint="eastAsia" w:ascii="黑体" w:hAnsi="黑体" w:eastAsia="黑体" w:cs="黑体"/>
                <w:b/>
                <w:bCs/>
                <w:color w:val="000000"/>
                <w:kern w:val="0"/>
                <w:sz w:val="24"/>
                <w:szCs w:val="22"/>
                <w:lang w:bidi="ar"/>
              </w:rPr>
              <w:t>体系</w:t>
            </w:r>
          </w:p>
        </w:tc>
        <w:tc>
          <w:tcPr>
            <w:tcW w:w="2782" w:type="dxa"/>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cs="宋体"/>
                <w:color w:val="000000"/>
                <w:sz w:val="24"/>
                <w:szCs w:val="22"/>
              </w:rPr>
            </w:pPr>
            <w:r>
              <w:rPr>
                <w:rFonts w:hint="eastAsia" w:cs="宋体"/>
                <w:color w:val="000000"/>
                <w:sz w:val="24"/>
                <w:szCs w:val="22"/>
              </w:rPr>
              <w:t>林业植物检疫</w:t>
            </w:r>
          </w:p>
        </w:tc>
        <w:tc>
          <w:tcPr>
            <w:tcW w:w="9957" w:type="dxa"/>
            <w:noWrap w:val="0"/>
            <w:vAlign w:val="center"/>
          </w:tcPr>
          <w:p>
            <w:pPr>
              <w:pStyle w:val="10"/>
              <w:pageBreakBefore w:val="0"/>
              <w:kinsoku/>
              <w:wordWrap/>
              <w:overflowPunct/>
              <w:topLinePunct w:val="0"/>
              <w:autoSpaceDE/>
              <w:autoSpaceDN/>
              <w:bidi w:val="0"/>
              <w:spacing w:line="560" w:lineRule="exact"/>
              <w:ind w:left="0" w:leftChars="0" w:firstLine="0" w:firstLineChars="0"/>
              <w:rPr>
                <w:rFonts w:hint="eastAsia"/>
              </w:rPr>
            </w:pPr>
            <w:r>
              <w:rPr>
                <w:rFonts w:hint="eastAsia"/>
              </w:rPr>
              <w:t>调整临时植物检疫检查</w:t>
            </w:r>
            <w:r>
              <w:rPr>
                <w:rFonts w:hint="eastAsia"/>
                <w:lang w:val="en-US" w:eastAsia="zh-CN"/>
              </w:rPr>
              <w:t>卡口</w:t>
            </w:r>
            <w:r>
              <w:rPr>
                <w:rFonts w:hint="eastAsia"/>
              </w:rPr>
              <w:t>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9" w:type="dxa"/>
            <w:vMerge w:val="continue"/>
            <w:noWrap w:val="0"/>
            <w:vAlign w:val="center"/>
          </w:tcPr>
          <w:p>
            <w:pPr>
              <w:pageBreakBefore w:val="0"/>
              <w:widowControl/>
              <w:kinsoku/>
              <w:wordWrap/>
              <w:overflowPunct/>
              <w:topLinePunct w:val="0"/>
              <w:autoSpaceDE/>
              <w:autoSpaceDN/>
              <w:bidi w:val="0"/>
              <w:spacing w:line="560" w:lineRule="exact"/>
              <w:ind w:firstLine="0" w:firstLineChars="0"/>
              <w:jc w:val="center"/>
              <w:rPr>
                <w:rFonts w:hint="eastAsia" w:ascii="黑体" w:hAnsi="黑体" w:eastAsia="黑体" w:cs="黑体"/>
                <w:b/>
                <w:bCs/>
                <w:color w:val="000000"/>
                <w:sz w:val="24"/>
                <w:szCs w:val="22"/>
              </w:rPr>
            </w:pPr>
          </w:p>
        </w:tc>
        <w:tc>
          <w:tcPr>
            <w:tcW w:w="2782" w:type="dxa"/>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cs="宋体"/>
                <w:color w:val="000000"/>
                <w:sz w:val="24"/>
                <w:szCs w:val="22"/>
              </w:rPr>
            </w:pPr>
            <w:r>
              <w:rPr>
                <w:rFonts w:hint="eastAsia" w:cs="宋体"/>
                <w:color w:val="000000"/>
                <w:sz w:val="24"/>
                <w:szCs w:val="22"/>
              </w:rPr>
              <w:t>检疫鉴定实验室</w:t>
            </w:r>
          </w:p>
        </w:tc>
        <w:tc>
          <w:tcPr>
            <w:tcW w:w="9957" w:type="dxa"/>
            <w:noWrap w:val="0"/>
            <w:vAlign w:val="center"/>
          </w:tcPr>
          <w:p>
            <w:pPr>
              <w:pStyle w:val="10"/>
              <w:pageBreakBefore w:val="0"/>
              <w:kinsoku/>
              <w:wordWrap/>
              <w:overflowPunct/>
              <w:topLinePunct w:val="0"/>
              <w:autoSpaceDE/>
              <w:autoSpaceDN/>
              <w:bidi w:val="0"/>
              <w:spacing w:line="560" w:lineRule="exact"/>
              <w:ind w:left="0" w:leftChars="0" w:firstLine="0" w:firstLineChars="0"/>
              <w:rPr>
                <w:rFonts w:hint="eastAsia"/>
              </w:rPr>
            </w:pPr>
            <w:r>
              <w:rPr>
                <w:rFonts w:hint="eastAsia"/>
              </w:rPr>
              <w:t>完善</w:t>
            </w:r>
            <w:r>
              <w:rPr>
                <w:rFonts w:hint="eastAsia"/>
                <w:lang w:val="en-US" w:eastAsia="zh-CN"/>
              </w:rPr>
              <w:t>任城区、兖州区、曲阜市、泗水县、邹城市、鱼台县、汶上县、梁山县</w:t>
            </w:r>
            <w:r>
              <w:rPr>
                <w:rFonts w:hint="eastAsia"/>
              </w:rPr>
              <w:t>等8处检疫鉴定实验室建设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9" w:type="dxa"/>
            <w:vMerge w:val="continue"/>
            <w:noWrap w:val="0"/>
            <w:vAlign w:val="center"/>
          </w:tcPr>
          <w:p>
            <w:pPr>
              <w:pageBreakBefore w:val="0"/>
              <w:widowControl/>
              <w:kinsoku/>
              <w:wordWrap/>
              <w:overflowPunct/>
              <w:topLinePunct w:val="0"/>
              <w:autoSpaceDE/>
              <w:autoSpaceDN/>
              <w:bidi w:val="0"/>
              <w:spacing w:line="560" w:lineRule="exact"/>
              <w:ind w:firstLine="0" w:firstLineChars="0"/>
              <w:jc w:val="center"/>
              <w:rPr>
                <w:rFonts w:hint="eastAsia" w:ascii="黑体" w:hAnsi="黑体" w:eastAsia="黑体" w:cs="黑体"/>
                <w:b/>
                <w:bCs/>
                <w:color w:val="000000"/>
                <w:sz w:val="24"/>
                <w:szCs w:val="22"/>
              </w:rPr>
            </w:pPr>
          </w:p>
        </w:tc>
        <w:tc>
          <w:tcPr>
            <w:tcW w:w="2782" w:type="dxa"/>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cs="宋体"/>
                <w:color w:val="000000"/>
                <w:sz w:val="24"/>
                <w:szCs w:val="22"/>
              </w:rPr>
            </w:pPr>
            <w:r>
              <w:rPr>
                <w:rFonts w:hint="eastAsia" w:cs="宋体"/>
                <w:color w:val="000000"/>
                <w:sz w:val="24"/>
                <w:szCs w:val="22"/>
              </w:rPr>
              <w:t>检疫执法装备</w:t>
            </w:r>
          </w:p>
        </w:tc>
        <w:tc>
          <w:tcPr>
            <w:tcW w:w="9957" w:type="dxa"/>
            <w:noWrap w:val="0"/>
            <w:vAlign w:val="center"/>
          </w:tcPr>
          <w:p>
            <w:pPr>
              <w:pStyle w:val="10"/>
              <w:pageBreakBefore w:val="0"/>
              <w:kinsoku/>
              <w:wordWrap/>
              <w:overflowPunct/>
              <w:topLinePunct w:val="0"/>
              <w:autoSpaceDE/>
              <w:autoSpaceDN/>
              <w:bidi w:val="0"/>
              <w:spacing w:line="560" w:lineRule="exact"/>
              <w:ind w:left="0" w:leftChars="0" w:firstLine="0" w:firstLineChars="0"/>
              <w:rPr>
                <w:rFonts w:hint="eastAsia"/>
              </w:rPr>
            </w:pPr>
            <w:r>
              <w:rPr>
                <w:rFonts w:hint="eastAsia"/>
              </w:rPr>
              <w:t>配备专用检疫工具箱、检疫制服等装备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9" w:type="dxa"/>
            <w:vMerge w:val="continue"/>
            <w:noWrap w:val="0"/>
            <w:vAlign w:val="center"/>
          </w:tcPr>
          <w:p>
            <w:pPr>
              <w:pageBreakBefore w:val="0"/>
              <w:widowControl/>
              <w:kinsoku/>
              <w:wordWrap/>
              <w:overflowPunct/>
              <w:topLinePunct w:val="0"/>
              <w:autoSpaceDE/>
              <w:autoSpaceDN/>
              <w:bidi w:val="0"/>
              <w:spacing w:line="560" w:lineRule="exact"/>
              <w:ind w:firstLine="0" w:firstLineChars="0"/>
              <w:jc w:val="center"/>
              <w:rPr>
                <w:rFonts w:hint="eastAsia" w:ascii="黑体" w:hAnsi="黑体" w:eastAsia="黑体" w:cs="黑体"/>
                <w:b/>
                <w:bCs/>
                <w:color w:val="000000"/>
                <w:sz w:val="24"/>
                <w:szCs w:val="22"/>
              </w:rPr>
            </w:pPr>
          </w:p>
        </w:tc>
        <w:tc>
          <w:tcPr>
            <w:tcW w:w="2782" w:type="dxa"/>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cs="宋体"/>
                <w:color w:val="000000"/>
                <w:sz w:val="24"/>
                <w:szCs w:val="22"/>
              </w:rPr>
            </w:pPr>
            <w:r>
              <w:rPr>
                <w:rFonts w:hint="eastAsia" w:cs="宋体"/>
                <w:color w:val="000000"/>
                <w:sz w:val="24"/>
                <w:szCs w:val="22"/>
              </w:rPr>
              <w:t>检疫除害处理设施设备</w:t>
            </w:r>
          </w:p>
        </w:tc>
        <w:tc>
          <w:tcPr>
            <w:tcW w:w="9957" w:type="dxa"/>
            <w:noWrap w:val="0"/>
            <w:vAlign w:val="center"/>
          </w:tcPr>
          <w:p>
            <w:pPr>
              <w:pStyle w:val="10"/>
              <w:pageBreakBefore w:val="0"/>
              <w:kinsoku/>
              <w:wordWrap/>
              <w:overflowPunct/>
              <w:topLinePunct w:val="0"/>
              <w:autoSpaceDE/>
              <w:autoSpaceDN/>
              <w:bidi w:val="0"/>
              <w:spacing w:line="560" w:lineRule="exact"/>
              <w:ind w:left="0" w:leftChars="0" w:firstLine="0" w:firstLineChars="0"/>
              <w:rPr>
                <w:rFonts w:hint="eastAsia"/>
              </w:rPr>
            </w:pPr>
            <w:r>
              <w:rPr>
                <w:rFonts w:hint="eastAsia"/>
                <w:lang w:val="en-US" w:eastAsia="zh-CN"/>
              </w:rPr>
              <w:t>①</w:t>
            </w:r>
            <w:r>
              <w:rPr>
                <w:rFonts w:hint="eastAsia"/>
              </w:rPr>
              <w:t>曲阜市、泗水县、邹城市：购买木材粉碎机、树枝粉碎机</w:t>
            </w:r>
          </w:p>
          <w:p>
            <w:pPr>
              <w:pStyle w:val="10"/>
              <w:pageBreakBefore w:val="0"/>
              <w:kinsoku/>
              <w:wordWrap/>
              <w:overflowPunct/>
              <w:topLinePunct w:val="0"/>
              <w:autoSpaceDE/>
              <w:autoSpaceDN/>
              <w:bidi w:val="0"/>
              <w:spacing w:line="560" w:lineRule="exact"/>
              <w:ind w:left="0" w:leftChars="0" w:firstLine="0" w:firstLineChars="0"/>
              <w:rPr>
                <w:rFonts w:hint="default"/>
                <w:lang w:val="en-US" w:eastAsia="zh-CN"/>
              </w:rPr>
            </w:pPr>
            <w:r>
              <w:rPr>
                <w:rFonts w:hint="eastAsia"/>
                <w:lang w:val="en-US" w:eastAsia="zh-CN"/>
              </w:rPr>
              <w:t>②梁山县、任城区：</w:t>
            </w:r>
            <w:r>
              <w:rPr>
                <w:rFonts w:hint="eastAsia" w:ascii="方正仿宋简体" w:hAnsi="方正仿宋简体" w:eastAsia="方正仿宋简体" w:cs="方正仿宋简体"/>
                <w:lang w:val="en-US" w:eastAsia="zh-CN"/>
              </w:rPr>
              <w:t>喷药机1台；烟雾机1台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6" w:hRule="atLeast"/>
        </w:trPr>
        <w:tc>
          <w:tcPr>
            <w:tcW w:w="1239" w:type="dxa"/>
            <w:vMerge w:val="restart"/>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ascii="黑体" w:hAnsi="黑体" w:eastAsia="黑体" w:cs="黑体"/>
                <w:b/>
                <w:bCs/>
                <w:color w:val="000000"/>
                <w:kern w:val="0"/>
                <w:sz w:val="24"/>
                <w:szCs w:val="22"/>
                <w:lang w:bidi="ar"/>
              </w:rPr>
            </w:pPr>
            <w:r>
              <w:rPr>
                <w:rFonts w:hint="eastAsia" w:ascii="黑体" w:hAnsi="黑体" w:eastAsia="黑体" w:cs="黑体"/>
                <w:b/>
                <w:bCs/>
                <w:color w:val="000000"/>
                <w:kern w:val="0"/>
                <w:sz w:val="24"/>
                <w:szCs w:val="22"/>
                <w:lang w:bidi="ar"/>
              </w:rPr>
              <w:t>防治</w:t>
            </w:r>
          </w:p>
          <w:p>
            <w:pPr>
              <w:pageBreakBefore w:val="0"/>
              <w:widowControl/>
              <w:kinsoku/>
              <w:wordWrap/>
              <w:overflowPunct/>
              <w:topLinePunct w:val="0"/>
              <w:autoSpaceDE/>
              <w:autoSpaceDN/>
              <w:bidi w:val="0"/>
              <w:spacing w:line="560" w:lineRule="exact"/>
              <w:ind w:firstLine="0" w:firstLineChars="0"/>
              <w:jc w:val="center"/>
              <w:textAlignment w:val="center"/>
              <w:rPr>
                <w:rFonts w:hint="eastAsia" w:ascii="黑体" w:hAnsi="黑体" w:eastAsia="黑体" w:cs="黑体"/>
                <w:b/>
                <w:bCs/>
                <w:color w:val="000000"/>
                <w:kern w:val="0"/>
                <w:sz w:val="24"/>
                <w:szCs w:val="22"/>
                <w:lang w:bidi="ar"/>
              </w:rPr>
            </w:pPr>
            <w:r>
              <w:rPr>
                <w:rFonts w:hint="eastAsia" w:ascii="黑体" w:hAnsi="黑体" w:eastAsia="黑体" w:cs="黑体"/>
                <w:b/>
                <w:bCs/>
                <w:color w:val="000000"/>
                <w:kern w:val="0"/>
                <w:sz w:val="24"/>
                <w:szCs w:val="22"/>
                <w:lang w:bidi="ar"/>
              </w:rPr>
              <w:t>减灾</w:t>
            </w:r>
          </w:p>
          <w:p>
            <w:pPr>
              <w:pageBreakBefore w:val="0"/>
              <w:widowControl/>
              <w:kinsoku/>
              <w:wordWrap/>
              <w:overflowPunct/>
              <w:topLinePunct w:val="0"/>
              <w:autoSpaceDE/>
              <w:autoSpaceDN/>
              <w:bidi w:val="0"/>
              <w:spacing w:line="560" w:lineRule="exact"/>
              <w:ind w:firstLine="0" w:firstLineChars="0"/>
              <w:jc w:val="center"/>
              <w:textAlignment w:val="center"/>
              <w:rPr>
                <w:rFonts w:hint="eastAsia" w:ascii="黑体" w:hAnsi="黑体" w:eastAsia="黑体" w:cs="黑体"/>
                <w:b/>
                <w:bCs/>
                <w:color w:val="000000"/>
                <w:sz w:val="24"/>
                <w:szCs w:val="22"/>
              </w:rPr>
            </w:pPr>
            <w:r>
              <w:rPr>
                <w:rFonts w:hint="eastAsia" w:ascii="黑体" w:hAnsi="黑体" w:eastAsia="黑体" w:cs="黑体"/>
                <w:b/>
                <w:bCs/>
                <w:color w:val="000000"/>
                <w:kern w:val="0"/>
                <w:sz w:val="24"/>
                <w:szCs w:val="22"/>
                <w:lang w:bidi="ar"/>
              </w:rPr>
              <w:t>体系</w:t>
            </w:r>
          </w:p>
        </w:tc>
        <w:tc>
          <w:tcPr>
            <w:tcW w:w="2782" w:type="dxa"/>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cs="宋体"/>
                <w:color w:val="000000"/>
                <w:sz w:val="24"/>
                <w:szCs w:val="22"/>
              </w:rPr>
            </w:pPr>
            <w:r>
              <w:rPr>
                <w:rFonts w:hint="eastAsia" w:cs="宋体"/>
                <w:color w:val="000000"/>
                <w:sz w:val="24"/>
                <w:szCs w:val="22"/>
              </w:rPr>
              <w:t>应急防治物资储备库</w:t>
            </w:r>
          </w:p>
        </w:tc>
        <w:tc>
          <w:tcPr>
            <w:tcW w:w="9957" w:type="dxa"/>
            <w:noWrap w:val="0"/>
            <w:vAlign w:val="center"/>
          </w:tcPr>
          <w:p>
            <w:pPr>
              <w:pStyle w:val="10"/>
              <w:pageBreakBefore w:val="0"/>
              <w:kinsoku/>
              <w:wordWrap/>
              <w:overflowPunct/>
              <w:topLinePunct w:val="0"/>
              <w:autoSpaceDE/>
              <w:autoSpaceDN/>
              <w:bidi w:val="0"/>
              <w:spacing w:line="560" w:lineRule="exact"/>
              <w:ind w:left="0" w:leftChars="0" w:firstLine="0" w:firstLineChars="0"/>
              <w:jc w:val="left"/>
              <w:rPr>
                <w:rFonts w:hint="eastAsia"/>
              </w:rPr>
            </w:pPr>
            <w:r>
              <w:rPr>
                <w:rFonts w:hint="eastAsia"/>
              </w:rPr>
              <w:t>①市级：更新市级储备库老旧装备</w:t>
            </w:r>
          </w:p>
          <w:p>
            <w:pPr>
              <w:pStyle w:val="10"/>
              <w:pageBreakBefore w:val="0"/>
              <w:kinsoku/>
              <w:wordWrap/>
              <w:overflowPunct/>
              <w:topLinePunct w:val="0"/>
              <w:autoSpaceDE/>
              <w:autoSpaceDN/>
              <w:bidi w:val="0"/>
              <w:spacing w:line="560" w:lineRule="exact"/>
              <w:ind w:left="0" w:leftChars="0" w:firstLine="0" w:firstLineChars="0"/>
              <w:jc w:val="left"/>
            </w:pPr>
            <w:r>
              <w:rPr>
                <w:rFonts w:hint="eastAsia"/>
              </w:rPr>
              <w:t>②县级：</w:t>
            </w:r>
            <w:r>
              <w:rPr>
                <w:rFonts w:hint="eastAsia"/>
                <w:lang w:val="en-US" w:eastAsia="zh-CN"/>
              </w:rPr>
              <w:t>完善</w:t>
            </w:r>
            <w:r>
              <w:rPr>
                <w:rFonts w:hint="eastAsia"/>
              </w:rPr>
              <w:t>全</w:t>
            </w:r>
            <w:r>
              <w:rPr>
                <w:rFonts w:hint="eastAsia" w:ascii="方正仿宋简体" w:hAnsi="方正仿宋简体" w:eastAsia="方正仿宋简体" w:cs="方正仿宋简体"/>
              </w:rPr>
              <w:t>市14处县级储</w:t>
            </w:r>
            <w:r>
              <w:rPr>
                <w:rFonts w:hint="eastAsia"/>
              </w:rPr>
              <w:t>备库，储备喷雾（粉、烟）机、杀虫灯、诱捕器（诱芯）、高枝剪等应急防治器械和物资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9" w:type="dxa"/>
            <w:vMerge w:val="continue"/>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ascii="黑体" w:hAnsi="黑体" w:eastAsia="黑体" w:cs="黑体"/>
                <w:b/>
                <w:bCs/>
                <w:color w:val="000000"/>
                <w:kern w:val="0"/>
                <w:sz w:val="24"/>
                <w:szCs w:val="22"/>
                <w:lang w:bidi="ar"/>
              </w:rPr>
            </w:pPr>
          </w:p>
        </w:tc>
        <w:tc>
          <w:tcPr>
            <w:tcW w:w="2782" w:type="dxa"/>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cs="宋体"/>
                <w:color w:val="000000"/>
                <w:sz w:val="24"/>
                <w:szCs w:val="22"/>
              </w:rPr>
            </w:pPr>
            <w:r>
              <w:rPr>
                <w:rFonts w:hint="eastAsia" w:cs="宋体"/>
                <w:color w:val="000000"/>
                <w:sz w:val="24"/>
                <w:szCs w:val="22"/>
              </w:rPr>
              <w:t>防治队伍</w:t>
            </w:r>
          </w:p>
        </w:tc>
        <w:tc>
          <w:tcPr>
            <w:tcW w:w="9957" w:type="dxa"/>
            <w:noWrap w:val="0"/>
            <w:vAlign w:val="center"/>
          </w:tcPr>
          <w:p>
            <w:pPr>
              <w:pStyle w:val="10"/>
              <w:pageBreakBefore w:val="0"/>
              <w:kinsoku/>
              <w:wordWrap/>
              <w:overflowPunct/>
              <w:topLinePunct w:val="0"/>
              <w:autoSpaceDE/>
              <w:autoSpaceDN/>
              <w:bidi w:val="0"/>
              <w:spacing w:line="560" w:lineRule="exact"/>
              <w:ind w:left="0" w:leftChars="0" w:firstLine="0" w:firstLineChars="0"/>
              <w:jc w:val="left"/>
              <w:rPr>
                <w:rFonts w:hint="eastAsia"/>
              </w:rPr>
            </w:pPr>
            <w:r>
              <w:rPr>
                <w:rFonts w:hint="eastAsia"/>
              </w:rPr>
              <w:t>各县（市、区</w:t>
            </w:r>
            <w:r>
              <w:rPr>
                <w:rFonts w:hint="eastAsia" w:ascii="方正仿宋简体" w:hAnsi="方正仿宋简体" w:eastAsia="方正仿宋简体" w:cs="方正仿宋简体"/>
              </w:rPr>
              <w:t>）建设一支10~20人的防治队伍，各</w:t>
            </w:r>
            <w:r>
              <w:rPr>
                <w:rFonts w:hint="eastAsia" w:ascii="方正仿宋简体" w:hAnsi="方正仿宋简体" w:eastAsia="方正仿宋简体" w:cs="方正仿宋简体"/>
                <w:lang w:eastAsia="zh-CN"/>
              </w:rPr>
              <w:t>乡镇（街道）</w:t>
            </w:r>
            <w:r>
              <w:rPr>
                <w:rFonts w:hint="eastAsia" w:ascii="方正仿宋简体" w:hAnsi="方正仿宋简体" w:eastAsia="方正仿宋简体" w:cs="方正仿宋简体"/>
              </w:rPr>
              <w:t>建设一支5~10人的防治队伍，各行政村建立1~5人的防治队</w:t>
            </w:r>
            <w:r>
              <w:rPr>
                <w:rFonts w:hint="eastAsia"/>
              </w:rPr>
              <w:t>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9" w:type="dxa"/>
            <w:vMerge w:val="restart"/>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ascii="黑体" w:hAnsi="黑体" w:eastAsia="黑体" w:cs="黑体"/>
                <w:b/>
                <w:bCs/>
                <w:color w:val="000000"/>
                <w:kern w:val="0"/>
                <w:sz w:val="24"/>
                <w:szCs w:val="22"/>
                <w:lang w:val="en-US" w:eastAsia="zh-CN" w:bidi="ar"/>
              </w:rPr>
            </w:pPr>
            <w:r>
              <w:rPr>
                <w:rFonts w:hint="eastAsia" w:ascii="黑体" w:hAnsi="黑体" w:eastAsia="黑体" w:cs="黑体"/>
                <w:b/>
                <w:bCs/>
                <w:color w:val="000000"/>
                <w:kern w:val="0"/>
                <w:sz w:val="24"/>
                <w:szCs w:val="22"/>
                <w:lang w:val="en-US" w:eastAsia="zh-CN" w:bidi="ar"/>
              </w:rPr>
              <w:t>技术</w:t>
            </w:r>
          </w:p>
          <w:p>
            <w:pPr>
              <w:pageBreakBefore w:val="0"/>
              <w:widowControl/>
              <w:kinsoku/>
              <w:wordWrap/>
              <w:overflowPunct/>
              <w:topLinePunct w:val="0"/>
              <w:autoSpaceDE/>
              <w:autoSpaceDN/>
              <w:bidi w:val="0"/>
              <w:spacing w:line="560" w:lineRule="exact"/>
              <w:ind w:firstLine="0" w:firstLineChars="0"/>
              <w:jc w:val="center"/>
              <w:textAlignment w:val="center"/>
              <w:rPr>
                <w:rFonts w:hint="eastAsia" w:ascii="黑体" w:hAnsi="黑体" w:eastAsia="黑体" w:cs="黑体"/>
                <w:b/>
                <w:bCs/>
                <w:color w:val="000000"/>
                <w:kern w:val="0"/>
                <w:sz w:val="24"/>
                <w:szCs w:val="22"/>
                <w:lang w:bidi="ar"/>
              </w:rPr>
            </w:pPr>
            <w:r>
              <w:rPr>
                <w:rFonts w:hint="eastAsia" w:ascii="黑体" w:hAnsi="黑体" w:eastAsia="黑体" w:cs="黑体"/>
                <w:b/>
                <w:bCs/>
                <w:color w:val="000000"/>
                <w:kern w:val="0"/>
                <w:sz w:val="24"/>
                <w:szCs w:val="22"/>
                <w:lang w:bidi="ar"/>
              </w:rPr>
              <w:t>保障</w:t>
            </w:r>
          </w:p>
          <w:p>
            <w:pPr>
              <w:pageBreakBefore w:val="0"/>
              <w:widowControl/>
              <w:kinsoku/>
              <w:wordWrap/>
              <w:overflowPunct/>
              <w:topLinePunct w:val="0"/>
              <w:autoSpaceDE/>
              <w:autoSpaceDN/>
              <w:bidi w:val="0"/>
              <w:spacing w:line="560" w:lineRule="exact"/>
              <w:ind w:firstLine="0" w:firstLineChars="0"/>
              <w:jc w:val="center"/>
              <w:textAlignment w:val="center"/>
              <w:rPr>
                <w:rFonts w:hint="eastAsia" w:ascii="黑体" w:hAnsi="黑体" w:eastAsia="黑体" w:cs="黑体"/>
                <w:b/>
                <w:bCs/>
                <w:color w:val="000000"/>
                <w:sz w:val="24"/>
                <w:szCs w:val="22"/>
              </w:rPr>
            </w:pPr>
            <w:r>
              <w:rPr>
                <w:rFonts w:hint="eastAsia" w:ascii="黑体" w:hAnsi="黑体" w:eastAsia="黑体" w:cs="黑体"/>
                <w:b/>
                <w:bCs/>
                <w:color w:val="000000"/>
                <w:kern w:val="0"/>
                <w:sz w:val="24"/>
                <w:szCs w:val="22"/>
                <w:lang w:bidi="ar"/>
              </w:rPr>
              <w:t>体系</w:t>
            </w:r>
          </w:p>
        </w:tc>
        <w:tc>
          <w:tcPr>
            <w:tcW w:w="2782" w:type="dxa"/>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cs="宋体"/>
                <w:color w:val="000000"/>
                <w:sz w:val="24"/>
                <w:szCs w:val="22"/>
              </w:rPr>
            </w:pPr>
            <w:r>
              <w:rPr>
                <w:rFonts w:hint="eastAsia"/>
                <w:sz w:val="24"/>
              </w:rPr>
              <w:t>科技支撑系统</w:t>
            </w:r>
          </w:p>
        </w:tc>
        <w:tc>
          <w:tcPr>
            <w:tcW w:w="9957" w:type="dxa"/>
            <w:noWrap w:val="0"/>
            <w:vAlign w:val="center"/>
          </w:tcPr>
          <w:p>
            <w:pPr>
              <w:pStyle w:val="10"/>
              <w:pageBreakBefore w:val="0"/>
              <w:kinsoku/>
              <w:wordWrap/>
              <w:overflowPunct/>
              <w:topLinePunct w:val="0"/>
              <w:autoSpaceDE/>
              <w:autoSpaceDN/>
              <w:bidi w:val="0"/>
              <w:spacing w:line="560" w:lineRule="exact"/>
              <w:ind w:left="0" w:leftChars="0" w:firstLine="0" w:firstLineChars="0"/>
              <w:jc w:val="left"/>
              <w:rPr>
                <w:rFonts w:hint="eastAsia" w:ascii="方正仿宋简体" w:hAnsi="方正仿宋简体" w:eastAsia="方正仿宋简体" w:cs="方正仿宋简体"/>
                <w:lang w:val="en-US" w:eastAsia="zh-CN"/>
              </w:rPr>
            </w:pPr>
            <w:r>
              <w:rPr>
                <w:rFonts w:hint="eastAsia"/>
                <w:lang w:val="en-US" w:eastAsia="zh-CN"/>
              </w:rPr>
              <w:t>①市级标本室：新</w:t>
            </w:r>
            <w:r>
              <w:rPr>
                <w:rFonts w:hint="eastAsia" w:ascii="方正仿宋简体" w:hAnsi="方正仿宋简体" w:eastAsia="方正仿宋简体" w:cs="方正仿宋简体"/>
                <w:lang w:val="en-US" w:eastAsia="zh-CN"/>
              </w:rPr>
              <w:t>建1处市级标本室，配备展览触摸屏</w:t>
            </w:r>
            <w:r>
              <w:rPr>
                <w:rFonts w:hint="eastAsia" w:ascii="方正仿宋简体" w:hAnsi="方正仿宋简体" w:eastAsia="方正仿宋简体" w:cs="方正仿宋简体"/>
              </w:rPr>
              <w:t>、标本柜、展示柜等</w:t>
            </w:r>
            <w:r>
              <w:rPr>
                <w:rFonts w:hint="eastAsia" w:ascii="方正仿宋简体" w:hAnsi="方正仿宋简体" w:eastAsia="方正仿宋简体" w:cs="方正仿宋简体"/>
                <w:lang w:val="en-US" w:eastAsia="zh-CN"/>
              </w:rPr>
              <w:t>设施设备</w:t>
            </w:r>
          </w:p>
          <w:p>
            <w:pPr>
              <w:pageBreakBefore w:val="0"/>
              <w:kinsoku/>
              <w:wordWrap/>
              <w:overflowPunct/>
              <w:topLinePunct w:val="0"/>
              <w:autoSpaceDE/>
              <w:autoSpaceDN/>
              <w:bidi w:val="0"/>
              <w:spacing w:line="560" w:lineRule="exact"/>
              <w:ind w:left="0" w:leftChars="0" w:firstLine="0" w:firstLineChars="0"/>
              <w:jc w:val="left"/>
              <w:rPr>
                <w:rFonts w:hint="eastAsia"/>
              </w:rPr>
            </w:pPr>
            <w:r>
              <w:rPr>
                <w:rFonts w:hint="eastAsia" w:ascii="方正仿宋简体" w:hAnsi="方正仿宋简体" w:eastAsia="方正仿宋简体" w:cs="方正仿宋简体"/>
                <w:kern w:val="2"/>
                <w:sz w:val="24"/>
                <w:szCs w:val="24"/>
                <w:lang w:val="en-US" w:eastAsia="zh-CN" w:bidi="ar-SA"/>
              </w:rPr>
              <w:t>②县级标本室：完善任城区、兖州区、曲阜市、泗水县、邹城市、鱼台县、金乡县、嘉祥县、汶上县、梁山县等11</w:t>
            </w:r>
            <w:r>
              <w:rPr>
                <w:rFonts w:hint="eastAsia" w:ascii="Times New Roman" w:hAnsi="Times New Roman" w:eastAsia="仿宋" w:cs="Times New Roman"/>
                <w:kern w:val="2"/>
                <w:sz w:val="24"/>
                <w:szCs w:val="24"/>
                <w:lang w:val="en-US" w:eastAsia="zh-CN" w:bidi="ar-SA"/>
              </w:rPr>
              <w:t>处县级林业有害生物标本室，配备标本柜、展示柜等设施设备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9" w:type="dxa"/>
            <w:vMerge w:val="continue"/>
            <w:noWrap w:val="0"/>
            <w:vAlign w:val="center"/>
          </w:tcPr>
          <w:p>
            <w:pPr>
              <w:pageBreakBefore w:val="0"/>
              <w:widowControl/>
              <w:kinsoku/>
              <w:wordWrap/>
              <w:overflowPunct/>
              <w:topLinePunct w:val="0"/>
              <w:autoSpaceDE/>
              <w:autoSpaceDN/>
              <w:bidi w:val="0"/>
              <w:spacing w:line="560" w:lineRule="exact"/>
              <w:ind w:firstLine="0" w:firstLineChars="0"/>
              <w:jc w:val="center"/>
              <w:rPr>
                <w:rFonts w:hint="eastAsia" w:cs="宋体"/>
                <w:b/>
                <w:bCs/>
                <w:color w:val="000000"/>
                <w:sz w:val="24"/>
                <w:szCs w:val="22"/>
              </w:rPr>
            </w:pPr>
          </w:p>
        </w:tc>
        <w:tc>
          <w:tcPr>
            <w:tcW w:w="2782" w:type="dxa"/>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sz w:val="24"/>
              </w:rPr>
            </w:pPr>
            <w:r>
              <w:rPr>
                <w:rFonts w:hint="eastAsia"/>
                <w:sz w:val="24"/>
              </w:rPr>
              <w:t>宣传活动</w:t>
            </w:r>
          </w:p>
        </w:tc>
        <w:tc>
          <w:tcPr>
            <w:tcW w:w="9957" w:type="dxa"/>
            <w:noWrap w:val="0"/>
            <w:vAlign w:val="center"/>
          </w:tcPr>
          <w:p>
            <w:pPr>
              <w:pStyle w:val="10"/>
              <w:pageBreakBefore w:val="0"/>
              <w:kinsoku/>
              <w:wordWrap/>
              <w:overflowPunct/>
              <w:topLinePunct w:val="0"/>
              <w:autoSpaceDE/>
              <w:autoSpaceDN/>
              <w:bidi w:val="0"/>
              <w:spacing w:line="560" w:lineRule="exact"/>
              <w:ind w:left="0" w:leftChars="0" w:firstLine="0" w:firstLineChars="0"/>
              <w:jc w:val="left"/>
              <w:rPr>
                <w:rFonts w:hint="eastAsia" w:ascii="方正仿宋简体" w:hAnsi="方正仿宋简体" w:eastAsia="方正仿宋简体" w:cs="方正仿宋简体"/>
              </w:rPr>
            </w:pPr>
            <w:r>
              <w:rPr>
                <w:rFonts w:hint="eastAsia" w:ascii="方正仿宋简体" w:hAnsi="方正仿宋简体" w:eastAsia="方正仿宋简体" w:cs="方正仿宋简体"/>
              </w:rPr>
              <w:t>市</w:t>
            </w:r>
            <w:r>
              <w:rPr>
                <w:rFonts w:hint="eastAsia" w:ascii="方正仿宋简体" w:hAnsi="方正仿宋简体" w:eastAsia="方正仿宋简体" w:cs="方正仿宋简体"/>
                <w:lang w:eastAsia="zh-CN"/>
              </w:rPr>
              <w:t>、</w:t>
            </w:r>
            <w:r>
              <w:rPr>
                <w:rFonts w:hint="eastAsia" w:ascii="方正仿宋简体" w:hAnsi="方正仿宋简体" w:eastAsia="方正仿宋简体" w:cs="方正仿宋简体"/>
              </w:rPr>
              <w:t>县两级每年开展宣传活动1~2期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9" w:type="dxa"/>
            <w:vMerge w:val="continue"/>
            <w:noWrap w:val="0"/>
            <w:vAlign w:val="center"/>
          </w:tcPr>
          <w:p>
            <w:pPr>
              <w:pageBreakBefore w:val="0"/>
              <w:widowControl/>
              <w:kinsoku/>
              <w:wordWrap/>
              <w:overflowPunct/>
              <w:topLinePunct w:val="0"/>
              <w:autoSpaceDE/>
              <w:autoSpaceDN/>
              <w:bidi w:val="0"/>
              <w:spacing w:line="560" w:lineRule="exact"/>
              <w:ind w:firstLine="0" w:firstLineChars="0"/>
              <w:jc w:val="center"/>
              <w:rPr>
                <w:rFonts w:hint="eastAsia" w:cs="宋体"/>
                <w:b/>
                <w:bCs/>
                <w:color w:val="000000"/>
                <w:sz w:val="24"/>
                <w:szCs w:val="22"/>
              </w:rPr>
            </w:pPr>
          </w:p>
        </w:tc>
        <w:tc>
          <w:tcPr>
            <w:tcW w:w="2782" w:type="dxa"/>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sz w:val="24"/>
              </w:rPr>
            </w:pPr>
            <w:r>
              <w:rPr>
                <w:rFonts w:hint="eastAsia"/>
                <w:sz w:val="24"/>
              </w:rPr>
              <w:t>教育培训</w:t>
            </w:r>
          </w:p>
        </w:tc>
        <w:tc>
          <w:tcPr>
            <w:tcW w:w="9957" w:type="dxa"/>
            <w:noWrap w:val="0"/>
            <w:vAlign w:val="center"/>
          </w:tcPr>
          <w:p>
            <w:pPr>
              <w:pStyle w:val="10"/>
              <w:pageBreakBefore w:val="0"/>
              <w:kinsoku/>
              <w:wordWrap/>
              <w:overflowPunct/>
              <w:topLinePunct w:val="0"/>
              <w:autoSpaceDE/>
              <w:autoSpaceDN/>
              <w:bidi w:val="0"/>
              <w:spacing w:line="560" w:lineRule="exact"/>
              <w:ind w:left="0" w:leftChars="0" w:firstLine="0" w:firstLineChars="0"/>
              <w:jc w:val="left"/>
              <w:rPr>
                <w:rFonts w:hint="eastAsia" w:ascii="方正仿宋简体" w:hAnsi="方正仿宋简体" w:eastAsia="方正仿宋简体" w:cs="方正仿宋简体"/>
              </w:rPr>
            </w:pPr>
            <w:r>
              <w:rPr>
                <w:rFonts w:hint="eastAsia" w:ascii="方正仿宋简体" w:hAnsi="方正仿宋简体" w:eastAsia="方正仿宋简体" w:cs="方正仿宋简体"/>
              </w:rPr>
              <w:t>市</w:t>
            </w:r>
            <w:r>
              <w:rPr>
                <w:rFonts w:hint="eastAsia" w:ascii="方正仿宋简体" w:hAnsi="方正仿宋简体" w:eastAsia="方正仿宋简体" w:cs="方正仿宋简体"/>
                <w:lang w:eastAsia="zh-CN"/>
              </w:rPr>
              <w:t>、</w:t>
            </w:r>
            <w:r>
              <w:rPr>
                <w:rFonts w:hint="eastAsia" w:ascii="方正仿宋简体" w:hAnsi="方正仿宋简体" w:eastAsia="方正仿宋简体" w:cs="方正仿宋简体"/>
              </w:rPr>
              <w:t>县两级每年各举行1次林业有害生物培训活动，</w:t>
            </w:r>
            <w:r>
              <w:rPr>
                <w:rFonts w:hint="eastAsia" w:ascii="方正仿宋简体" w:hAnsi="方正仿宋简体" w:eastAsia="方正仿宋简体" w:cs="方正仿宋简体"/>
                <w:lang w:val="en-US" w:eastAsia="zh-CN"/>
              </w:rPr>
              <w:t>逐级</w:t>
            </w:r>
            <w:r>
              <w:rPr>
                <w:rFonts w:hint="eastAsia" w:ascii="方正仿宋简体" w:hAnsi="方正仿宋简体" w:eastAsia="方正仿宋简体" w:cs="方正仿宋简体"/>
              </w:rPr>
              <w:t>在全市156个</w:t>
            </w:r>
            <w:r>
              <w:rPr>
                <w:rFonts w:hint="eastAsia" w:ascii="方正仿宋简体" w:hAnsi="方正仿宋简体" w:eastAsia="方正仿宋简体" w:cs="方正仿宋简体"/>
                <w:lang w:eastAsia="zh-CN"/>
              </w:rPr>
              <w:t>乡镇（街道）</w:t>
            </w:r>
            <w:r>
              <w:rPr>
                <w:rFonts w:hint="eastAsia" w:ascii="方正仿宋简体" w:hAnsi="方正仿宋简体" w:eastAsia="方正仿宋简体" w:cs="方正仿宋简体"/>
              </w:rPr>
              <w:t>开展技术培训班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9" w:type="dxa"/>
            <w:vMerge w:val="restart"/>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ascii="黑体" w:hAnsi="黑体" w:eastAsia="黑体" w:cs="黑体"/>
                <w:b/>
                <w:bCs/>
                <w:color w:val="000000"/>
                <w:kern w:val="0"/>
                <w:sz w:val="24"/>
                <w:szCs w:val="22"/>
                <w:lang w:val="en-US" w:eastAsia="zh-CN" w:bidi="ar"/>
              </w:rPr>
            </w:pPr>
            <w:r>
              <w:rPr>
                <w:rFonts w:hint="eastAsia" w:ascii="黑体" w:hAnsi="黑体" w:eastAsia="黑体" w:cs="黑体"/>
                <w:b/>
                <w:bCs/>
                <w:color w:val="000000"/>
                <w:kern w:val="0"/>
                <w:sz w:val="24"/>
                <w:szCs w:val="22"/>
                <w:lang w:val="en-US" w:eastAsia="zh-CN" w:bidi="ar"/>
              </w:rPr>
              <w:t>防控</w:t>
            </w:r>
          </w:p>
          <w:p>
            <w:pPr>
              <w:pageBreakBefore w:val="0"/>
              <w:widowControl/>
              <w:kinsoku/>
              <w:wordWrap/>
              <w:overflowPunct/>
              <w:topLinePunct w:val="0"/>
              <w:autoSpaceDE/>
              <w:autoSpaceDN/>
              <w:bidi w:val="0"/>
              <w:spacing w:line="560" w:lineRule="exact"/>
              <w:ind w:firstLine="0" w:firstLineChars="0"/>
              <w:jc w:val="center"/>
              <w:textAlignment w:val="center"/>
              <w:rPr>
                <w:rFonts w:hint="eastAsia" w:ascii="黑体" w:hAnsi="黑体" w:eastAsia="黑体" w:cs="黑体"/>
                <w:b/>
                <w:bCs/>
                <w:color w:val="000000"/>
                <w:kern w:val="0"/>
                <w:sz w:val="24"/>
                <w:szCs w:val="22"/>
                <w:lang w:val="en-US" w:eastAsia="zh-CN" w:bidi="ar"/>
              </w:rPr>
            </w:pPr>
            <w:r>
              <w:rPr>
                <w:rFonts w:hint="eastAsia" w:ascii="黑体" w:hAnsi="黑体" w:eastAsia="黑体" w:cs="黑体"/>
                <w:b/>
                <w:bCs/>
                <w:color w:val="000000"/>
                <w:kern w:val="0"/>
                <w:sz w:val="24"/>
                <w:szCs w:val="22"/>
                <w:lang w:val="en-US" w:eastAsia="zh-CN" w:bidi="ar"/>
              </w:rPr>
              <w:t>行动</w:t>
            </w:r>
          </w:p>
          <w:p>
            <w:pPr>
              <w:pageBreakBefore w:val="0"/>
              <w:widowControl/>
              <w:kinsoku/>
              <w:wordWrap/>
              <w:overflowPunct/>
              <w:topLinePunct w:val="0"/>
              <w:autoSpaceDE/>
              <w:autoSpaceDN/>
              <w:bidi w:val="0"/>
              <w:spacing w:line="560" w:lineRule="exact"/>
              <w:ind w:left="0" w:leftChars="0" w:firstLine="0" w:firstLineChars="0"/>
              <w:jc w:val="center"/>
              <w:textAlignment w:val="center"/>
              <w:rPr>
                <w:rFonts w:hint="eastAsia" w:ascii="黑体" w:hAnsi="黑体" w:eastAsia="黑体" w:cs="黑体"/>
                <w:b/>
                <w:bCs/>
                <w:color w:val="000000"/>
                <w:kern w:val="0"/>
                <w:sz w:val="24"/>
                <w:szCs w:val="22"/>
                <w:lang w:val="en-US" w:eastAsia="zh-CN" w:bidi="ar"/>
              </w:rPr>
            </w:pPr>
            <w:r>
              <w:rPr>
                <w:rFonts w:hint="eastAsia" w:ascii="黑体" w:hAnsi="黑体" w:eastAsia="黑体" w:cs="黑体"/>
                <w:b/>
                <w:bCs/>
                <w:color w:val="000000"/>
                <w:kern w:val="0"/>
                <w:sz w:val="24"/>
                <w:szCs w:val="22"/>
                <w:lang w:val="en-US" w:eastAsia="zh-CN" w:bidi="ar"/>
              </w:rPr>
              <w:t>防控</w:t>
            </w:r>
          </w:p>
          <w:p>
            <w:pPr>
              <w:pageBreakBefore w:val="0"/>
              <w:widowControl/>
              <w:kinsoku/>
              <w:wordWrap/>
              <w:overflowPunct/>
              <w:topLinePunct w:val="0"/>
              <w:autoSpaceDE/>
              <w:autoSpaceDN/>
              <w:bidi w:val="0"/>
              <w:spacing w:line="560" w:lineRule="exact"/>
              <w:ind w:left="0" w:leftChars="0" w:firstLine="0" w:firstLineChars="0"/>
              <w:jc w:val="center"/>
              <w:textAlignment w:val="center"/>
              <w:rPr>
                <w:rFonts w:hint="default" w:eastAsia="仿宋" w:cs="宋体"/>
                <w:b/>
                <w:bCs/>
                <w:color w:val="000000"/>
                <w:sz w:val="24"/>
                <w:szCs w:val="22"/>
                <w:lang w:val="en-US" w:eastAsia="zh-CN"/>
              </w:rPr>
            </w:pPr>
            <w:r>
              <w:rPr>
                <w:rFonts w:hint="eastAsia" w:ascii="黑体" w:hAnsi="黑体" w:eastAsia="黑体" w:cs="黑体"/>
                <w:b/>
                <w:bCs/>
                <w:color w:val="000000"/>
                <w:kern w:val="0"/>
                <w:sz w:val="24"/>
                <w:szCs w:val="22"/>
                <w:lang w:val="en-US" w:eastAsia="zh-CN" w:bidi="ar"/>
              </w:rPr>
              <w:t>行动</w:t>
            </w:r>
          </w:p>
        </w:tc>
        <w:tc>
          <w:tcPr>
            <w:tcW w:w="2782" w:type="dxa"/>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sz w:val="24"/>
              </w:rPr>
            </w:pPr>
            <w:r>
              <w:rPr>
                <w:rFonts w:hint="eastAsia"/>
                <w:sz w:val="24"/>
              </w:rPr>
              <w:t>松材线虫病攻坚行动</w:t>
            </w:r>
          </w:p>
        </w:tc>
        <w:tc>
          <w:tcPr>
            <w:tcW w:w="9957" w:type="dxa"/>
            <w:noWrap w:val="0"/>
            <w:vAlign w:val="center"/>
          </w:tcPr>
          <w:p>
            <w:pPr>
              <w:pStyle w:val="10"/>
              <w:pageBreakBefore w:val="0"/>
              <w:kinsoku/>
              <w:wordWrap/>
              <w:overflowPunct/>
              <w:topLinePunct w:val="0"/>
              <w:autoSpaceDE/>
              <w:autoSpaceDN/>
              <w:bidi w:val="0"/>
              <w:spacing w:line="560" w:lineRule="exact"/>
              <w:ind w:left="0" w:leftChars="0" w:firstLine="0" w:firstLineChars="0"/>
              <w:jc w:val="left"/>
              <w:rPr>
                <w:rFonts w:hint="eastAsia"/>
              </w:rPr>
            </w:pPr>
            <w:r>
              <w:rPr>
                <w:rFonts w:hint="eastAsia"/>
              </w:rPr>
              <w:t>对泗水县、曲阜市、邹城市、微山县全部松林开展松材线虫病监测、病</w:t>
            </w:r>
            <w:r>
              <w:rPr>
                <w:rFonts w:hint="eastAsia"/>
                <w:lang w:eastAsia="zh-CN"/>
              </w:rPr>
              <w:t>（</w:t>
            </w:r>
            <w:r>
              <w:rPr>
                <w:rFonts w:hint="eastAsia"/>
                <w:lang w:val="en-US" w:eastAsia="zh-CN"/>
              </w:rPr>
              <w:t>枯</w:t>
            </w:r>
            <w:r>
              <w:rPr>
                <w:rFonts w:hint="eastAsia"/>
                <w:lang w:eastAsia="zh-CN"/>
              </w:rPr>
              <w:t>）</w:t>
            </w:r>
            <w:r>
              <w:rPr>
                <w:rFonts w:hint="eastAsia"/>
              </w:rPr>
              <w:t>死木清理、松树打孔注药、松褐天牛综合防治等工作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9" w:type="dxa"/>
            <w:vMerge w:val="continue"/>
            <w:noWrap w:val="0"/>
            <w:vAlign w:val="center"/>
          </w:tcPr>
          <w:p>
            <w:pPr>
              <w:pageBreakBefore w:val="0"/>
              <w:widowControl/>
              <w:kinsoku/>
              <w:wordWrap/>
              <w:overflowPunct/>
              <w:topLinePunct w:val="0"/>
              <w:autoSpaceDE/>
              <w:autoSpaceDN/>
              <w:bidi w:val="0"/>
              <w:spacing w:line="560" w:lineRule="exact"/>
              <w:ind w:firstLine="0" w:firstLineChars="0"/>
              <w:jc w:val="center"/>
              <w:rPr>
                <w:rFonts w:hint="eastAsia" w:cs="宋体"/>
                <w:b/>
                <w:bCs/>
                <w:color w:val="000000"/>
                <w:sz w:val="24"/>
                <w:szCs w:val="22"/>
              </w:rPr>
            </w:pPr>
          </w:p>
        </w:tc>
        <w:tc>
          <w:tcPr>
            <w:tcW w:w="2782" w:type="dxa"/>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sz w:val="24"/>
              </w:rPr>
            </w:pPr>
            <w:r>
              <w:rPr>
                <w:rFonts w:hint="eastAsia"/>
                <w:sz w:val="24"/>
              </w:rPr>
              <w:t>美国白蛾防控行动</w:t>
            </w:r>
          </w:p>
        </w:tc>
        <w:tc>
          <w:tcPr>
            <w:tcW w:w="9957" w:type="dxa"/>
            <w:noWrap w:val="0"/>
            <w:vAlign w:val="center"/>
          </w:tcPr>
          <w:p>
            <w:pPr>
              <w:pStyle w:val="10"/>
              <w:pageBreakBefore w:val="0"/>
              <w:kinsoku/>
              <w:wordWrap/>
              <w:overflowPunct/>
              <w:topLinePunct w:val="0"/>
              <w:autoSpaceDE/>
              <w:autoSpaceDN/>
              <w:bidi w:val="0"/>
              <w:spacing w:line="560" w:lineRule="exact"/>
              <w:ind w:left="0" w:leftChars="0" w:firstLine="0" w:firstLineChars="0"/>
              <w:jc w:val="left"/>
              <w:rPr>
                <w:rFonts w:hint="eastAsia" w:ascii="方正仿宋简体" w:hAnsi="方正仿宋简体" w:eastAsia="方正仿宋简体" w:cs="方正仿宋简体"/>
              </w:rPr>
            </w:pPr>
            <w:r>
              <w:rPr>
                <w:rFonts w:hint="eastAsia" w:ascii="方正仿宋简体" w:hAnsi="方正仿宋简体" w:eastAsia="方正仿宋简体" w:cs="方正仿宋简体"/>
              </w:rPr>
              <w:t>全市14个县（市、区）发生的美国白蛾开展监测、飞机防治、</w:t>
            </w:r>
            <w:r>
              <w:rPr>
                <w:rFonts w:hint="eastAsia" w:ascii="方正仿宋简体" w:hAnsi="方正仿宋简体" w:eastAsia="方正仿宋简体" w:cs="方正仿宋简体"/>
                <w:lang w:val="en-US" w:eastAsia="zh-CN"/>
              </w:rPr>
              <w:t>地面防治、人工物理防治</w:t>
            </w:r>
            <w:r>
              <w:rPr>
                <w:rFonts w:hint="eastAsia" w:ascii="方正仿宋简体" w:hAnsi="方正仿宋简体" w:eastAsia="方正仿宋简体" w:cs="方正仿宋简体"/>
              </w:rPr>
              <w:t>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39" w:type="dxa"/>
            <w:vMerge w:val="continue"/>
            <w:noWrap w:val="0"/>
            <w:vAlign w:val="center"/>
          </w:tcPr>
          <w:p>
            <w:pPr>
              <w:pageBreakBefore w:val="0"/>
              <w:widowControl/>
              <w:kinsoku/>
              <w:wordWrap/>
              <w:overflowPunct/>
              <w:topLinePunct w:val="0"/>
              <w:autoSpaceDE/>
              <w:autoSpaceDN/>
              <w:bidi w:val="0"/>
              <w:spacing w:line="560" w:lineRule="exact"/>
              <w:ind w:firstLine="0" w:firstLineChars="0"/>
              <w:jc w:val="center"/>
              <w:rPr>
                <w:rFonts w:hint="eastAsia" w:cs="宋体"/>
                <w:b/>
                <w:bCs/>
                <w:color w:val="000000"/>
                <w:sz w:val="24"/>
                <w:szCs w:val="22"/>
              </w:rPr>
            </w:pPr>
          </w:p>
        </w:tc>
        <w:tc>
          <w:tcPr>
            <w:tcW w:w="2782" w:type="dxa"/>
            <w:noWrap w:val="0"/>
            <w:vAlign w:val="center"/>
          </w:tcPr>
          <w:p>
            <w:pPr>
              <w:pageBreakBefore w:val="0"/>
              <w:widowControl/>
              <w:kinsoku/>
              <w:wordWrap/>
              <w:overflowPunct/>
              <w:topLinePunct w:val="0"/>
              <w:autoSpaceDE/>
              <w:autoSpaceDN/>
              <w:bidi w:val="0"/>
              <w:spacing w:line="560" w:lineRule="exact"/>
              <w:ind w:firstLine="0" w:firstLineChars="0"/>
              <w:jc w:val="center"/>
              <w:textAlignment w:val="center"/>
              <w:rPr>
                <w:rFonts w:hint="eastAsia"/>
                <w:sz w:val="24"/>
              </w:rPr>
            </w:pPr>
            <w:r>
              <w:rPr>
                <w:rFonts w:hint="eastAsia"/>
                <w:sz w:val="24"/>
                <w:lang w:val="en-US" w:eastAsia="zh-CN"/>
              </w:rPr>
              <w:t>其</w:t>
            </w:r>
            <w:r>
              <w:rPr>
                <w:rFonts w:hint="eastAsia"/>
                <w:sz w:val="24"/>
              </w:rPr>
              <w:t>他突发有害生物和外来物种入侵防控行动</w:t>
            </w:r>
          </w:p>
        </w:tc>
        <w:tc>
          <w:tcPr>
            <w:tcW w:w="9957" w:type="dxa"/>
            <w:noWrap w:val="0"/>
            <w:vAlign w:val="center"/>
          </w:tcPr>
          <w:p>
            <w:pPr>
              <w:pStyle w:val="10"/>
              <w:pageBreakBefore w:val="0"/>
              <w:kinsoku/>
              <w:wordWrap/>
              <w:overflowPunct/>
              <w:topLinePunct w:val="0"/>
              <w:autoSpaceDE/>
              <w:autoSpaceDN/>
              <w:bidi w:val="0"/>
              <w:spacing w:line="560" w:lineRule="exact"/>
              <w:ind w:left="0" w:leftChars="0" w:firstLine="0" w:firstLineChars="0"/>
              <w:jc w:val="left"/>
              <w:rPr>
                <w:rFonts w:hint="eastAsia" w:ascii="方正仿宋简体" w:hAnsi="方正仿宋简体" w:eastAsia="方正仿宋简体" w:cs="方正仿宋简体"/>
              </w:rPr>
            </w:pPr>
            <w:r>
              <w:rPr>
                <w:rFonts w:hint="eastAsia" w:ascii="方正仿宋简体" w:hAnsi="方正仿宋简体" w:eastAsia="方正仿宋简体" w:cs="方正仿宋简体"/>
                <w:lang w:val="en-US" w:eastAsia="zh-CN"/>
              </w:rPr>
              <w:t>①</w:t>
            </w:r>
            <w:r>
              <w:rPr>
                <w:rFonts w:hint="eastAsia" w:ascii="方正仿宋简体" w:hAnsi="方正仿宋简体" w:eastAsia="方正仿宋简体" w:cs="方正仿宋简体"/>
              </w:rPr>
              <w:t>全市进行森林、草原、湿地生态系统外来入侵物种普查</w:t>
            </w:r>
          </w:p>
          <w:p>
            <w:pPr>
              <w:pStyle w:val="10"/>
              <w:pageBreakBefore w:val="0"/>
              <w:kinsoku/>
              <w:wordWrap/>
              <w:overflowPunct/>
              <w:topLinePunct w:val="0"/>
              <w:autoSpaceDE/>
              <w:autoSpaceDN/>
              <w:bidi w:val="0"/>
              <w:spacing w:line="560" w:lineRule="exact"/>
              <w:ind w:left="0" w:leftChars="0" w:firstLine="0" w:firstLineChars="0"/>
              <w:jc w:val="left"/>
              <w:rPr>
                <w:rFonts w:hint="eastAsia" w:ascii="方正仿宋简体" w:hAnsi="方正仿宋简体" w:eastAsia="方正仿宋简体" w:cs="方正仿宋简体"/>
                <w:lang w:val="en-US" w:eastAsia="zh-CN"/>
              </w:rPr>
            </w:pPr>
            <w:r>
              <w:rPr>
                <w:rFonts w:hint="eastAsia" w:ascii="方正仿宋简体" w:hAnsi="方正仿宋简体" w:eastAsia="方正仿宋简体" w:cs="方正仿宋简体"/>
                <w:lang w:val="en-US" w:eastAsia="zh-CN"/>
              </w:rPr>
              <w:t>②</w:t>
            </w:r>
            <w:r>
              <w:rPr>
                <w:rFonts w:hint="eastAsia" w:ascii="方正仿宋简体" w:hAnsi="方正仿宋简体" w:eastAsia="方正仿宋简体" w:cs="方正仿宋简体"/>
              </w:rPr>
              <w:t>对全市14个县（市、区）发生的春尺蠖、杨小舟蛾、杨扇舟蛾等林业有害生物</w:t>
            </w:r>
            <w:r>
              <w:rPr>
                <w:rFonts w:hint="eastAsia" w:ascii="方正仿宋简体" w:hAnsi="方正仿宋简体" w:eastAsia="方正仿宋简体" w:cs="方正仿宋简体"/>
                <w:lang w:val="en-US" w:eastAsia="zh-CN"/>
              </w:rPr>
              <w:t>开展防控工作</w:t>
            </w:r>
          </w:p>
        </w:tc>
      </w:tr>
    </w:tbl>
    <w:p>
      <w:pPr>
        <w:pageBreakBefore w:val="0"/>
        <w:kinsoku/>
        <w:overflowPunct/>
        <w:topLinePunct w:val="0"/>
        <w:autoSpaceDE/>
        <w:autoSpaceDN/>
        <w:bidi w:val="0"/>
        <w:spacing w:line="560" w:lineRule="exact"/>
        <w:ind w:left="0" w:leftChars="0" w:firstLine="0" w:firstLineChars="0"/>
        <w:sectPr>
          <w:pgSz w:w="16838" w:h="11906" w:orient="landscape"/>
          <w:pgMar w:top="1800" w:right="1440" w:bottom="1800" w:left="1440" w:header="851" w:footer="1304" w:gutter="0"/>
          <w:pgNumType w:fmt="decimal"/>
          <w:cols w:space="720" w:num="1"/>
          <w:docGrid w:type="lines" w:linePitch="312" w:charSpace="0"/>
        </w:sectPr>
      </w:pPr>
    </w:p>
    <w:p>
      <w:pPr>
        <w:pageBreakBefore w:val="0"/>
        <w:kinsoku/>
        <w:overflowPunct/>
        <w:topLinePunct w:val="0"/>
        <w:autoSpaceDE/>
        <w:autoSpaceDN/>
        <w:bidi w:val="0"/>
        <w:spacing w:line="560" w:lineRule="exact"/>
        <w:ind w:firstLine="0" w:firstLineChars="0"/>
        <w:jc w:val="left"/>
        <w:rPr>
          <w:rFonts w:hint="eastAsia" w:eastAsia="方正仿宋简体"/>
          <w:b/>
          <w:sz w:val="28"/>
          <w:szCs w:val="24"/>
          <w:lang w:eastAsia="zh-CN"/>
        </w:rPr>
      </w:pPr>
      <w:r>
        <w:rPr>
          <w:rStyle w:val="59"/>
          <w:rFonts w:hint="eastAsia"/>
        </w:rPr>
        <w:t>附</w:t>
      </w:r>
      <w:r>
        <w:rPr>
          <w:rStyle w:val="59"/>
          <w:rFonts w:hint="eastAsia"/>
          <w:lang w:val="en-US" w:eastAsia="zh-CN"/>
        </w:rPr>
        <w:t>图</w:t>
      </w:r>
      <w:r>
        <w:rPr>
          <w:rStyle w:val="59"/>
          <w:rFonts w:hint="eastAsia"/>
          <w:lang w:eastAsia="zh-CN"/>
        </w:rPr>
        <w:t>：</w:t>
      </w:r>
    </w:p>
    <w:p>
      <w:pPr>
        <w:pageBreakBefore w:val="0"/>
        <w:numPr>
          <w:ilvl w:val="0"/>
          <w:numId w:val="6"/>
        </w:numPr>
        <w:kinsoku/>
        <w:overflowPunct/>
        <w:topLinePunct w:val="0"/>
        <w:autoSpaceDE/>
        <w:autoSpaceDN/>
        <w:bidi w:val="0"/>
        <w:spacing w:line="560" w:lineRule="exact"/>
        <w:ind w:firstLine="0" w:firstLineChars="0"/>
        <w:jc w:val="center"/>
        <w:rPr>
          <w:rFonts w:hint="eastAsia" w:ascii="方正小标宋简体" w:hAnsi="方正小标宋简体" w:eastAsia="方正小标宋简体" w:cs="方正小标宋简体"/>
          <w:b w:val="0"/>
          <w:bCs/>
          <w:sz w:val="36"/>
          <w:szCs w:val="32"/>
          <w:lang w:val="en-US" w:eastAsia="zh-CN"/>
        </w:rPr>
      </w:pPr>
      <w:r>
        <w:rPr>
          <w:rFonts w:hint="eastAsia" w:ascii="方正小标宋简体" w:hAnsi="方正小标宋简体" w:eastAsia="方正小标宋简体" w:cs="方正小标宋简体"/>
          <w:b w:val="0"/>
          <w:bCs/>
          <w:sz w:val="36"/>
          <w:szCs w:val="32"/>
          <w:lang w:val="en-US" w:eastAsia="zh-CN"/>
        </w:rPr>
        <w:t>济宁市森林资源分布图</w:t>
      </w:r>
    </w:p>
    <w:p>
      <w:pPr>
        <w:pageBreakBefore w:val="0"/>
        <w:kinsoku/>
        <w:overflowPunct/>
        <w:topLinePunct w:val="0"/>
        <w:autoSpaceDE/>
        <w:autoSpaceDN/>
        <w:bidi w:val="0"/>
        <w:spacing w:line="560" w:lineRule="exact"/>
        <w:ind w:firstLine="0" w:firstLineChars="0"/>
        <w:jc w:val="center"/>
        <w:rPr>
          <w:rFonts w:hint="eastAsia" w:ascii="方正小标宋简体" w:hAnsi="方正小标宋简体" w:eastAsia="方正小标宋简体" w:cs="方正小标宋简体"/>
          <w:b w:val="0"/>
          <w:bCs/>
          <w:sz w:val="36"/>
          <w:szCs w:val="32"/>
          <w:lang w:val="en-US" w:eastAsia="zh-CN"/>
        </w:rPr>
      </w:pPr>
      <w:r>
        <w:rPr>
          <w:rFonts w:hint="eastAsia" w:eastAsia="方正仿宋简体"/>
          <w:lang w:eastAsia="zh-CN"/>
        </w:rPr>
        <w:drawing>
          <wp:anchor distT="0" distB="0" distL="114300" distR="114300" simplePos="0" relativeHeight="251663360" behindDoc="0" locked="0" layoutInCell="1" allowOverlap="1">
            <wp:simplePos x="0" y="0"/>
            <wp:positionH relativeFrom="column">
              <wp:posOffset>129540</wp:posOffset>
            </wp:positionH>
            <wp:positionV relativeFrom="paragraph">
              <wp:posOffset>22860</wp:posOffset>
            </wp:positionV>
            <wp:extent cx="5108575" cy="7219315"/>
            <wp:effectExtent l="0" t="0" r="12065" b="4445"/>
            <wp:wrapSquare wrapText="bothSides"/>
            <wp:docPr id="6" name="图片 10" descr="3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descr="3_副本"/>
                    <pic:cNvPicPr>
                      <a:picLocks noChangeAspect="1"/>
                    </pic:cNvPicPr>
                  </pic:nvPicPr>
                  <pic:blipFill>
                    <a:blip r:embed="rId20"/>
                    <a:stretch>
                      <a:fillRect/>
                    </a:stretch>
                  </pic:blipFill>
                  <pic:spPr>
                    <a:xfrm>
                      <a:off x="0" y="0"/>
                      <a:ext cx="5108575" cy="7219315"/>
                    </a:xfrm>
                    <a:prstGeom prst="rect">
                      <a:avLst/>
                    </a:prstGeom>
                    <a:noFill/>
                    <a:ln>
                      <a:noFill/>
                    </a:ln>
                  </pic:spPr>
                </pic:pic>
              </a:graphicData>
            </a:graphic>
          </wp:anchor>
        </w:drawing>
      </w:r>
    </w:p>
    <w:p>
      <w:pPr>
        <w:pageBreakBefore w:val="0"/>
        <w:kinsoku/>
        <w:overflowPunct/>
        <w:topLinePunct w:val="0"/>
        <w:autoSpaceDE/>
        <w:autoSpaceDN/>
        <w:bidi w:val="0"/>
        <w:spacing w:line="560" w:lineRule="exact"/>
        <w:ind w:firstLine="0" w:firstLineChars="0"/>
        <w:jc w:val="center"/>
        <w:rPr>
          <w:rFonts w:hint="eastAsia" w:ascii="方正小标宋简体" w:hAnsi="方正小标宋简体" w:eastAsia="方正小标宋简体" w:cs="方正小标宋简体"/>
          <w:b w:val="0"/>
          <w:bCs/>
          <w:sz w:val="36"/>
          <w:szCs w:val="32"/>
          <w:lang w:val="en-US" w:eastAsia="zh-CN"/>
        </w:rPr>
      </w:pPr>
    </w:p>
    <w:p>
      <w:pPr>
        <w:pageBreakBefore w:val="0"/>
        <w:kinsoku/>
        <w:overflowPunct/>
        <w:topLinePunct w:val="0"/>
        <w:autoSpaceDE/>
        <w:autoSpaceDN/>
        <w:bidi w:val="0"/>
        <w:spacing w:line="560" w:lineRule="exact"/>
        <w:ind w:firstLine="0" w:firstLineChars="0"/>
        <w:jc w:val="center"/>
        <w:rPr>
          <w:rFonts w:hint="eastAsia" w:ascii="方正小标宋简体" w:hAnsi="方正小标宋简体" w:eastAsia="方正小标宋简体" w:cs="方正小标宋简体"/>
          <w:b w:val="0"/>
          <w:bCs/>
          <w:sz w:val="36"/>
          <w:szCs w:val="28"/>
          <w:lang w:val="en-US" w:eastAsia="zh-CN"/>
        </w:rPr>
      </w:pPr>
      <w:r>
        <w:rPr>
          <w:rFonts w:hint="eastAsia" w:ascii="方正小标宋简体" w:hAnsi="方正小标宋简体" w:eastAsia="方正小标宋简体" w:cs="方正小标宋简体"/>
          <w:b w:val="0"/>
          <w:bCs/>
          <w:sz w:val="36"/>
          <w:szCs w:val="32"/>
          <w:lang w:val="en-US" w:eastAsia="zh-CN"/>
        </w:rPr>
        <w:t>2.</w:t>
      </w:r>
      <w:r>
        <w:rPr>
          <w:rFonts w:hint="eastAsia" w:ascii="方正小标宋简体" w:hAnsi="方正小标宋简体" w:eastAsia="方正小标宋简体" w:cs="方正小标宋简体"/>
          <w:b w:val="0"/>
          <w:bCs/>
          <w:sz w:val="36"/>
          <w:szCs w:val="28"/>
        </w:rPr>
        <w:t>济宁市松材线虫病</w:t>
      </w:r>
      <w:r>
        <w:rPr>
          <w:rFonts w:hint="eastAsia" w:ascii="方正小标宋简体" w:hAnsi="方正小标宋简体" w:eastAsia="方正小标宋简体" w:cs="方正小标宋简体"/>
          <w:b w:val="0"/>
          <w:bCs/>
          <w:sz w:val="36"/>
          <w:szCs w:val="28"/>
          <w:lang w:val="en-US" w:eastAsia="zh-CN"/>
        </w:rPr>
        <w:t>分区防治图</w:t>
      </w:r>
    </w:p>
    <w:p>
      <w:pPr>
        <w:rPr>
          <w:rFonts w:hint="eastAsia"/>
          <w:lang w:eastAsia="zh-CN"/>
        </w:rPr>
        <w:sectPr>
          <w:pgSz w:w="11906" w:h="16838"/>
          <w:pgMar w:top="1440" w:right="1803" w:bottom="1440" w:left="1803" w:header="851" w:footer="992" w:gutter="0"/>
          <w:pgNumType w:fmt="decimal"/>
          <w:cols w:space="720" w:num="1"/>
          <w:docGrid w:type="lines" w:linePitch="312" w:charSpace="0"/>
        </w:sectPr>
      </w:pPr>
      <w:r>
        <w:rPr>
          <w:rFonts w:hint="eastAsia"/>
          <w:lang w:eastAsia="zh-CN"/>
        </w:rPr>
        <w:drawing>
          <wp:anchor distT="0" distB="0" distL="114300" distR="114300" simplePos="0" relativeHeight="251661312" behindDoc="0" locked="0" layoutInCell="1" allowOverlap="1">
            <wp:simplePos x="0" y="0"/>
            <wp:positionH relativeFrom="column">
              <wp:posOffset>-43815</wp:posOffset>
            </wp:positionH>
            <wp:positionV relativeFrom="paragraph">
              <wp:posOffset>284480</wp:posOffset>
            </wp:positionV>
            <wp:extent cx="5360035" cy="7574915"/>
            <wp:effectExtent l="0" t="0" r="4445" b="14605"/>
            <wp:wrapTopAndBottom/>
            <wp:docPr id="4" name="图片 8" descr="6887731104fe564d4e8d961addd0e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descr="6887731104fe564d4e8d961addd0e8b"/>
                    <pic:cNvPicPr>
                      <a:picLocks noChangeAspect="1"/>
                    </pic:cNvPicPr>
                  </pic:nvPicPr>
                  <pic:blipFill>
                    <a:blip r:embed="rId21"/>
                    <a:stretch>
                      <a:fillRect/>
                    </a:stretch>
                  </pic:blipFill>
                  <pic:spPr>
                    <a:xfrm>
                      <a:off x="0" y="0"/>
                      <a:ext cx="5360035" cy="7574915"/>
                    </a:xfrm>
                    <a:prstGeom prst="rect">
                      <a:avLst/>
                    </a:prstGeom>
                    <a:noFill/>
                    <a:ln>
                      <a:noFill/>
                    </a:ln>
                  </pic:spPr>
                </pic:pic>
              </a:graphicData>
            </a:graphic>
          </wp:anchor>
        </w:drawing>
      </w:r>
    </w:p>
    <w:p>
      <w:pPr>
        <w:pageBreakBefore w:val="0"/>
        <w:numPr>
          <w:numId w:val="0"/>
        </w:numPr>
        <w:kinsoku/>
        <w:overflowPunct/>
        <w:topLinePunct w:val="0"/>
        <w:autoSpaceDE/>
        <w:autoSpaceDN/>
        <w:bidi w:val="0"/>
        <w:spacing w:line="560" w:lineRule="exact"/>
        <w:ind w:leftChars="0"/>
        <w:jc w:val="center"/>
        <w:rPr>
          <w:rFonts w:hint="default" w:ascii="方正小标宋简体" w:hAnsi="方正小标宋简体" w:eastAsia="方正小标宋简体" w:cs="方正小标宋简体"/>
          <w:b w:val="0"/>
          <w:bCs/>
          <w:sz w:val="36"/>
          <w:szCs w:val="28"/>
          <w:lang w:val="en-US" w:eastAsia="zh-CN"/>
        </w:rPr>
      </w:pPr>
      <w:r>
        <w:rPr>
          <w:rFonts w:hint="eastAsia"/>
          <w:lang w:eastAsia="zh-CN"/>
        </w:rPr>
        <w:drawing>
          <wp:anchor distT="0" distB="0" distL="114300" distR="114300" simplePos="0" relativeHeight="251662336" behindDoc="0" locked="0" layoutInCell="1" allowOverlap="1">
            <wp:simplePos x="0" y="0"/>
            <wp:positionH relativeFrom="column">
              <wp:posOffset>62230</wp:posOffset>
            </wp:positionH>
            <wp:positionV relativeFrom="paragraph">
              <wp:posOffset>537845</wp:posOffset>
            </wp:positionV>
            <wp:extent cx="5222240" cy="6518910"/>
            <wp:effectExtent l="0" t="0" r="5080" b="3810"/>
            <wp:wrapSquare wrapText="bothSides"/>
            <wp:docPr id="5" name="图片 9" descr="813446db9f765282092e6273bfecb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 descr="813446db9f765282092e6273bfecbc4"/>
                    <pic:cNvPicPr>
                      <a:picLocks noChangeAspect="1"/>
                    </pic:cNvPicPr>
                  </pic:nvPicPr>
                  <pic:blipFill>
                    <a:blip r:embed="rId22"/>
                    <a:stretch>
                      <a:fillRect/>
                    </a:stretch>
                  </pic:blipFill>
                  <pic:spPr>
                    <a:xfrm>
                      <a:off x="0" y="0"/>
                      <a:ext cx="5222240" cy="6518910"/>
                    </a:xfrm>
                    <a:prstGeom prst="rect">
                      <a:avLst/>
                    </a:prstGeom>
                    <a:noFill/>
                    <a:ln>
                      <a:noFill/>
                    </a:ln>
                  </pic:spPr>
                </pic:pic>
              </a:graphicData>
            </a:graphic>
          </wp:anchor>
        </w:drawing>
      </w:r>
      <w:r>
        <w:rPr>
          <w:rFonts w:hint="eastAsia" w:ascii="方正小标宋简体" w:hAnsi="方正小标宋简体" w:eastAsia="方正小标宋简体" w:cs="方正小标宋简体"/>
          <w:b w:val="0"/>
          <w:bCs/>
          <w:sz w:val="36"/>
          <w:szCs w:val="28"/>
          <w:lang w:val="en-US" w:eastAsia="zh-CN"/>
        </w:rPr>
        <w:t>3.</w:t>
      </w:r>
      <w:r>
        <w:rPr>
          <w:rFonts w:hint="eastAsia" w:ascii="方正小标宋简体" w:hAnsi="方正小标宋简体" w:eastAsia="方正小标宋简体" w:cs="方正小标宋简体"/>
          <w:b w:val="0"/>
          <w:bCs/>
          <w:sz w:val="36"/>
          <w:szCs w:val="28"/>
        </w:rPr>
        <w:t>济宁市</w:t>
      </w:r>
      <w:r>
        <w:rPr>
          <w:rFonts w:hint="eastAsia" w:ascii="方正小标宋简体" w:hAnsi="方正小标宋简体" w:eastAsia="方正小标宋简体" w:cs="方正小标宋简体"/>
          <w:b w:val="0"/>
          <w:bCs/>
          <w:sz w:val="36"/>
          <w:szCs w:val="28"/>
          <w:lang w:val="en-US" w:eastAsia="zh-CN"/>
        </w:rPr>
        <w:t>美国白蛾绿色防控示范区分布图</w:t>
      </w:r>
    </w:p>
    <w:p>
      <w:pPr>
        <w:pageBreakBefore w:val="0"/>
        <w:widowControl w:val="0"/>
        <w:kinsoku/>
        <w:wordWrap/>
        <w:overflowPunct/>
        <w:topLinePunct w:val="0"/>
        <w:autoSpaceDE/>
        <w:autoSpaceDN/>
        <w:adjustRightInd/>
        <w:snapToGrid/>
        <w:spacing w:line="240" w:lineRule="exact"/>
        <w:textAlignment w:val="auto"/>
        <w:rPr>
          <w:rFonts w:hint="eastAsia" w:ascii="方正小标宋简体" w:hAnsi="方正小标宋简体" w:eastAsia="方正小标宋简体" w:cs="方正小标宋简体"/>
          <w:b w:val="0"/>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Times New Roman" w:hAnsi="Times New Roman" w:eastAsia="方正黑体简体" w:cs="Times New Roman"/>
          <w:b w:val="0"/>
          <w:bCs/>
          <w:color w:val="auto"/>
          <w:sz w:val="28"/>
          <w:szCs w:val="28"/>
        </w:rPr>
      </w:pPr>
    </w:p>
    <w:p>
      <w:pPr>
        <w:keepNext w:val="0"/>
        <w:keepLines w:val="0"/>
        <w:pageBreakBefore w:val="0"/>
        <w:wordWrap/>
        <w:topLinePunct w:val="0"/>
        <w:bidi w:val="0"/>
        <w:spacing w:line="560" w:lineRule="exact"/>
        <w:ind w:firstLine="0" w:firstLineChars="0"/>
        <w:rPr>
          <w:rFonts w:hint="eastAsia" w:ascii="方正楷体简体" w:hAnsi="方正楷体简体" w:eastAsia="方正楷体简体" w:cs="方正楷体简体"/>
          <w:b w:val="0"/>
          <w:bCs/>
          <w:color w:val="auto"/>
          <w:sz w:val="28"/>
          <w:szCs w:val="28"/>
          <w:lang w:val="en-US" w:eastAsia="zh-CN"/>
        </w:rPr>
      </w:pPr>
      <w:r>
        <w:rPr>
          <w:rFonts w:hint="default" w:ascii="Times New Roman" w:hAnsi="Times New Roman" w:eastAsia="方正黑体简体" w:cs="Times New Roman"/>
          <w:b w:val="0"/>
          <w:bCs/>
          <w:color w:val="auto"/>
          <w:sz w:val="28"/>
          <w:szCs w:val="28"/>
        </w:rPr>
        <w:t>公开方式：</w:t>
      </w:r>
      <w:r>
        <w:rPr>
          <w:rFonts w:hint="eastAsia" w:ascii="方正楷体简体" w:hAnsi="方正楷体简体" w:eastAsia="方正楷体简体" w:cs="方正楷体简体"/>
          <w:b w:val="0"/>
          <w:bCs/>
          <w:color w:val="auto"/>
          <w:sz w:val="28"/>
          <w:szCs w:val="28"/>
          <w:lang w:val="en-US" w:eastAsia="zh-CN"/>
        </w:rPr>
        <w:t>主动公开</w:t>
      </w:r>
    </w:p>
    <w:p>
      <w:pPr>
        <w:snapToGrid w:val="0"/>
        <w:spacing w:line="560" w:lineRule="exact"/>
        <w:ind w:firstLine="0" w:firstLineChars="0"/>
        <w:rPr>
          <w:rFonts w:hint="default" w:ascii="Times New Roman" w:hAnsi="Times New Roman" w:eastAsia="仿宋" w:cs="宋体"/>
          <w:lang w:val="en-US" w:eastAsia="zh-CN"/>
        </w:rPr>
      </w:pPr>
      <w:r>
        <w:rPr>
          <w:rFonts w:hint="default" w:ascii="Times New Roman" w:hAnsi="Times New Roman" w:eastAsia="方正仿宋简体" w:cs="Times New Roman"/>
          <w:b w:val="0"/>
          <w:bCs/>
          <w:color w:val="auto"/>
          <w:kern w:val="2"/>
          <w:sz w:val="28"/>
          <w:szCs w:val="28"/>
          <w:lang w:val="en-US" w:eastAsia="zh-CN" w:bidi="ar-SA"/>
        </w:rPr>
        <mc:AlternateContent>
          <mc:Choice Requires="wps">
            <w:drawing>
              <wp:anchor distT="0" distB="0" distL="114300" distR="114300" simplePos="0" relativeHeight="251669504" behindDoc="0" locked="0" layoutInCell="1" allowOverlap="1">
                <wp:simplePos x="0" y="0"/>
                <wp:positionH relativeFrom="column">
                  <wp:posOffset>-15875</wp:posOffset>
                </wp:positionH>
                <wp:positionV relativeFrom="paragraph">
                  <wp:posOffset>398780</wp:posOffset>
                </wp:positionV>
                <wp:extent cx="5606415" cy="13970"/>
                <wp:effectExtent l="0" t="6350" r="1905" b="10160"/>
                <wp:wrapNone/>
                <wp:docPr id="7" name="直接连接符 1"/>
                <wp:cNvGraphicFramePr/>
                <a:graphic xmlns:a="http://schemas.openxmlformats.org/drawingml/2006/main">
                  <a:graphicData uri="http://schemas.microsoft.com/office/word/2010/wordprocessingShape">
                    <wps:wsp>
                      <wps:cNvCnPr/>
                      <wps:spPr>
                        <a:xfrm flipV="1">
                          <a:off x="0" y="0"/>
                          <a:ext cx="5606415" cy="13970"/>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直接连接符 1" o:spid="_x0000_s1026" o:spt="20" style="position:absolute;left:0pt;flip:y;margin-left:-1.25pt;margin-top:31.4pt;height:1.1pt;width:441.45pt;z-index:251669504;mso-width-relative:page;mso-height-relative:page;" filled="f" stroked="t" coordsize="21600,21600" o:gfxdata="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UArddcAAAAIAQAADwAAAAAAAAABACAAAAAiAAAAZHJzL2Rvd25yZXYueG1sUEsBAhQAFAAAAAgA&#10;h07iQCJ3QzjtAQAAswMAAA4AAAAAAAAAAQAgAAAAJgEAAGRycy9lMm9Eb2MueG1sUEsFBgAAAAAG&#10;AAYAWQEAAIUFAAAAAA==&#10;">
                <v:fill on="f" focussize="0,0"/>
                <v:stroke weight="1pt" color="#000000" joinstyle="round"/>
                <v:imagedata o:title=""/>
                <o:lock v:ext="edit" aspectratio="f"/>
              </v:line>
            </w:pict>
          </mc:Fallback>
        </mc:AlternateContent>
      </w:r>
      <w:r>
        <w:rPr>
          <w:rFonts w:hint="default" w:ascii="Times New Roman" w:hAnsi="Times New Roman" w:eastAsia="方正仿宋简体" w:cs="Times New Roman"/>
          <w:b w:val="0"/>
          <w:bCs/>
          <w:color w:val="auto"/>
          <w:kern w:val="2"/>
          <w:sz w:val="28"/>
          <w:szCs w:val="28"/>
          <w:lang w:val="en-US" w:eastAsia="zh-CN" w:bidi="ar-SA"/>
        </w:rPr>
        <mc:AlternateContent>
          <mc:Choice Requires="wps">
            <w:drawing>
              <wp:anchor distT="0" distB="0" distL="114300" distR="114300" simplePos="0" relativeHeight="251670528" behindDoc="0" locked="0" layoutInCell="1" allowOverlap="1">
                <wp:simplePos x="0" y="0"/>
                <wp:positionH relativeFrom="column">
                  <wp:posOffset>-15875</wp:posOffset>
                </wp:positionH>
                <wp:positionV relativeFrom="paragraph">
                  <wp:posOffset>27305</wp:posOffset>
                </wp:positionV>
                <wp:extent cx="5606415" cy="13970"/>
                <wp:effectExtent l="0" t="6350" r="1905" b="10160"/>
                <wp:wrapNone/>
                <wp:docPr id="8" name="直接连接符 2"/>
                <wp:cNvGraphicFramePr/>
                <a:graphic xmlns:a="http://schemas.openxmlformats.org/drawingml/2006/main">
                  <a:graphicData uri="http://schemas.microsoft.com/office/word/2010/wordprocessingShape">
                    <wps:wsp>
                      <wps:cNvCnPr/>
                      <wps:spPr>
                        <a:xfrm flipV="1">
                          <a:off x="0" y="0"/>
                          <a:ext cx="5606415" cy="13970"/>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直接连接符 2" o:spid="_x0000_s1026" o:spt="20" style="position:absolute;left:0pt;flip:y;margin-left:-1.25pt;margin-top:2.15pt;height:1.1pt;width:441.45pt;z-index:251670528;mso-width-relative:page;mso-height-relative:page;" filled="f" stroked="t" coordsize="21600,21600" o:gfxdata="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N&#10;Fe9q1gAAAAYBAAAPAAAAAAAAAAEAIAAAACIAAABkcnMvZG93bnJldi54bWxQSwECFAAUAAAACACH&#10;TuJAawrT7e0BAACzAwAADgAAAAAAAAABACAAAAAlAQAAZHJzL2Uyb0RvYy54bWxQSwUGAAAAAAYA&#10;BgBZAQAAhAUAAAAA&#10;">
                <v:fill on="f" focussize="0,0"/>
                <v:stroke weight="1pt" color="#000000" joinstyle="round"/>
                <v:imagedata o:title=""/>
                <o:lock v:ext="edit" aspectratio="f"/>
              </v:line>
            </w:pict>
          </mc:Fallback>
        </mc:AlternateContent>
      </w:r>
      <w:r>
        <w:rPr>
          <w:rFonts w:hint="default" w:ascii="Times New Roman" w:hAnsi="Times New Roman" w:eastAsia="方正仿宋简体" w:cs="Times New Roman"/>
          <w:b w:val="0"/>
          <w:bCs/>
          <w:color w:val="auto"/>
          <w:kern w:val="2"/>
          <w:sz w:val="28"/>
          <w:szCs w:val="28"/>
          <w:lang w:val="en-US" w:eastAsia="zh-CN" w:bidi="ar-SA"/>
        </w:rPr>
        <w:t>　</w:t>
      </w:r>
      <w:r>
        <w:rPr>
          <w:rFonts w:hint="eastAsia" w:ascii="方正仿宋简体" w:hAnsi="方正仿宋简体" w:eastAsia="方正仿宋简体" w:cs="方正仿宋简体"/>
          <w:b w:val="0"/>
          <w:bCs/>
          <w:color w:val="auto"/>
          <w:kern w:val="2"/>
          <w:sz w:val="28"/>
          <w:szCs w:val="28"/>
          <w:lang w:val="en-US" w:eastAsia="zh-CN" w:bidi="ar-SA"/>
        </w:rPr>
        <w:t>济宁市自然资源和规划局办公室　  　　  　 2022年</w:t>
      </w:r>
      <w:r>
        <w:rPr>
          <w:rFonts w:hint="eastAsia" w:cs="方正仿宋简体"/>
          <w:b w:val="0"/>
          <w:bCs/>
          <w:color w:val="auto"/>
          <w:kern w:val="2"/>
          <w:sz w:val="28"/>
          <w:szCs w:val="28"/>
          <w:lang w:val="en-US" w:eastAsia="zh-CN" w:bidi="ar-SA"/>
        </w:rPr>
        <w:t>9</w:t>
      </w:r>
      <w:r>
        <w:rPr>
          <w:rFonts w:hint="eastAsia" w:ascii="方正仿宋简体" w:hAnsi="方正仿宋简体" w:eastAsia="方正仿宋简体" w:cs="方正仿宋简体"/>
          <w:b w:val="0"/>
          <w:bCs/>
          <w:color w:val="auto"/>
          <w:kern w:val="2"/>
          <w:sz w:val="28"/>
          <w:szCs w:val="28"/>
          <w:lang w:val="en-US" w:eastAsia="zh-CN" w:bidi="ar-SA"/>
        </w:rPr>
        <w:t>月</w:t>
      </w:r>
      <w:r>
        <w:rPr>
          <w:rFonts w:hint="eastAsia" w:cs="方正仿宋简体"/>
          <w:b w:val="0"/>
          <w:bCs/>
          <w:color w:val="auto"/>
          <w:kern w:val="2"/>
          <w:sz w:val="28"/>
          <w:szCs w:val="28"/>
          <w:lang w:val="en-US" w:eastAsia="zh-CN" w:bidi="ar-SA"/>
        </w:rPr>
        <w:t>21</w:t>
      </w:r>
      <w:r>
        <w:rPr>
          <w:rFonts w:hint="eastAsia" w:ascii="方正仿宋简体" w:hAnsi="方正仿宋简体" w:eastAsia="方正仿宋简体" w:cs="方正仿宋简体"/>
          <w:b w:val="0"/>
          <w:bCs/>
          <w:color w:val="auto"/>
          <w:kern w:val="2"/>
          <w:sz w:val="28"/>
          <w:szCs w:val="28"/>
          <w:lang w:val="en-US" w:eastAsia="zh-CN" w:bidi="ar-SA"/>
        </w:rPr>
        <w:t>日印发　</w:t>
      </w:r>
    </w:p>
    <w:sectPr>
      <w:pgSz w:w="11906" w:h="16838"/>
      <w:pgMar w:top="2098" w:right="1474" w:bottom="1984" w:left="1587" w:header="851" w:footer="1474"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E32AD8F-E41D-430E-9209-24DF14AD3F7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31A78602-2AD2-4DF3-B30E-2C33D4820066}"/>
  </w:font>
  <w:font w:name="方正仿宋简体">
    <w:panose1 w:val="02010601030101010101"/>
    <w:charset w:val="86"/>
    <w:family w:val="auto"/>
    <w:pitch w:val="default"/>
    <w:sig w:usb0="00000001" w:usb1="080E0000" w:usb2="00000000" w:usb3="00000000" w:csb0="00040000" w:csb1="00000000"/>
    <w:embedRegular r:id="rId3" w:fontKey="{6F309870-9540-4787-AB4A-F42F79543879}"/>
  </w:font>
  <w:font w:name="方正黑体简体">
    <w:panose1 w:val="03000509000000000000"/>
    <w:charset w:val="86"/>
    <w:family w:val="auto"/>
    <w:pitch w:val="default"/>
    <w:sig w:usb0="00000001" w:usb1="080E0000" w:usb2="00000000" w:usb3="00000000" w:csb0="00040000" w:csb1="00000000"/>
    <w:embedRegular r:id="rId4" w:fontKey="{5E14C8BC-41B3-4B3C-80A2-9A245646CBC5}"/>
  </w:font>
  <w:font w:name="方正楷体简体">
    <w:panose1 w:val="02010601030101010101"/>
    <w:charset w:val="86"/>
    <w:family w:val="auto"/>
    <w:pitch w:val="default"/>
    <w:sig w:usb0="00000001" w:usb1="080E0000" w:usb2="00000000" w:usb3="00000000" w:csb0="00040000" w:csb1="00000000"/>
    <w:embedRegular r:id="rId5" w:fontKey="{C2B2C665-FDE8-4DEC-BDE5-83E0BA4B0080}"/>
  </w:font>
  <w:font w:name="Arial">
    <w:panose1 w:val="020B0604020202020204"/>
    <w:charset w:val="00"/>
    <w:family w:val="swiss"/>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embedRegular r:id="rId6" w:fontKey="{14C9E2AF-F08A-4F20-BC56-65EA64134816}"/>
  </w:font>
  <w:font w:name="华文仿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embedRegular r:id="rId7" w:fontKey="{A00C4410-E7D5-49DC-9994-D58D101407A1}"/>
  </w:font>
  <w:font w:name="楷体">
    <w:panose1 w:val="02010609060101010101"/>
    <w:charset w:val="86"/>
    <w:family w:val="auto"/>
    <w:pitch w:val="default"/>
    <w:sig w:usb0="800002BF" w:usb1="38CF7CFA" w:usb2="00000016" w:usb3="00000000" w:csb0="00040001" w:csb1="00000000"/>
    <w:embedRegular r:id="rId8" w:fontKey="{F47B5CB8-87ED-46D4-9CC2-9DA141395A15}"/>
  </w:font>
  <w:font w:name="@宋体">
    <w:panose1 w:val="02010600030101010101"/>
    <w:charset w:val="86"/>
    <w:family w:val="auto"/>
    <w:pitch w:val="variable"/>
    <w:sig w:usb0="00000003" w:usb1="288F0000" w:usb2="00000006" w:usb3="00000000" w:csb0="00040001" w:csb1="00000000"/>
  </w:font>
  <w:font w:name="Cambria Math">
    <w:panose1 w:val="02040503050406030204"/>
    <w:charset w:val="00"/>
    <w:family w:val="auto"/>
    <w:pitch w:val="variable"/>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keepNext w:val="0"/>
      <w:keepLines w:val="0"/>
      <w:pageBreakBefore w:val="0"/>
      <w:widowControl/>
      <w:tabs>
        <w:tab w:val="left" w:pos="5628"/>
        <w:tab w:val="left" w:pos="8080"/>
      </w:tabs>
      <w:kinsoku/>
      <w:wordWrap w:val="0"/>
      <w:overflowPunct/>
      <w:topLinePunct w:val="0"/>
      <w:autoSpaceDE/>
      <w:autoSpaceDN/>
      <w:bidi w:val="0"/>
      <w:adjustRightInd/>
      <w:snapToGrid w:val="0"/>
      <w:spacing w:line="240" w:lineRule="atLeast"/>
      <w:jc w:val="right"/>
      <w:textAlignment w:val="auto"/>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rPr>
      <w:fldChar w:fldCharType="begin"/>
    </w:r>
    <w:r>
      <w:rPr>
        <w:rFonts w:hint="eastAsia" w:ascii="宋体" w:hAnsi="宋体" w:eastAsia="宋体" w:cs="宋体"/>
        <w:sz w:val="28"/>
        <w:szCs w:val="28"/>
        <w:lang w:val="en-US"/>
      </w:rPr>
      <w:instrText xml:space="preserve"> PAGE   \* MERGEFORMAT </w:instrText>
    </w:r>
    <w:r>
      <w:rPr>
        <w:rFonts w:hint="eastAsia" w:ascii="宋体" w:hAnsi="宋体" w:eastAsia="宋体" w:cs="宋体"/>
        <w:sz w:val="28"/>
        <w:szCs w:val="28"/>
        <w:lang w:val="en-US"/>
      </w:rPr>
      <w:fldChar w:fldCharType="separate"/>
    </w:r>
    <w:r>
      <w:rPr>
        <w:rFonts w:hint="eastAsia" w:ascii="宋体" w:hAnsi="宋体" w:eastAsia="宋体" w:cs="宋体"/>
        <w:sz w:val="28"/>
        <w:szCs w:val="28"/>
        <w:lang w:val="en-US"/>
      </w:rPr>
      <w:t>1</w:t>
    </w:r>
    <w:r>
      <w:rPr>
        <w:rFonts w:hint="eastAsia" w:ascii="宋体" w:hAnsi="宋体" w:eastAsia="宋体" w:cs="宋体"/>
        <w:sz w:val="28"/>
        <w:szCs w:val="28"/>
        <w:lang w:val="en-US"/>
      </w:rPr>
      <w:fldChar w:fldCharType="end"/>
    </w:r>
    <w:r>
      <w:rPr>
        <w:rFonts w:hint="eastAsia" w:ascii="宋体" w:hAnsi="宋体" w:eastAsia="宋体" w:cs="宋体"/>
        <w:sz w:val="28"/>
        <w:szCs w:val="28"/>
        <w:lang w:val="en-US"/>
      </w:rPr>
      <w:t xml:space="preserve"> </w:t>
    </w:r>
    <w:r>
      <w:rPr>
        <w:rFonts w:hint="eastAsia" w:ascii="宋体" w:hAnsi="宋体" w:eastAsia="宋体" w:cs="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suppressLineNumbers w:val="0"/>
      <w:tabs>
        <w:tab w:val="left" w:pos="5628"/>
        <w:tab w:val="left" w:pos="8080"/>
      </w:tabs>
      <w:kinsoku/>
      <w:wordWrap/>
      <w:overflowPunct/>
      <w:topLinePunct w:val="0"/>
      <w:autoSpaceDE/>
      <w:autoSpaceDN/>
      <w:bidi w:val="0"/>
      <w:adjustRightInd/>
      <w:snapToGrid w:val="0"/>
      <w:spacing w:before="0" w:beforeAutospacing="0" w:after="0" w:afterAutospacing="0" w:line="240" w:lineRule="atLeast"/>
      <w:ind w:right="0"/>
      <w:jc w:val="left"/>
      <w:textAlignment w:val="auto"/>
    </w:pPr>
    <w:r>
      <w:rPr>
        <w:rFonts w:hint="eastAsia" w:ascii="宋体" w:hAnsi="宋体" w:eastAsia="宋体" w:cs="宋体"/>
        <w:kern w:val="0"/>
        <w:sz w:val="28"/>
        <w:szCs w:val="28"/>
        <w:lang w:val="en-US" w:eastAsia="zh-CN" w:bidi="ar"/>
      </w:rPr>
      <w:t xml:space="preserve">　— </w:t>
    </w:r>
    <w:r>
      <w:rPr>
        <w:rFonts w:hint="eastAsia" w:ascii="宋体" w:hAnsi="宋体" w:eastAsia="宋体" w:cs="宋体"/>
        <w:kern w:val="0"/>
        <w:sz w:val="28"/>
        <w:szCs w:val="28"/>
        <w:lang w:val="en-US" w:eastAsia="zh-CN" w:bidi="ar"/>
      </w:rPr>
      <w:fldChar w:fldCharType="begin"/>
    </w:r>
    <w:r>
      <w:rPr>
        <w:rFonts w:hint="eastAsia" w:ascii="宋体" w:hAnsi="宋体" w:eastAsia="宋体" w:cs="宋体"/>
        <w:kern w:val="0"/>
        <w:sz w:val="28"/>
        <w:szCs w:val="28"/>
        <w:lang w:val="en-US" w:eastAsia="zh-CN" w:bidi="ar"/>
      </w:rPr>
      <w:instrText xml:space="preserve"> PAGE   \* MERGEFORMAT </w:instrText>
    </w:r>
    <w:r>
      <w:rPr>
        <w:rFonts w:hint="eastAsia" w:ascii="宋体" w:hAnsi="宋体" w:eastAsia="宋体" w:cs="宋体"/>
        <w:kern w:val="0"/>
        <w:sz w:val="28"/>
        <w:szCs w:val="28"/>
        <w:lang w:val="en-US" w:eastAsia="zh-CN" w:bidi="ar"/>
      </w:rPr>
      <w:fldChar w:fldCharType="separate"/>
    </w:r>
    <w:r>
      <w:rPr>
        <w:rFonts w:hint="eastAsia" w:ascii="宋体" w:hAnsi="宋体" w:eastAsia="宋体" w:cs="宋体"/>
        <w:kern w:val="0"/>
        <w:sz w:val="28"/>
        <w:szCs w:val="28"/>
        <w:lang w:val="en-US" w:eastAsia="zh-CN" w:bidi="ar"/>
      </w:rPr>
      <w:t>1</w:t>
    </w:r>
    <w:r>
      <w:rPr>
        <w:rFonts w:hint="eastAsia" w:ascii="宋体" w:hAnsi="宋体" w:eastAsia="宋体" w:cs="宋体"/>
        <w:kern w:val="0"/>
        <w:sz w:val="28"/>
        <w:szCs w:val="28"/>
        <w:lang w:val="en-US" w:eastAsia="zh-CN" w:bidi="ar"/>
      </w:rPr>
      <w:fldChar w:fldCharType="end"/>
    </w:r>
    <w:r>
      <w:rPr>
        <w:rFonts w:hint="eastAsia" w:ascii="宋体" w:hAnsi="宋体" w:eastAsia="宋体" w:cs="宋体"/>
        <w:kern w:val="0"/>
        <w:sz w:val="28"/>
        <w:szCs w:val="28"/>
        <w:lang w:val="en-US" w:eastAsia="zh-CN" w:bidi="ar"/>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wordWrap w:val="0"/>
      <w:ind w:firstLine="560"/>
      <w:jc w:val="right"/>
      <w:rPr>
        <w:rFonts w:eastAsia="宋体"/>
        <w:sz w:val="18"/>
        <w:szCs w:val="18"/>
      </w:rPr>
    </w:pPr>
    <w:r>
      <w:rPr>
        <w:rFonts w:hint="eastAsia" w:ascii="宋体"/>
        <w:sz w:val="28"/>
        <w:szCs w:val="28"/>
      </w:rPr>
      <w:t xml:space="preserve">— </w:t>
    </w:r>
    <w:r>
      <w:rPr>
        <w:rFonts w:ascii="宋体"/>
        <w:sz w:val="28"/>
        <w:szCs w:val="28"/>
      </w:rPr>
      <w:fldChar w:fldCharType="begin"/>
    </w:r>
    <w:r>
      <w:rPr>
        <w:rFonts w:ascii="宋体"/>
        <w:sz w:val="28"/>
        <w:szCs w:val="28"/>
      </w:rPr>
      <w:instrText xml:space="preserve"> PAGE   \* MERGEFORMAT </w:instrText>
    </w:r>
    <w:r>
      <w:rPr>
        <w:rFonts w:ascii="宋体"/>
        <w:sz w:val="28"/>
        <w:szCs w:val="28"/>
      </w:rPr>
      <w:fldChar w:fldCharType="separate"/>
    </w:r>
    <w:r>
      <w:rPr>
        <w:rFonts w:ascii="宋体"/>
        <w:sz w:val="28"/>
        <w:szCs w:val="28"/>
        <w:lang w:val="zh-CN"/>
      </w:rPr>
      <w:t>1</w:t>
    </w:r>
    <w:r>
      <w:rPr>
        <w:rFonts w:ascii="宋体"/>
        <w:sz w:val="28"/>
        <w:szCs w:val="28"/>
      </w:rPr>
      <w:fldChar w:fldCharType="end"/>
    </w:r>
    <w:r>
      <w:rPr>
        <w:rFonts w:hint="eastAsia" w:ascii="宋体"/>
        <w:sz w:val="28"/>
        <w:szCs w:val="28"/>
      </w:rPr>
      <w:t xml:space="preserve"> —　</w: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43535" cy="131445"/>
              <wp:effectExtent l="0" t="0" r="0" b="0"/>
              <wp:wrapNone/>
              <wp:docPr id="10" name="文本框 30"/>
              <wp:cNvGraphicFramePr/>
              <a:graphic xmlns:a="http://schemas.openxmlformats.org/drawingml/2006/main">
                <a:graphicData uri="http://schemas.microsoft.com/office/word/2010/wordprocessingShape">
                  <wps:wsp>
                    <wps:cNvSpPr txBox="1"/>
                    <wps:spPr>
                      <a:xfrm>
                        <a:off x="0" y="0"/>
                        <a:ext cx="343535" cy="131445"/>
                      </a:xfrm>
                      <a:prstGeom prst="rect">
                        <a:avLst/>
                      </a:prstGeom>
                      <a:noFill/>
                      <a:ln>
                        <a:noFill/>
                      </a:ln>
                    </wps:spPr>
                    <wps:txbx>
                      <w:txbxContent>
                        <w:p>
                          <w:pPr>
                            <w:tabs>
                              <w:tab w:val="center" w:pos="4153"/>
                              <w:tab w:val="right" w:pos="8306"/>
                            </w:tabs>
                            <w:ind w:firstLine="360"/>
                          </w:pPr>
                        </w:p>
                      </w:txbxContent>
                    </wps:txbx>
                    <wps:bodyPr wrap="none" lIns="0" tIns="0" rIns="0" bIns="0" upright="0">
                      <a:spAutoFit/>
                    </wps:bodyPr>
                  </wps:wsp>
                </a:graphicData>
              </a:graphic>
            </wp:anchor>
          </w:drawing>
        </mc:Choice>
        <mc:Fallback>
          <w:pict>
            <v:shape id="文本框 30" o:spid="_x0000_s1026" o:spt="202" type="#_x0000_t202" style="position:absolute;left:0pt;margin-top:0pt;height:10.35pt;width:27.05pt;mso-position-horizontal:center;mso-position-horizontal-relative:margin;mso-wrap-style:none;z-index:251659264;mso-width-relative:page;mso-height-relative:page;" filled="f" stroked="f" coordsize="21600,21600" o:gfxdata="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A6baBXRAAAA&#10;AwEAAA8AAAAAAAAAAQAgAAAAIgAAAGRycy9kb3ducmV2LnhtbFBLAQIUABQAAAAIAIdO4kBQbgYW&#10;sgEAAEsDAAAOAAAAAAAAAAEAIAAAACABAABkcnMvZTJvRG9jLnhtbFBLBQYAAAAABgAGAFkBAABE&#10;BQAAAAA=&#10;">
              <v:fill on="f" focussize="0,0"/>
              <v:stroke on="f"/>
              <v:imagedata o:title=""/>
              <o:lock v:ext="edit" aspectratio="f"/>
              <v:textbox inset="0mm,0mm,0mm,0mm" style="mso-fit-shape-to-text:t;">
                <w:txbxContent>
                  <w:p>
                    <w:pPr>
                      <w:tabs>
                        <w:tab w:val="center" w:pos="4153"/>
                        <w:tab w:val="right" w:pos="8306"/>
                      </w:tabs>
                      <w:ind w:firstLine="360"/>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wordWrap w:val="0"/>
      <w:jc w:val="right"/>
      <w:rPr>
        <w:rFonts w:hint="eastAsia" w:eastAsia="宋体"/>
        <w:sz w:val="18"/>
        <w:lang w:val="en-US" w:eastAsia="zh-CN"/>
      </w:rPr>
    </w:pPr>
    <w:r>
      <w:rPr>
        <w:rFonts w:hint="eastAsia" w:ascii="宋体"/>
        <w:sz w:val="28"/>
        <w:szCs w:val="28"/>
      </w:rPr>
      <w:t xml:space="preserve">— </w:t>
    </w:r>
    <w:r>
      <w:rPr>
        <w:rFonts w:ascii="宋体"/>
        <w:sz w:val="28"/>
        <w:szCs w:val="28"/>
      </w:rPr>
      <w:fldChar w:fldCharType="begin"/>
    </w:r>
    <w:r>
      <w:rPr>
        <w:rFonts w:ascii="宋体"/>
        <w:sz w:val="28"/>
        <w:szCs w:val="28"/>
      </w:rPr>
      <w:instrText xml:space="preserve"> PAGE   \* MERGEFORMAT </w:instrText>
    </w:r>
    <w:r>
      <w:rPr>
        <w:rFonts w:ascii="宋体"/>
        <w:sz w:val="28"/>
        <w:szCs w:val="28"/>
      </w:rPr>
      <w:fldChar w:fldCharType="separate"/>
    </w:r>
    <w:r>
      <w:rPr>
        <w:rFonts w:ascii="宋体"/>
        <w:sz w:val="28"/>
        <w:szCs w:val="28"/>
        <w:lang w:val="zh-CN"/>
      </w:rPr>
      <w:t>2</w:t>
    </w:r>
    <w:r>
      <w:rPr>
        <w:rFonts w:ascii="宋体"/>
        <w:sz w:val="28"/>
        <w:szCs w:val="28"/>
      </w:rPr>
      <w:fldChar w:fldCharType="end"/>
    </w:r>
    <w:r>
      <w:rPr>
        <w:rFonts w:hint="eastAsia" w:ascii="宋体"/>
        <w:sz w:val="28"/>
        <w:szCs w:val="28"/>
      </w:rPr>
      <w:t xml:space="preserve"> —　</w: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343535" cy="131445"/>
              <wp:effectExtent l="0" t="0" r="0" b="0"/>
              <wp:wrapNone/>
              <wp:docPr id="11" name="文本框 36"/>
              <wp:cNvGraphicFramePr/>
              <a:graphic xmlns:a="http://schemas.openxmlformats.org/drawingml/2006/main">
                <a:graphicData uri="http://schemas.microsoft.com/office/word/2010/wordprocessingShape">
                  <wps:wsp>
                    <wps:cNvSpPr txBox="1"/>
                    <wps:spPr>
                      <a:xfrm>
                        <a:off x="0" y="0"/>
                        <a:ext cx="343535" cy="131445"/>
                      </a:xfrm>
                      <a:prstGeom prst="rect">
                        <a:avLst/>
                      </a:prstGeom>
                      <a:noFill/>
                      <a:ln>
                        <a:noFill/>
                      </a:ln>
                    </wps:spPr>
                    <wps:txbx>
                      <w:txbxContent>
                        <w:p>
                          <w:pPr>
                            <w:tabs>
                              <w:tab w:val="center" w:pos="4153"/>
                              <w:tab w:val="right" w:pos="8306"/>
                            </w:tabs>
                            <w:ind w:firstLine="360"/>
                          </w:pPr>
                        </w:p>
                      </w:txbxContent>
                    </wps:txbx>
                    <wps:bodyPr wrap="none" lIns="0" tIns="0" rIns="0" bIns="0" upright="0">
                      <a:spAutoFit/>
                    </wps:bodyPr>
                  </wps:wsp>
                </a:graphicData>
              </a:graphic>
            </wp:anchor>
          </w:drawing>
        </mc:Choice>
        <mc:Fallback>
          <w:pict>
            <v:shape id="文本框 36" o:spid="_x0000_s1026" o:spt="202" type="#_x0000_t202" style="position:absolute;left:0pt;margin-top:0pt;height:10.35pt;width:27.05pt;mso-position-horizontal:center;mso-position-horizontal-relative:margin;mso-wrap-style:none;z-index:251660288;mso-width-relative:page;mso-height-relative:page;" filled="f" stroked="f" coordsize="21600,21600" o:gfxdata="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DptoFdEA&#10;AAADAQAADwAAAAAAAAABACAAAAAiAAAAZHJzL2Rvd25yZXYueG1sUEsBAhQAFAAAAAgAh07iQMZR&#10;CK60AQAASwMAAA4AAAAAAAAAAQAgAAAAIAEAAGRycy9lMm9Eb2MueG1sUEsFBgAAAAAGAAYAWQEA&#10;AEYFAAAAAA==&#10;">
              <v:fill on="f" focussize="0,0"/>
              <v:stroke on="f"/>
              <v:imagedata o:title=""/>
              <o:lock v:ext="edit" aspectratio="f"/>
              <v:textbox inset="0mm,0mm,0mm,0mm" style="mso-fit-shape-to-text:t;">
                <w:txbxContent>
                  <w:p>
                    <w:pPr>
                      <w:tabs>
                        <w:tab w:val="center" w:pos="4153"/>
                        <w:tab w:val="right" w:pos="8306"/>
                      </w:tabs>
                      <w:ind w:firstLine="360"/>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0" w:leftChars="0" w:firstLine="0" w:firstLineChars="0"/>
    </w:pPr>
    <w:r>
      <w:rPr>
        <w:rFonts w:hint="eastAsia" w:ascii="宋体"/>
        <w:sz w:val="28"/>
        <w:szCs w:val="28"/>
      </w:rPr>
      <w:t xml:space="preserve">　— </w:t>
    </w:r>
    <w:r>
      <w:rPr>
        <w:rFonts w:ascii="宋体"/>
        <w:sz w:val="28"/>
        <w:szCs w:val="28"/>
      </w:rPr>
      <w:fldChar w:fldCharType="begin"/>
    </w:r>
    <w:r>
      <w:rPr>
        <w:rFonts w:ascii="宋体"/>
        <w:sz w:val="28"/>
        <w:szCs w:val="28"/>
      </w:rPr>
      <w:instrText xml:space="preserve"> PAGE   \* MERGEFORMAT </w:instrText>
    </w:r>
    <w:r>
      <w:rPr>
        <w:rFonts w:ascii="宋体"/>
        <w:sz w:val="28"/>
        <w:szCs w:val="28"/>
      </w:rPr>
      <w:fldChar w:fldCharType="separate"/>
    </w:r>
    <w:r>
      <w:rPr>
        <w:rFonts w:ascii="宋体"/>
        <w:sz w:val="28"/>
        <w:szCs w:val="28"/>
        <w:lang w:val="zh-CN"/>
      </w:rPr>
      <w:t>2</w:t>
    </w:r>
    <w:r>
      <w:rPr>
        <w:rFonts w:ascii="宋体"/>
        <w:sz w:val="28"/>
        <w:szCs w:val="28"/>
      </w:rPr>
      <w:fldChar w:fldCharType="end"/>
    </w:r>
    <w:r>
      <w:rPr>
        <w:rFonts w:hint="eastAsia" w:ascii="宋体"/>
        <w:sz w:val="28"/>
        <w:szCs w:val="2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wordWrap w:val="0"/>
      <w:jc w:val="right"/>
      <w:rPr>
        <w:rFonts w:hint="eastAsia" w:eastAsia="宋体"/>
        <w:lang w:val="en-US" w:eastAsia="zh-CN"/>
      </w:rPr>
    </w:pPr>
    <w:r>
      <w:rPr>
        <w:rFonts w:hint="eastAsia" w:ascii="宋体"/>
        <w:sz w:val="28"/>
        <w:szCs w:val="28"/>
      </w:rPr>
      <w:t xml:space="preserve">— </w:t>
    </w:r>
    <w:r>
      <w:rPr>
        <w:rFonts w:ascii="宋体"/>
        <w:sz w:val="28"/>
        <w:szCs w:val="28"/>
      </w:rPr>
      <w:fldChar w:fldCharType="begin"/>
    </w:r>
    <w:r>
      <w:rPr>
        <w:rFonts w:ascii="宋体"/>
        <w:sz w:val="28"/>
        <w:szCs w:val="28"/>
      </w:rPr>
      <w:instrText xml:space="preserve"> PAGE   \* MERGEFORMAT </w:instrText>
    </w:r>
    <w:r>
      <w:rPr>
        <w:rFonts w:ascii="宋体"/>
        <w:sz w:val="28"/>
        <w:szCs w:val="28"/>
      </w:rPr>
      <w:fldChar w:fldCharType="separate"/>
    </w:r>
    <w:r>
      <w:rPr>
        <w:rFonts w:ascii="宋体"/>
        <w:sz w:val="28"/>
        <w:szCs w:val="28"/>
        <w:lang w:val="zh-CN"/>
      </w:rPr>
      <w:t>2</w:t>
    </w:r>
    <w:r>
      <w:rPr>
        <w:rFonts w:ascii="宋体"/>
        <w:sz w:val="28"/>
        <w:szCs w:val="28"/>
      </w:rPr>
      <w:fldChar w:fldCharType="end"/>
    </w:r>
    <w:r>
      <w:rPr>
        <w:rFonts w:hint="eastAsia" w:ascii="宋体"/>
        <w:sz w:val="28"/>
        <w:szCs w:val="28"/>
      </w:rPr>
      <w:t xml:space="preserve"> —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0" w:firstLineChars="0"/>
      <w:rPr>
        <w:rFonts w:hint="eastAsia"/>
      </w:rPr>
    </w:pPr>
    <w:r>
      <w:rPr>
        <w:rFonts w:hint="eastAsia"/>
      </w:rPr>
      <w:t>济宁市林业有害生物防治“十四五”规划</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0" w:firstLineChars="0"/>
      <w:rPr>
        <w:rFonts w:hint="eastAsia"/>
      </w:rPr>
    </w:pPr>
    <w:r>
      <w:rPr>
        <w:rFonts w:hint="eastAsia"/>
      </w:rPr>
      <w:t>济宁市林业有害生物防治“十四五”规划</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AB8CF5"/>
    <w:multiLevelType w:val="singleLevel"/>
    <w:tmpl w:val="88AB8CF5"/>
    <w:lvl w:ilvl="0" w:tentative="0">
      <w:start w:val="1"/>
      <w:numFmt w:val="chineseCounting"/>
      <w:suff w:val="nothing"/>
      <w:lvlText w:val="%1、"/>
      <w:lvlJc w:val="left"/>
      <w:rPr>
        <w:rFonts w:hint="eastAsia"/>
      </w:rPr>
    </w:lvl>
  </w:abstractNum>
  <w:abstractNum w:abstractNumId="1">
    <w:nsid w:val="8BB4FDD0"/>
    <w:multiLevelType w:val="singleLevel"/>
    <w:tmpl w:val="8BB4FDD0"/>
    <w:lvl w:ilvl="0" w:tentative="0">
      <w:start w:val="1"/>
      <w:numFmt w:val="chineseCounting"/>
      <w:suff w:val="nothing"/>
      <w:lvlText w:val="%1、"/>
      <w:lvlJc w:val="left"/>
      <w:rPr>
        <w:rFonts w:hint="eastAsia"/>
      </w:rPr>
    </w:lvl>
  </w:abstractNum>
  <w:abstractNum w:abstractNumId="2">
    <w:nsid w:val="B1AB2392"/>
    <w:multiLevelType w:val="multilevel"/>
    <w:tmpl w:val="B1AB2392"/>
    <w:lvl w:ilvl="0" w:tentative="0">
      <w:start w:val="1"/>
      <w:numFmt w:val="chineseCountingThousand"/>
      <w:pStyle w:val="3"/>
      <w:lvlText w:val="第%1章 "/>
      <w:lvlJc w:val="left"/>
      <w:pPr>
        <w:tabs>
          <w:tab w:val="left" w:pos="1080"/>
        </w:tabs>
        <w:ind w:left="2520" w:firstLine="0"/>
      </w:pPr>
      <w:rPr>
        <w:rFonts w:hint="eastAsia"/>
        <w:b/>
        <w:i w:val="0"/>
        <w:sz w:val="30"/>
      </w:rPr>
    </w:lvl>
    <w:lvl w:ilvl="1" w:tentative="0">
      <w:start w:val="1"/>
      <w:numFmt w:val="decimal"/>
      <w:isLgl/>
      <w:lvlText w:val="%1.%2"/>
      <w:lvlJc w:val="left"/>
      <w:pPr>
        <w:tabs>
          <w:tab w:val="left" w:pos="720"/>
        </w:tabs>
        <w:ind w:left="2520" w:firstLine="0"/>
      </w:pPr>
      <w:rPr>
        <w:rFonts w:hint="eastAsia"/>
        <w:kern w:val="24"/>
      </w:rPr>
    </w:lvl>
    <w:lvl w:ilvl="2" w:tentative="0">
      <w:start w:val="1"/>
      <w:numFmt w:val="decimal"/>
      <w:isLgl/>
      <w:lvlText w:val="%1.%2.%3"/>
      <w:lvlJc w:val="left"/>
      <w:pPr>
        <w:tabs>
          <w:tab w:val="left" w:pos="720"/>
        </w:tabs>
        <w:ind w:left="2520" w:firstLine="0"/>
      </w:pPr>
      <w:rPr>
        <w:rFonts w:hint="eastAsia"/>
        <w:color w:val="auto"/>
      </w:rPr>
    </w:lvl>
    <w:lvl w:ilvl="3" w:tentative="0">
      <w:start w:val="1"/>
      <w:numFmt w:val="decimal"/>
      <w:isLgl/>
      <w:lvlText w:val="%1.%2.%3.%4"/>
      <w:lvlJc w:val="left"/>
      <w:pPr>
        <w:tabs>
          <w:tab w:val="left" w:pos="1080"/>
        </w:tabs>
        <w:ind w:left="2520" w:firstLine="0"/>
      </w:pPr>
      <w:rPr>
        <w:rFonts w:hint="eastAsia"/>
      </w:rPr>
    </w:lvl>
    <w:lvl w:ilvl="4" w:tentative="0">
      <w:start w:val="1"/>
      <w:numFmt w:val="decimal"/>
      <w:lvlText w:val="%1.%2.%3.%4.%5"/>
      <w:lvlJc w:val="left"/>
      <w:pPr>
        <w:tabs>
          <w:tab w:val="left" w:pos="0"/>
        </w:tabs>
        <w:ind w:left="2520" w:firstLine="0"/>
      </w:pPr>
      <w:rPr>
        <w:rFonts w:hint="eastAsia"/>
      </w:rPr>
    </w:lvl>
    <w:lvl w:ilvl="5" w:tentative="0">
      <w:start w:val="1"/>
      <w:numFmt w:val="decimal"/>
      <w:lvlText w:val="%1.%2.%3.%4.%5.%6"/>
      <w:lvlJc w:val="left"/>
      <w:pPr>
        <w:tabs>
          <w:tab w:val="left" w:pos="0"/>
        </w:tabs>
        <w:ind w:left="2520" w:firstLine="0"/>
      </w:pPr>
      <w:rPr>
        <w:rFonts w:hint="eastAsia"/>
      </w:rPr>
    </w:lvl>
    <w:lvl w:ilvl="6" w:tentative="0">
      <w:start w:val="1"/>
      <w:numFmt w:val="decimal"/>
      <w:lvlText w:val="%1.%2.%3.%4.%5.%6.%7"/>
      <w:lvlJc w:val="left"/>
      <w:pPr>
        <w:tabs>
          <w:tab w:val="left" w:pos="0"/>
        </w:tabs>
        <w:ind w:left="2520" w:firstLine="0"/>
      </w:pPr>
      <w:rPr>
        <w:rFonts w:hint="eastAsia"/>
      </w:rPr>
    </w:lvl>
    <w:lvl w:ilvl="7" w:tentative="0">
      <w:start w:val="1"/>
      <w:numFmt w:val="decimal"/>
      <w:lvlText w:val="%1.%2.%3.%4.%5.%6.%7.%8"/>
      <w:lvlJc w:val="left"/>
      <w:pPr>
        <w:tabs>
          <w:tab w:val="left" w:pos="0"/>
        </w:tabs>
        <w:ind w:left="2520" w:firstLine="0"/>
      </w:pPr>
      <w:rPr>
        <w:rFonts w:hint="eastAsia"/>
      </w:rPr>
    </w:lvl>
    <w:lvl w:ilvl="8" w:tentative="0">
      <w:start w:val="1"/>
      <w:numFmt w:val="decimal"/>
      <w:lvlText w:val="%1.%2.%3.%4.%5.%6.%7.%8.%9"/>
      <w:lvlJc w:val="left"/>
      <w:pPr>
        <w:tabs>
          <w:tab w:val="left" w:pos="0"/>
        </w:tabs>
        <w:ind w:left="2520" w:firstLine="0"/>
      </w:pPr>
      <w:rPr>
        <w:rFonts w:hint="eastAsia"/>
      </w:rPr>
    </w:lvl>
  </w:abstractNum>
  <w:abstractNum w:abstractNumId="3">
    <w:nsid w:val="FB21A03D"/>
    <w:multiLevelType w:val="singleLevel"/>
    <w:tmpl w:val="FB21A03D"/>
    <w:lvl w:ilvl="0" w:tentative="0">
      <w:start w:val="7"/>
      <w:numFmt w:val="chineseCounting"/>
      <w:suff w:val="space"/>
      <w:lvlText w:val="第%1章"/>
      <w:lvlJc w:val="left"/>
      <w:rPr>
        <w:rFonts w:hint="eastAsia"/>
      </w:rPr>
    </w:lvl>
  </w:abstractNum>
  <w:abstractNum w:abstractNumId="4">
    <w:nsid w:val="4B41FFBE"/>
    <w:multiLevelType w:val="singleLevel"/>
    <w:tmpl w:val="4B41FFBE"/>
    <w:lvl w:ilvl="0" w:tentative="0">
      <w:start w:val="1"/>
      <w:numFmt w:val="chineseCounting"/>
      <w:suff w:val="nothing"/>
      <w:lvlText w:val="（%1）"/>
      <w:lvlJc w:val="left"/>
      <w:rPr>
        <w:rFonts w:hint="eastAsia"/>
      </w:rPr>
    </w:lvl>
  </w:abstractNum>
  <w:abstractNum w:abstractNumId="5">
    <w:nsid w:val="6F58A8E5"/>
    <w:multiLevelType w:val="singleLevel"/>
    <w:tmpl w:val="6F58A8E5"/>
    <w:lvl w:ilvl="0" w:tentative="0">
      <w:start w:val="1"/>
      <w:numFmt w:val="decimal"/>
      <w:lvlText w:val="%1."/>
      <w:lvlJc w:val="left"/>
      <w:pPr>
        <w:tabs>
          <w:tab w:val="left" w:pos="312"/>
        </w:tabs>
      </w:p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embedTrueTypeFonts/>
  <w:saveSubsetFonts/>
  <w:bordersDoNotSurroundHeader w:val="1"/>
  <w:bordersDoNotSurroundFooter w:val="1"/>
  <w:documentProtection w:enforcement="0"/>
  <w:defaultTabStop w:val="420"/>
  <w:hyphenationZone w:val="360"/>
  <w:evenAndOddHeaders w:val="1"/>
  <w:drawingGridVerticalSpacing w:val="218"/>
  <w:displayHorizontalDrawingGridEvery w:val="0"/>
  <w:displayVerticalDrawingGridEvery w:val="2"/>
  <w:characterSpacingControl w:val="doNotCompress"/>
  <w:hdrShapeDefaults>
    <o:shapelayout v:ext="edit">
      <o:idmap v:ext="edit" data="2"/>
    </o:shapelayout>
  </w:hdrShapeDefaults>
  <w:compat>
    <w:balanceSingleByteDoubleByteWidth/>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kNzkzNmE4MDMxMmY4MzRkMDU3YzJiZDFmOTI0NjkifQ=="/>
  </w:docVars>
  <w:rsids>
    <w:rsidRoot w:val="00172A27"/>
    <w:rsid w:val="00007743"/>
    <w:rsid w:val="00076D37"/>
    <w:rsid w:val="00092AE0"/>
    <w:rsid w:val="00113B2E"/>
    <w:rsid w:val="00137AAA"/>
    <w:rsid w:val="00150EB2"/>
    <w:rsid w:val="00160A68"/>
    <w:rsid w:val="00186022"/>
    <w:rsid w:val="001A64CB"/>
    <w:rsid w:val="001C34C4"/>
    <w:rsid w:val="001D72BE"/>
    <w:rsid w:val="00246EB7"/>
    <w:rsid w:val="002C40A0"/>
    <w:rsid w:val="002F23ED"/>
    <w:rsid w:val="0030231B"/>
    <w:rsid w:val="00312C3E"/>
    <w:rsid w:val="00331DB1"/>
    <w:rsid w:val="00357CA2"/>
    <w:rsid w:val="003B4593"/>
    <w:rsid w:val="003F62DE"/>
    <w:rsid w:val="00481BC9"/>
    <w:rsid w:val="004A2748"/>
    <w:rsid w:val="004A32CD"/>
    <w:rsid w:val="004D2A8B"/>
    <w:rsid w:val="00522342"/>
    <w:rsid w:val="00534A8F"/>
    <w:rsid w:val="00566991"/>
    <w:rsid w:val="00566D7F"/>
    <w:rsid w:val="00577A1E"/>
    <w:rsid w:val="00593BD9"/>
    <w:rsid w:val="005B4211"/>
    <w:rsid w:val="005F5974"/>
    <w:rsid w:val="00663A37"/>
    <w:rsid w:val="00701372"/>
    <w:rsid w:val="00715D29"/>
    <w:rsid w:val="00717723"/>
    <w:rsid w:val="00736497"/>
    <w:rsid w:val="00780997"/>
    <w:rsid w:val="007F5BDE"/>
    <w:rsid w:val="008219BD"/>
    <w:rsid w:val="00846446"/>
    <w:rsid w:val="00883FA2"/>
    <w:rsid w:val="008B4737"/>
    <w:rsid w:val="008C54E5"/>
    <w:rsid w:val="008D6ABD"/>
    <w:rsid w:val="00914D85"/>
    <w:rsid w:val="00944D6B"/>
    <w:rsid w:val="00995F6C"/>
    <w:rsid w:val="009D5FF5"/>
    <w:rsid w:val="00A0488A"/>
    <w:rsid w:val="00A24864"/>
    <w:rsid w:val="00AC1548"/>
    <w:rsid w:val="00B94F0F"/>
    <w:rsid w:val="00BE0341"/>
    <w:rsid w:val="00C14437"/>
    <w:rsid w:val="00C50010"/>
    <w:rsid w:val="00C56EA0"/>
    <w:rsid w:val="00CE19A6"/>
    <w:rsid w:val="00D663DF"/>
    <w:rsid w:val="00D97756"/>
    <w:rsid w:val="00DB5B88"/>
    <w:rsid w:val="00DF268D"/>
    <w:rsid w:val="00DF7E8F"/>
    <w:rsid w:val="00E27A6E"/>
    <w:rsid w:val="00EC488D"/>
    <w:rsid w:val="00F7314C"/>
    <w:rsid w:val="00F95412"/>
    <w:rsid w:val="00FD3F3E"/>
    <w:rsid w:val="00FE0DBB"/>
    <w:rsid w:val="014B5ED3"/>
    <w:rsid w:val="01520E1B"/>
    <w:rsid w:val="018F2D9E"/>
    <w:rsid w:val="01AC75F0"/>
    <w:rsid w:val="01C0261C"/>
    <w:rsid w:val="01E26800"/>
    <w:rsid w:val="02502C2F"/>
    <w:rsid w:val="025449B7"/>
    <w:rsid w:val="025E3ACE"/>
    <w:rsid w:val="027447BD"/>
    <w:rsid w:val="027D0F8C"/>
    <w:rsid w:val="02954ED9"/>
    <w:rsid w:val="02BD70CE"/>
    <w:rsid w:val="02DA5456"/>
    <w:rsid w:val="02DF1C0D"/>
    <w:rsid w:val="02DF3BEE"/>
    <w:rsid w:val="030577EA"/>
    <w:rsid w:val="0316643D"/>
    <w:rsid w:val="03240585"/>
    <w:rsid w:val="03291BBE"/>
    <w:rsid w:val="033A4F09"/>
    <w:rsid w:val="03721C62"/>
    <w:rsid w:val="037C6A95"/>
    <w:rsid w:val="03994434"/>
    <w:rsid w:val="03A72AC2"/>
    <w:rsid w:val="03C00BB4"/>
    <w:rsid w:val="03CF7E63"/>
    <w:rsid w:val="03D91E5B"/>
    <w:rsid w:val="03E95A4F"/>
    <w:rsid w:val="040A4ECA"/>
    <w:rsid w:val="04242872"/>
    <w:rsid w:val="043D4E77"/>
    <w:rsid w:val="048D4949"/>
    <w:rsid w:val="04BE2BE0"/>
    <w:rsid w:val="04F72269"/>
    <w:rsid w:val="04F93D88"/>
    <w:rsid w:val="04FC5F26"/>
    <w:rsid w:val="05036CD0"/>
    <w:rsid w:val="051B44F5"/>
    <w:rsid w:val="05221515"/>
    <w:rsid w:val="059335EA"/>
    <w:rsid w:val="05BA7FC4"/>
    <w:rsid w:val="05CF7D50"/>
    <w:rsid w:val="05F054F9"/>
    <w:rsid w:val="06184E67"/>
    <w:rsid w:val="062B1DEF"/>
    <w:rsid w:val="06606AC1"/>
    <w:rsid w:val="066573E6"/>
    <w:rsid w:val="06693D01"/>
    <w:rsid w:val="0671047B"/>
    <w:rsid w:val="0671705A"/>
    <w:rsid w:val="069B65C5"/>
    <w:rsid w:val="06C91479"/>
    <w:rsid w:val="06D26705"/>
    <w:rsid w:val="06D61F15"/>
    <w:rsid w:val="06E75701"/>
    <w:rsid w:val="06EE1B7E"/>
    <w:rsid w:val="06FD7E60"/>
    <w:rsid w:val="06FF67CC"/>
    <w:rsid w:val="071347EB"/>
    <w:rsid w:val="075220FB"/>
    <w:rsid w:val="07697332"/>
    <w:rsid w:val="079106F3"/>
    <w:rsid w:val="07D35B75"/>
    <w:rsid w:val="07FC5A03"/>
    <w:rsid w:val="07FF1EB0"/>
    <w:rsid w:val="082A0FAF"/>
    <w:rsid w:val="08394658"/>
    <w:rsid w:val="085A4BBF"/>
    <w:rsid w:val="08A63325"/>
    <w:rsid w:val="08B45416"/>
    <w:rsid w:val="08D13DE0"/>
    <w:rsid w:val="09033401"/>
    <w:rsid w:val="090E559A"/>
    <w:rsid w:val="09242161"/>
    <w:rsid w:val="093B7E1A"/>
    <w:rsid w:val="09874136"/>
    <w:rsid w:val="099E6C32"/>
    <w:rsid w:val="09EE3A26"/>
    <w:rsid w:val="0A03446D"/>
    <w:rsid w:val="0A3232DD"/>
    <w:rsid w:val="0A352DBB"/>
    <w:rsid w:val="0A3A2276"/>
    <w:rsid w:val="0A6A432D"/>
    <w:rsid w:val="0A816574"/>
    <w:rsid w:val="0A880714"/>
    <w:rsid w:val="0A9E0168"/>
    <w:rsid w:val="0A9E1BE8"/>
    <w:rsid w:val="0AB973E1"/>
    <w:rsid w:val="0ABF733F"/>
    <w:rsid w:val="0AD35BED"/>
    <w:rsid w:val="0AD903F2"/>
    <w:rsid w:val="0ADA5CB1"/>
    <w:rsid w:val="0AF11F12"/>
    <w:rsid w:val="0AF306D7"/>
    <w:rsid w:val="0AFB0D65"/>
    <w:rsid w:val="0B00545D"/>
    <w:rsid w:val="0B301648"/>
    <w:rsid w:val="0B3A0EF6"/>
    <w:rsid w:val="0B4505BC"/>
    <w:rsid w:val="0B4F0B33"/>
    <w:rsid w:val="0B7A1110"/>
    <w:rsid w:val="0B7B6B93"/>
    <w:rsid w:val="0B880156"/>
    <w:rsid w:val="0B9131F6"/>
    <w:rsid w:val="0BA10E2F"/>
    <w:rsid w:val="0BB306DD"/>
    <w:rsid w:val="0BBF4C3A"/>
    <w:rsid w:val="0BC03981"/>
    <w:rsid w:val="0BD430E9"/>
    <w:rsid w:val="0BDD7AC5"/>
    <w:rsid w:val="0BE91440"/>
    <w:rsid w:val="0BF94FA6"/>
    <w:rsid w:val="0C04346F"/>
    <w:rsid w:val="0C1C0730"/>
    <w:rsid w:val="0C1E03AC"/>
    <w:rsid w:val="0C3B59EC"/>
    <w:rsid w:val="0C4B356C"/>
    <w:rsid w:val="0C50632F"/>
    <w:rsid w:val="0C716A44"/>
    <w:rsid w:val="0C871260"/>
    <w:rsid w:val="0C8B5B38"/>
    <w:rsid w:val="0CA75454"/>
    <w:rsid w:val="0CAE5516"/>
    <w:rsid w:val="0CB30C73"/>
    <w:rsid w:val="0CBD4DA7"/>
    <w:rsid w:val="0CBE5726"/>
    <w:rsid w:val="0CE37A85"/>
    <w:rsid w:val="0CE73BD2"/>
    <w:rsid w:val="0D1362F9"/>
    <w:rsid w:val="0D172B9D"/>
    <w:rsid w:val="0D287376"/>
    <w:rsid w:val="0D4E166A"/>
    <w:rsid w:val="0D543B6C"/>
    <w:rsid w:val="0D553181"/>
    <w:rsid w:val="0D6C5BC4"/>
    <w:rsid w:val="0D756EE1"/>
    <w:rsid w:val="0D7C792F"/>
    <w:rsid w:val="0DD854B8"/>
    <w:rsid w:val="0DE34399"/>
    <w:rsid w:val="0DF45016"/>
    <w:rsid w:val="0E0C1B9A"/>
    <w:rsid w:val="0E1D13E8"/>
    <w:rsid w:val="0E3B12A4"/>
    <w:rsid w:val="0E83005C"/>
    <w:rsid w:val="0E8F6EBD"/>
    <w:rsid w:val="0EA16002"/>
    <w:rsid w:val="0EB0426D"/>
    <w:rsid w:val="0EB423FF"/>
    <w:rsid w:val="0EDD0B86"/>
    <w:rsid w:val="0EE27AFB"/>
    <w:rsid w:val="0EE81B75"/>
    <w:rsid w:val="0F1F698B"/>
    <w:rsid w:val="0F2B249C"/>
    <w:rsid w:val="0F3D7AD1"/>
    <w:rsid w:val="0F4A7308"/>
    <w:rsid w:val="0F5C7FC3"/>
    <w:rsid w:val="0F7116DC"/>
    <w:rsid w:val="10262F11"/>
    <w:rsid w:val="104F068A"/>
    <w:rsid w:val="106951AC"/>
    <w:rsid w:val="10717012"/>
    <w:rsid w:val="1082785E"/>
    <w:rsid w:val="108F6A5A"/>
    <w:rsid w:val="10A544CA"/>
    <w:rsid w:val="10AA030D"/>
    <w:rsid w:val="10D45130"/>
    <w:rsid w:val="10EF12A7"/>
    <w:rsid w:val="10F93ED3"/>
    <w:rsid w:val="10FC1C2A"/>
    <w:rsid w:val="114243C6"/>
    <w:rsid w:val="114E517B"/>
    <w:rsid w:val="1182211B"/>
    <w:rsid w:val="119C0A31"/>
    <w:rsid w:val="11AB697A"/>
    <w:rsid w:val="11C76D46"/>
    <w:rsid w:val="11D4424E"/>
    <w:rsid w:val="11DC2D60"/>
    <w:rsid w:val="12197D34"/>
    <w:rsid w:val="12323A10"/>
    <w:rsid w:val="1238174A"/>
    <w:rsid w:val="124F64A1"/>
    <w:rsid w:val="125762A7"/>
    <w:rsid w:val="12596BC6"/>
    <w:rsid w:val="12867056"/>
    <w:rsid w:val="12C93BFC"/>
    <w:rsid w:val="12D12AEA"/>
    <w:rsid w:val="12D20E80"/>
    <w:rsid w:val="12FC151B"/>
    <w:rsid w:val="13063E38"/>
    <w:rsid w:val="132202E7"/>
    <w:rsid w:val="13457CD8"/>
    <w:rsid w:val="135809EB"/>
    <w:rsid w:val="135914CB"/>
    <w:rsid w:val="13750ABE"/>
    <w:rsid w:val="13774A13"/>
    <w:rsid w:val="137E7508"/>
    <w:rsid w:val="13902AE7"/>
    <w:rsid w:val="13CA1B57"/>
    <w:rsid w:val="13D52276"/>
    <w:rsid w:val="13F970C2"/>
    <w:rsid w:val="140B4717"/>
    <w:rsid w:val="14100946"/>
    <w:rsid w:val="14411C5D"/>
    <w:rsid w:val="14BE2331"/>
    <w:rsid w:val="14CC23D5"/>
    <w:rsid w:val="15097E4A"/>
    <w:rsid w:val="15165500"/>
    <w:rsid w:val="152B739D"/>
    <w:rsid w:val="159B2535"/>
    <w:rsid w:val="15A46B04"/>
    <w:rsid w:val="15BA30CA"/>
    <w:rsid w:val="15E21E3A"/>
    <w:rsid w:val="15E24179"/>
    <w:rsid w:val="15F16E89"/>
    <w:rsid w:val="160764D3"/>
    <w:rsid w:val="162138AF"/>
    <w:rsid w:val="16291961"/>
    <w:rsid w:val="162C38DD"/>
    <w:rsid w:val="163A719A"/>
    <w:rsid w:val="16443E87"/>
    <w:rsid w:val="16584ED4"/>
    <w:rsid w:val="16695657"/>
    <w:rsid w:val="169C6322"/>
    <w:rsid w:val="16C02CAA"/>
    <w:rsid w:val="16E96798"/>
    <w:rsid w:val="16FE09CB"/>
    <w:rsid w:val="17154959"/>
    <w:rsid w:val="17224A41"/>
    <w:rsid w:val="17277E4E"/>
    <w:rsid w:val="17637248"/>
    <w:rsid w:val="17637FB5"/>
    <w:rsid w:val="17A24D48"/>
    <w:rsid w:val="1802043D"/>
    <w:rsid w:val="181A335A"/>
    <w:rsid w:val="181E568A"/>
    <w:rsid w:val="183D3C50"/>
    <w:rsid w:val="18513D39"/>
    <w:rsid w:val="18645C10"/>
    <w:rsid w:val="1870495A"/>
    <w:rsid w:val="18AB50FF"/>
    <w:rsid w:val="18AB593E"/>
    <w:rsid w:val="18C57E50"/>
    <w:rsid w:val="18CE740E"/>
    <w:rsid w:val="18F55FCA"/>
    <w:rsid w:val="190B65F7"/>
    <w:rsid w:val="193E142B"/>
    <w:rsid w:val="1951371D"/>
    <w:rsid w:val="1952349D"/>
    <w:rsid w:val="19941C6C"/>
    <w:rsid w:val="19B32300"/>
    <w:rsid w:val="19C86EFA"/>
    <w:rsid w:val="19F72274"/>
    <w:rsid w:val="1A231FC1"/>
    <w:rsid w:val="1A4831CD"/>
    <w:rsid w:val="1A497C7A"/>
    <w:rsid w:val="1A4C3C93"/>
    <w:rsid w:val="1A5B3062"/>
    <w:rsid w:val="1A921832"/>
    <w:rsid w:val="1ABD433E"/>
    <w:rsid w:val="1AE34218"/>
    <w:rsid w:val="1B3F2E2B"/>
    <w:rsid w:val="1B4D5D7C"/>
    <w:rsid w:val="1B887F04"/>
    <w:rsid w:val="1B8D1D9F"/>
    <w:rsid w:val="1BB91418"/>
    <w:rsid w:val="1BEF283F"/>
    <w:rsid w:val="1C6F54BC"/>
    <w:rsid w:val="1C7560BA"/>
    <w:rsid w:val="1D755D1E"/>
    <w:rsid w:val="1DBC2875"/>
    <w:rsid w:val="1DC162F0"/>
    <w:rsid w:val="1DE16CAE"/>
    <w:rsid w:val="1DF47BEA"/>
    <w:rsid w:val="1E095671"/>
    <w:rsid w:val="1E2E34F7"/>
    <w:rsid w:val="1E2E3985"/>
    <w:rsid w:val="1E382843"/>
    <w:rsid w:val="1E47365D"/>
    <w:rsid w:val="1E4C4399"/>
    <w:rsid w:val="1E5974FD"/>
    <w:rsid w:val="1EA31660"/>
    <w:rsid w:val="1EBD0825"/>
    <w:rsid w:val="1EC34FD5"/>
    <w:rsid w:val="1EF16E5E"/>
    <w:rsid w:val="1EFA5307"/>
    <w:rsid w:val="1F085674"/>
    <w:rsid w:val="1F0D6FD0"/>
    <w:rsid w:val="1F2765DB"/>
    <w:rsid w:val="1F4A0730"/>
    <w:rsid w:val="1F4C486D"/>
    <w:rsid w:val="1F537541"/>
    <w:rsid w:val="1F590BD5"/>
    <w:rsid w:val="1F8835CC"/>
    <w:rsid w:val="1F964BB8"/>
    <w:rsid w:val="1FA032A0"/>
    <w:rsid w:val="1FC3712B"/>
    <w:rsid w:val="1FE47C93"/>
    <w:rsid w:val="1FFA7AC6"/>
    <w:rsid w:val="200135AF"/>
    <w:rsid w:val="200A19B2"/>
    <w:rsid w:val="200E5C2C"/>
    <w:rsid w:val="20670F3B"/>
    <w:rsid w:val="206741AE"/>
    <w:rsid w:val="206744F5"/>
    <w:rsid w:val="20905160"/>
    <w:rsid w:val="20EA7E74"/>
    <w:rsid w:val="216E7FC6"/>
    <w:rsid w:val="217816AC"/>
    <w:rsid w:val="218D6AF2"/>
    <w:rsid w:val="21A47301"/>
    <w:rsid w:val="21BF3CFE"/>
    <w:rsid w:val="21C1459A"/>
    <w:rsid w:val="21C61E64"/>
    <w:rsid w:val="21DB52F3"/>
    <w:rsid w:val="21DC7B99"/>
    <w:rsid w:val="21E02611"/>
    <w:rsid w:val="21ED3735"/>
    <w:rsid w:val="220B4B2D"/>
    <w:rsid w:val="22154323"/>
    <w:rsid w:val="22586487"/>
    <w:rsid w:val="225E628C"/>
    <w:rsid w:val="227710FC"/>
    <w:rsid w:val="22AA383E"/>
    <w:rsid w:val="22CA4883"/>
    <w:rsid w:val="22D97A49"/>
    <w:rsid w:val="22E91358"/>
    <w:rsid w:val="22F3397D"/>
    <w:rsid w:val="2377133F"/>
    <w:rsid w:val="238637C3"/>
    <w:rsid w:val="238735C1"/>
    <w:rsid w:val="239A27CF"/>
    <w:rsid w:val="23A554BE"/>
    <w:rsid w:val="23A7593C"/>
    <w:rsid w:val="23B95C5F"/>
    <w:rsid w:val="23CA0716"/>
    <w:rsid w:val="23E531A4"/>
    <w:rsid w:val="23EE6712"/>
    <w:rsid w:val="23FA593A"/>
    <w:rsid w:val="24033826"/>
    <w:rsid w:val="2418238D"/>
    <w:rsid w:val="247278C7"/>
    <w:rsid w:val="24A826C3"/>
    <w:rsid w:val="24AC5900"/>
    <w:rsid w:val="24C807E5"/>
    <w:rsid w:val="24DF67AD"/>
    <w:rsid w:val="24F9366F"/>
    <w:rsid w:val="250724D0"/>
    <w:rsid w:val="250A27D5"/>
    <w:rsid w:val="250B38AA"/>
    <w:rsid w:val="251F08AE"/>
    <w:rsid w:val="25237319"/>
    <w:rsid w:val="252C0373"/>
    <w:rsid w:val="25330166"/>
    <w:rsid w:val="25354793"/>
    <w:rsid w:val="255057A6"/>
    <w:rsid w:val="255F52E3"/>
    <w:rsid w:val="25656278"/>
    <w:rsid w:val="258D6A1C"/>
    <w:rsid w:val="25AA1370"/>
    <w:rsid w:val="25B13CA6"/>
    <w:rsid w:val="25D96E09"/>
    <w:rsid w:val="25E2464C"/>
    <w:rsid w:val="25F529C7"/>
    <w:rsid w:val="2601765A"/>
    <w:rsid w:val="2634750E"/>
    <w:rsid w:val="264D5D32"/>
    <w:rsid w:val="265E0B0C"/>
    <w:rsid w:val="26641AD7"/>
    <w:rsid w:val="26760482"/>
    <w:rsid w:val="26907398"/>
    <w:rsid w:val="26D54AEE"/>
    <w:rsid w:val="26F947D6"/>
    <w:rsid w:val="26FF1A10"/>
    <w:rsid w:val="2752637A"/>
    <w:rsid w:val="27567627"/>
    <w:rsid w:val="277E685F"/>
    <w:rsid w:val="279B74CB"/>
    <w:rsid w:val="27B34984"/>
    <w:rsid w:val="27F434BE"/>
    <w:rsid w:val="27FC3231"/>
    <w:rsid w:val="28054D91"/>
    <w:rsid w:val="281A78AF"/>
    <w:rsid w:val="283E0F48"/>
    <w:rsid w:val="285659DB"/>
    <w:rsid w:val="287808D2"/>
    <w:rsid w:val="288D2E86"/>
    <w:rsid w:val="28A63663"/>
    <w:rsid w:val="28C5709D"/>
    <w:rsid w:val="28C751E4"/>
    <w:rsid w:val="28CA01D8"/>
    <w:rsid w:val="28E32FA7"/>
    <w:rsid w:val="28EA649B"/>
    <w:rsid w:val="28FB2A17"/>
    <w:rsid w:val="29194CBB"/>
    <w:rsid w:val="291E26F6"/>
    <w:rsid w:val="291E4523"/>
    <w:rsid w:val="293A1F7B"/>
    <w:rsid w:val="295E52F7"/>
    <w:rsid w:val="2986387A"/>
    <w:rsid w:val="298849C3"/>
    <w:rsid w:val="298E0827"/>
    <w:rsid w:val="29A4202A"/>
    <w:rsid w:val="29C63BD4"/>
    <w:rsid w:val="29CA6C94"/>
    <w:rsid w:val="29CE3832"/>
    <w:rsid w:val="29F27A40"/>
    <w:rsid w:val="29F51D82"/>
    <w:rsid w:val="29FC156A"/>
    <w:rsid w:val="29FD4783"/>
    <w:rsid w:val="2A053D72"/>
    <w:rsid w:val="2A14412E"/>
    <w:rsid w:val="2A3B45A9"/>
    <w:rsid w:val="2A6763BD"/>
    <w:rsid w:val="2A931D61"/>
    <w:rsid w:val="2AC357C9"/>
    <w:rsid w:val="2AF1529D"/>
    <w:rsid w:val="2AFA32C9"/>
    <w:rsid w:val="2B193698"/>
    <w:rsid w:val="2B2838DB"/>
    <w:rsid w:val="2B2944D1"/>
    <w:rsid w:val="2B3B2117"/>
    <w:rsid w:val="2B616969"/>
    <w:rsid w:val="2B6C16D4"/>
    <w:rsid w:val="2B9B40AD"/>
    <w:rsid w:val="2B9D6077"/>
    <w:rsid w:val="2BB145B5"/>
    <w:rsid w:val="2BC730F4"/>
    <w:rsid w:val="2BD424B8"/>
    <w:rsid w:val="2BDE3F9A"/>
    <w:rsid w:val="2C0954BB"/>
    <w:rsid w:val="2C0E20D7"/>
    <w:rsid w:val="2C1330D3"/>
    <w:rsid w:val="2C2A19AC"/>
    <w:rsid w:val="2C3A38C6"/>
    <w:rsid w:val="2C532B0A"/>
    <w:rsid w:val="2C5B70A5"/>
    <w:rsid w:val="2C76665A"/>
    <w:rsid w:val="2C9B29FC"/>
    <w:rsid w:val="2CA23219"/>
    <w:rsid w:val="2CA5295C"/>
    <w:rsid w:val="2CCC538B"/>
    <w:rsid w:val="2D061D63"/>
    <w:rsid w:val="2D3B3920"/>
    <w:rsid w:val="2D5E35E4"/>
    <w:rsid w:val="2D6351D2"/>
    <w:rsid w:val="2D6F1F1A"/>
    <w:rsid w:val="2D786203"/>
    <w:rsid w:val="2D8A6187"/>
    <w:rsid w:val="2D9A654E"/>
    <w:rsid w:val="2DA433E3"/>
    <w:rsid w:val="2E1C38F9"/>
    <w:rsid w:val="2E245CBD"/>
    <w:rsid w:val="2E275E10"/>
    <w:rsid w:val="2E2B2502"/>
    <w:rsid w:val="2E2F137E"/>
    <w:rsid w:val="2E8827FF"/>
    <w:rsid w:val="2EA015F1"/>
    <w:rsid w:val="2EC772D8"/>
    <w:rsid w:val="2F2C6EFB"/>
    <w:rsid w:val="2F751695"/>
    <w:rsid w:val="2F972DDE"/>
    <w:rsid w:val="2F98626A"/>
    <w:rsid w:val="2FA54BEE"/>
    <w:rsid w:val="2FBD3E6E"/>
    <w:rsid w:val="2FF44A53"/>
    <w:rsid w:val="2FF81ACE"/>
    <w:rsid w:val="300A153D"/>
    <w:rsid w:val="3014778B"/>
    <w:rsid w:val="301A05F8"/>
    <w:rsid w:val="3031110A"/>
    <w:rsid w:val="30342335"/>
    <w:rsid w:val="30765AC3"/>
    <w:rsid w:val="307D7B6B"/>
    <w:rsid w:val="30AD2338"/>
    <w:rsid w:val="30B90FD6"/>
    <w:rsid w:val="30BC1B5F"/>
    <w:rsid w:val="30C74991"/>
    <w:rsid w:val="30D07376"/>
    <w:rsid w:val="30E408AD"/>
    <w:rsid w:val="310B11B2"/>
    <w:rsid w:val="310C1790"/>
    <w:rsid w:val="311059DF"/>
    <w:rsid w:val="31297F7A"/>
    <w:rsid w:val="314149CF"/>
    <w:rsid w:val="31691227"/>
    <w:rsid w:val="319F5DF6"/>
    <w:rsid w:val="31FF68F6"/>
    <w:rsid w:val="322C17BB"/>
    <w:rsid w:val="322D35CD"/>
    <w:rsid w:val="324E1910"/>
    <w:rsid w:val="329A6236"/>
    <w:rsid w:val="32AA1F95"/>
    <w:rsid w:val="32AA2E28"/>
    <w:rsid w:val="32AA5074"/>
    <w:rsid w:val="32CC1710"/>
    <w:rsid w:val="32DE25DA"/>
    <w:rsid w:val="32E82CF7"/>
    <w:rsid w:val="33056477"/>
    <w:rsid w:val="33497B0A"/>
    <w:rsid w:val="33641229"/>
    <w:rsid w:val="3369741A"/>
    <w:rsid w:val="33B141A9"/>
    <w:rsid w:val="33C96BB2"/>
    <w:rsid w:val="33D62126"/>
    <w:rsid w:val="33D77C4D"/>
    <w:rsid w:val="33DC1579"/>
    <w:rsid w:val="342A6364"/>
    <w:rsid w:val="34356F26"/>
    <w:rsid w:val="34604EFD"/>
    <w:rsid w:val="34807A99"/>
    <w:rsid w:val="349D37E2"/>
    <w:rsid w:val="34A510FF"/>
    <w:rsid w:val="34C24A80"/>
    <w:rsid w:val="34D461F7"/>
    <w:rsid w:val="34FF2796"/>
    <w:rsid w:val="35001094"/>
    <w:rsid w:val="351D44B6"/>
    <w:rsid w:val="3534526E"/>
    <w:rsid w:val="354E4AE3"/>
    <w:rsid w:val="355C2AFF"/>
    <w:rsid w:val="35787525"/>
    <w:rsid w:val="35813D8D"/>
    <w:rsid w:val="35850A9D"/>
    <w:rsid w:val="35AB39B2"/>
    <w:rsid w:val="35FA4B22"/>
    <w:rsid w:val="360C0405"/>
    <w:rsid w:val="36283148"/>
    <w:rsid w:val="363E6206"/>
    <w:rsid w:val="36652776"/>
    <w:rsid w:val="367A242E"/>
    <w:rsid w:val="369E426A"/>
    <w:rsid w:val="36BA6B6C"/>
    <w:rsid w:val="36BE49AB"/>
    <w:rsid w:val="36BE7125"/>
    <w:rsid w:val="372071C7"/>
    <w:rsid w:val="37591D6C"/>
    <w:rsid w:val="37B07132"/>
    <w:rsid w:val="37E55901"/>
    <w:rsid w:val="380F36CB"/>
    <w:rsid w:val="3814695D"/>
    <w:rsid w:val="38223DE6"/>
    <w:rsid w:val="382B2AA7"/>
    <w:rsid w:val="38466ECC"/>
    <w:rsid w:val="38952189"/>
    <w:rsid w:val="38A305EB"/>
    <w:rsid w:val="38C21B40"/>
    <w:rsid w:val="38DF64BC"/>
    <w:rsid w:val="38E66230"/>
    <w:rsid w:val="38F27D46"/>
    <w:rsid w:val="390E4009"/>
    <w:rsid w:val="3915341F"/>
    <w:rsid w:val="39210062"/>
    <w:rsid w:val="392414A7"/>
    <w:rsid w:val="398D4616"/>
    <w:rsid w:val="39934616"/>
    <w:rsid w:val="39AB195F"/>
    <w:rsid w:val="39E35599"/>
    <w:rsid w:val="39F94D2D"/>
    <w:rsid w:val="3A0152A0"/>
    <w:rsid w:val="3A132FAE"/>
    <w:rsid w:val="3A4260A7"/>
    <w:rsid w:val="3A535AD6"/>
    <w:rsid w:val="3A6337A7"/>
    <w:rsid w:val="3A7331C9"/>
    <w:rsid w:val="3A742699"/>
    <w:rsid w:val="3A961DCC"/>
    <w:rsid w:val="3AA110DA"/>
    <w:rsid w:val="3AB36DB6"/>
    <w:rsid w:val="3ABA6882"/>
    <w:rsid w:val="3ADA12CA"/>
    <w:rsid w:val="3AE35129"/>
    <w:rsid w:val="3B0D72EF"/>
    <w:rsid w:val="3B2A227B"/>
    <w:rsid w:val="3B6365F9"/>
    <w:rsid w:val="3B6D5E0D"/>
    <w:rsid w:val="3B6E3FEC"/>
    <w:rsid w:val="3B715438"/>
    <w:rsid w:val="3BC70360"/>
    <w:rsid w:val="3BD65541"/>
    <w:rsid w:val="3BE97415"/>
    <w:rsid w:val="3BF81C7A"/>
    <w:rsid w:val="3C053646"/>
    <w:rsid w:val="3C1852D0"/>
    <w:rsid w:val="3C385D84"/>
    <w:rsid w:val="3C404BBB"/>
    <w:rsid w:val="3C5067EE"/>
    <w:rsid w:val="3C6C75A8"/>
    <w:rsid w:val="3C7D3A4D"/>
    <w:rsid w:val="3C922FFA"/>
    <w:rsid w:val="3C9A65A3"/>
    <w:rsid w:val="3CA6667A"/>
    <w:rsid w:val="3D153384"/>
    <w:rsid w:val="3D5E2468"/>
    <w:rsid w:val="3D6B76F3"/>
    <w:rsid w:val="3DAA1E6D"/>
    <w:rsid w:val="3DB04E15"/>
    <w:rsid w:val="3DEA330C"/>
    <w:rsid w:val="3DEB2DC2"/>
    <w:rsid w:val="3DEC06C0"/>
    <w:rsid w:val="3E1B589B"/>
    <w:rsid w:val="3E3779C5"/>
    <w:rsid w:val="3E3D33C0"/>
    <w:rsid w:val="3E49789E"/>
    <w:rsid w:val="3E637900"/>
    <w:rsid w:val="3E6C483D"/>
    <w:rsid w:val="3E7865E7"/>
    <w:rsid w:val="3E9F580B"/>
    <w:rsid w:val="3EA006FD"/>
    <w:rsid w:val="3F290610"/>
    <w:rsid w:val="3F3E4F21"/>
    <w:rsid w:val="3F8B36AD"/>
    <w:rsid w:val="3FCD3786"/>
    <w:rsid w:val="3FD30175"/>
    <w:rsid w:val="40047439"/>
    <w:rsid w:val="403D3D8D"/>
    <w:rsid w:val="406F72C7"/>
    <w:rsid w:val="40923F46"/>
    <w:rsid w:val="40975E4A"/>
    <w:rsid w:val="409E3F1F"/>
    <w:rsid w:val="40AE6A1B"/>
    <w:rsid w:val="40D458E4"/>
    <w:rsid w:val="40D5479D"/>
    <w:rsid w:val="40E003DC"/>
    <w:rsid w:val="41660451"/>
    <w:rsid w:val="41BA5E74"/>
    <w:rsid w:val="41C37A62"/>
    <w:rsid w:val="41DB1250"/>
    <w:rsid w:val="42086CE9"/>
    <w:rsid w:val="425834D0"/>
    <w:rsid w:val="4277576F"/>
    <w:rsid w:val="42872A4F"/>
    <w:rsid w:val="429D4A3C"/>
    <w:rsid w:val="42D96E72"/>
    <w:rsid w:val="42DD1667"/>
    <w:rsid w:val="431A3F98"/>
    <w:rsid w:val="43375E27"/>
    <w:rsid w:val="43A77E02"/>
    <w:rsid w:val="43B1133D"/>
    <w:rsid w:val="43C871FC"/>
    <w:rsid w:val="43D77DFA"/>
    <w:rsid w:val="43F403A7"/>
    <w:rsid w:val="4423144F"/>
    <w:rsid w:val="442A5B77"/>
    <w:rsid w:val="442F65A5"/>
    <w:rsid w:val="445D49EF"/>
    <w:rsid w:val="44641B7F"/>
    <w:rsid w:val="44894DB9"/>
    <w:rsid w:val="44C1178B"/>
    <w:rsid w:val="44C14DDF"/>
    <w:rsid w:val="44FD45BD"/>
    <w:rsid w:val="45043AB5"/>
    <w:rsid w:val="45045D58"/>
    <w:rsid w:val="450B0E3D"/>
    <w:rsid w:val="45132BD6"/>
    <w:rsid w:val="451E09F7"/>
    <w:rsid w:val="45387DAE"/>
    <w:rsid w:val="454332D4"/>
    <w:rsid w:val="45441AAA"/>
    <w:rsid w:val="456F1FB1"/>
    <w:rsid w:val="45714558"/>
    <w:rsid w:val="457929C3"/>
    <w:rsid w:val="45830A38"/>
    <w:rsid w:val="45D23287"/>
    <w:rsid w:val="463C1E59"/>
    <w:rsid w:val="4642091D"/>
    <w:rsid w:val="46446E42"/>
    <w:rsid w:val="464F015F"/>
    <w:rsid w:val="46516B11"/>
    <w:rsid w:val="467F664E"/>
    <w:rsid w:val="46874FD1"/>
    <w:rsid w:val="46900DA2"/>
    <w:rsid w:val="46B07D3C"/>
    <w:rsid w:val="47135B06"/>
    <w:rsid w:val="472E597E"/>
    <w:rsid w:val="472F56B9"/>
    <w:rsid w:val="47385A5D"/>
    <w:rsid w:val="473A0B24"/>
    <w:rsid w:val="473D516E"/>
    <w:rsid w:val="47421A0A"/>
    <w:rsid w:val="477E127E"/>
    <w:rsid w:val="47D36DE5"/>
    <w:rsid w:val="48792161"/>
    <w:rsid w:val="4881265D"/>
    <w:rsid w:val="4898419B"/>
    <w:rsid w:val="489F2929"/>
    <w:rsid w:val="48AB6424"/>
    <w:rsid w:val="48C5265F"/>
    <w:rsid w:val="48E86076"/>
    <w:rsid w:val="4939720B"/>
    <w:rsid w:val="494916F8"/>
    <w:rsid w:val="49A2349E"/>
    <w:rsid w:val="49C001AB"/>
    <w:rsid w:val="4A302F07"/>
    <w:rsid w:val="4A3930CC"/>
    <w:rsid w:val="4A3D01CA"/>
    <w:rsid w:val="4A7C3438"/>
    <w:rsid w:val="4A7E0C37"/>
    <w:rsid w:val="4A98235E"/>
    <w:rsid w:val="4AB44CBF"/>
    <w:rsid w:val="4ACC1CA8"/>
    <w:rsid w:val="4ADF520B"/>
    <w:rsid w:val="4B262653"/>
    <w:rsid w:val="4B277FA4"/>
    <w:rsid w:val="4B44200A"/>
    <w:rsid w:val="4B4B0DB0"/>
    <w:rsid w:val="4B7C195C"/>
    <w:rsid w:val="4BB738CD"/>
    <w:rsid w:val="4BBA0128"/>
    <w:rsid w:val="4BCC3963"/>
    <w:rsid w:val="4BDF09EC"/>
    <w:rsid w:val="4BEB6CB5"/>
    <w:rsid w:val="4BF44B37"/>
    <w:rsid w:val="4BF93A89"/>
    <w:rsid w:val="4BFE6C88"/>
    <w:rsid w:val="4C121D12"/>
    <w:rsid w:val="4C31482F"/>
    <w:rsid w:val="4C3E42D2"/>
    <w:rsid w:val="4C481290"/>
    <w:rsid w:val="4C58378F"/>
    <w:rsid w:val="4C5D2EA0"/>
    <w:rsid w:val="4C6B7F41"/>
    <w:rsid w:val="4C73462D"/>
    <w:rsid w:val="4C75474E"/>
    <w:rsid w:val="4C8A32E9"/>
    <w:rsid w:val="4CAB151F"/>
    <w:rsid w:val="4CEE4789"/>
    <w:rsid w:val="4D10360A"/>
    <w:rsid w:val="4D295AB2"/>
    <w:rsid w:val="4D6A2DA8"/>
    <w:rsid w:val="4DBF5582"/>
    <w:rsid w:val="4DF07081"/>
    <w:rsid w:val="4DF22E47"/>
    <w:rsid w:val="4E037D74"/>
    <w:rsid w:val="4E1335EC"/>
    <w:rsid w:val="4E2875CB"/>
    <w:rsid w:val="4E293E8F"/>
    <w:rsid w:val="4E31067B"/>
    <w:rsid w:val="4E3D70E2"/>
    <w:rsid w:val="4E4959BA"/>
    <w:rsid w:val="4E956F07"/>
    <w:rsid w:val="4E9860F8"/>
    <w:rsid w:val="4EEF12AA"/>
    <w:rsid w:val="4EF535AD"/>
    <w:rsid w:val="4EFB32C2"/>
    <w:rsid w:val="4F0A56F8"/>
    <w:rsid w:val="4F232446"/>
    <w:rsid w:val="4F42290E"/>
    <w:rsid w:val="4F4A2D90"/>
    <w:rsid w:val="4F584103"/>
    <w:rsid w:val="4FE56533"/>
    <w:rsid w:val="4FFE1F88"/>
    <w:rsid w:val="505A5A36"/>
    <w:rsid w:val="50660913"/>
    <w:rsid w:val="50780A41"/>
    <w:rsid w:val="50787754"/>
    <w:rsid w:val="509726DE"/>
    <w:rsid w:val="50C008D4"/>
    <w:rsid w:val="50CC4EC6"/>
    <w:rsid w:val="50E71CF1"/>
    <w:rsid w:val="51055AAE"/>
    <w:rsid w:val="51C725BB"/>
    <w:rsid w:val="523F287F"/>
    <w:rsid w:val="524B661A"/>
    <w:rsid w:val="525804C9"/>
    <w:rsid w:val="529D4D10"/>
    <w:rsid w:val="52A8717A"/>
    <w:rsid w:val="52B24A44"/>
    <w:rsid w:val="532413AA"/>
    <w:rsid w:val="532D3496"/>
    <w:rsid w:val="53335AD5"/>
    <w:rsid w:val="535B37A2"/>
    <w:rsid w:val="536270DB"/>
    <w:rsid w:val="537512E3"/>
    <w:rsid w:val="53975BAE"/>
    <w:rsid w:val="53AC337B"/>
    <w:rsid w:val="53D027E5"/>
    <w:rsid w:val="53F036DE"/>
    <w:rsid w:val="53F813E4"/>
    <w:rsid w:val="54073C5D"/>
    <w:rsid w:val="54157295"/>
    <w:rsid w:val="542909C8"/>
    <w:rsid w:val="544E31D4"/>
    <w:rsid w:val="546B559A"/>
    <w:rsid w:val="546E385E"/>
    <w:rsid w:val="548C2FC0"/>
    <w:rsid w:val="54D27E6E"/>
    <w:rsid w:val="551559C0"/>
    <w:rsid w:val="553625CD"/>
    <w:rsid w:val="55565456"/>
    <w:rsid w:val="5587663A"/>
    <w:rsid w:val="558F0BCA"/>
    <w:rsid w:val="55937724"/>
    <w:rsid w:val="55B14771"/>
    <w:rsid w:val="56072F08"/>
    <w:rsid w:val="560B58A8"/>
    <w:rsid w:val="5654219E"/>
    <w:rsid w:val="56712B3E"/>
    <w:rsid w:val="56815AD8"/>
    <w:rsid w:val="56C92631"/>
    <w:rsid w:val="56D064AF"/>
    <w:rsid w:val="56E6779B"/>
    <w:rsid w:val="56EB2C79"/>
    <w:rsid w:val="56F11179"/>
    <w:rsid w:val="56F52014"/>
    <w:rsid w:val="57153804"/>
    <w:rsid w:val="57266671"/>
    <w:rsid w:val="572F19CA"/>
    <w:rsid w:val="57550083"/>
    <w:rsid w:val="57717678"/>
    <w:rsid w:val="577349D1"/>
    <w:rsid w:val="577D304D"/>
    <w:rsid w:val="579E4668"/>
    <w:rsid w:val="57F2025D"/>
    <w:rsid w:val="587340B3"/>
    <w:rsid w:val="587A3343"/>
    <w:rsid w:val="589649F9"/>
    <w:rsid w:val="58A61818"/>
    <w:rsid w:val="58B67C68"/>
    <w:rsid w:val="58D15631"/>
    <w:rsid w:val="58E17DD5"/>
    <w:rsid w:val="58F073E8"/>
    <w:rsid w:val="590615D1"/>
    <w:rsid w:val="5922256A"/>
    <w:rsid w:val="59360B53"/>
    <w:rsid w:val="59462FFB"/>
    <w:rsid w:val="594F2E07"/>
    <w:rsid w:val="595A46F4"/>
    <w:rsid w:val="597731B4"/>
    <w:rsid w:val="59850CC7"/>
    <w:rsid w:val="598A113A"/>
    <w:rsid w:val="599A68DD"/>
    <w:rsid w:val="599D2EAC"/>
    <w:rsid w:val="59E31DED"/>
    <w:rsid w:val="5A071D7F"/>
    <w:rsid w:val="5A7871E4"/>
    <w:rsid w:val="5A903367"/>
    <w:rsid w:val="5ABA2EB7"/>
    <w:rsid w:val="5ACF6EE0"/>
    <w:rsid w:val="5ADB4D5D"/>
    <w:rsid w:val="5AF633B1"/>
    <w:rsid w:val="5B087216"/>
    <w:rsid w:val="5B150ED7"/>
    <w:rsid w:val="5B2A54FB"/>
    <w:rsid w:val="5B3027FC"/>
    <w:rsid w:val="5B3C5324"/>
    <w:rsid w:val="5B68359E"/>
    <w:rsid w:val="5B7367E3"/>
    <w:rsid w:val="5B7A6F8C"/>
    <w:rsid w:val="5B84057F"/>
    <w:rsid w:val="5B8E51B0"/>
    <w:rsid w:val="5B9B4BA0"/>
    <w:rsid w:val="5BA403BF"/>
    <w:rsid w:val="5BBA2034"/>
    <w:rsid w:val="5BC60ABE"/>
    <w:rsid w:val="5BC765D7"/>
    <w:rsid w:val="5BCB19D9"/>
    <w:rsid w:val="5C033A69"/>
    <w:rsid w:val="5C262D0F"/>
    <w:rsid w:val="5C270620"/>
    <w:rsid w:val="5C344C82"/>
    <w:rsid w:val="5C481B2C"/>
    <w:rsid w:val="5C4E0F8F"/>
    <w:rsid w:val="5C6D77D6"/>
    <w:rsid w:val="5C790EFD"/>
    <w:rsid w:val="5C7B4877"/>
    <w:rsid w:val="5C9C18B0"/>
    <w:rsid w:val="5CAA0227"/>
    <w:rsid w:val="5CAA64C1"/>
    <w:rsid w:val="5CB2083A"/>
    <w:rsid w:val="5CB20904"/>
    <w:rsid w:val="5CB246F1"/>
    <w:rsid w:val="5CDD74B1"/>
    <w:rsid w:val="5CEF565C"/>
    <w:rsid w:val="5CF113AD"/>
    <w:rsid w:val="5CFF7333"/>
    <w:rsid w:val="5D0C00B7"/>
    <w:rsid w:val="5D2D4D94"/>
    <w:rsid w:val="5D494C40"/>
    <w:rsid w:val="5D575BBC"/>
    <w:rsid w:val="5D5E4390"/>
    <w:rsid w:val="5D827146"/>
    <w:rsid w:val="5D915926"/>
    <w:rsid w:val="5D9457A1"/>
    <w:rsid w:val="5DB87F42"/>
    <w:rsid w:val="5DD60DF1"/>
    <w:rsid w:val="5DEE13ED"/>
    <w:rsid w:val="5E1438D6"/>
    <w:rsid w:val="5E203E1A"/>
    <w:rsid w:val="5E231DEC"/>
    <w:rsid w:val="5E2D7E2B"/>
    <w:rsid w:val="5EA11D11"/>
    <w:rsid w:val="5EAF3347"/>
    <w:rsid w:val="5EB44117"/>
    <w:rsid w:val="5EC25D0E"/>
    <w:rsid w:val="5EEE5C90"/>
    <w:rsid w:val="5EFA5079"/>
    <w:rsid w:val="5F022A53"/>
    <w:rsid w:val="5F2C54EC"/>
    <w:rsid w:val="5F6324E1"/>
    <w:rsid w:val="5F801C20"/>
    <w:rsid w:val="5F816B3B"/>
    <w:rsid w:val="5FA31AAE"/>
    <w:rsid w:val="5FAD1D81"/>
    <w:rsid w:val="5FDC5F1B"/>
    <w:rsid w:val="6006621A"/>
    <w:rsid w:val="603451D7"/>
    <w:rsid w:val="609B72D3"/>
    <w:rsid w:val="60AE3185"/>
    <w:rsid w:val="60B214BE"/>
    <w:rsid w:val="60B81E2B"/>
    <w:rsid w:val="60C746D3"/>
    <w:rsid w:val="60CB2763"/>
    <w:rsid w:val="611D02CD"/>
    <w:rsid w:val="611F485D"/>
    <w:rsid w:val="617103FF"/>
    <w:rsid w:val="618A1BD6"/>
    <w:rsid w:val="6193208C"/>
    <w:rsid w:val="61B573B9"/>
    <w:rsid w:val="61B96757"/>
    <w:rsid w:val="61D60BD5"/>
    <w:rsid w:val="61E55B46"/>
    <w:rsid w:val="625A2CF8"/>
    <w:rsid w:val="62612C54"/>
    <w:rsid w:val="62C06F29"/>
    <w:rsid w:val="62C86187"/>
    <w:rsid w:val="62DE1F80"/>
    <w:rsid w:val="62E909E1"/>
    <w:rsid w:val="63111870"/>
    <w:rsid w:val="63244A8A"/>
    <w:rsid w:val="63275597"/>
    <w:rsid w:val="633E7947"/>
    <w:rsid w:val="634467FD"/>
    <w:rsid w:val="635C3981"/>
    <w:rsid w:val="637569B7"/>
    <w:rsid w:val="63831AB1"/>
    <w:rsid w:val="638834FE"/>
    <w:rsid w:val="63911317"/>
    <w:rsid w:val="639249AD"/>
    <w:rsid w:val="639646C2"/>
    <w:rsid w:val="63AD19B6"/>
    <w:rsid w:val="63BB40AA"/>
    <w:rsid w:val="63BE44F7"/>
    <w:rsid w:val="63E332EF"/>
    <w:rsid w:val="63E93581"/>
    <w:rsid w:val="6401649C"/>
    <w:rsid w:val="64065129"/>
    <w:rsid w:val="64066A08"/>
    <w:rsid w:val="64144233"/>
    <w:rsid w:val="641510F3"/>
    <w:rsid w:val="647B563A"/>
    <w:rsid w:val="64854701"/>
    <w:rsid w:val="64AC7E9B"/>
    <w:rsid w:val="64B15BEB"/>
    <w:rsid w:val="64B30CF0"/>
    <w:rsid w:val="64C01D40"/>
    <w:rsid w:val="64DC4290"/>
    <w:rsid w:val="64E21E2A"/>
    <w:rsid w:val="6519771F"/>
    <w:rsid w:val="651A1458"/>
    <w:rsid w:val="65215351"/>
    <w:rsid w:val="652F0DE7"/>
    <w:rsid w:val="656370F5"/>
    <w:rsid w:val="657A2B7F"/>
    <w:rsid w:val="657D1A26"/>
    <w:rsid w:val="65A41FAD"/>
    <w:rsid w:val="65ED668F"/>
    <w:rsid w:val="660A5FF4"/>
    <w:rsid w:val="661E089F"/>
    <w:rsid w:val="66394234"/>
    <w:rsid w:val="66A8330A"/>
    <w:rsid w:val="66C964AC"/>
    <w:rsid w:val="672A7AB8"/>
    <w:rsid w:val="673426E5"/>
    <w:rsid w:val="67357474"/>
    <w:rsid w:val="67602B7D"/>
    <w:rsid w:val="677347DE"/>
    <w:rsid w:val="67755A9D"/>
    <w:rsid w:val="678F3BF3"/>
    <w:rsid w:val="67A82DD2"/>
    <w:rsid w:val="67B850C4"/>
    <w:rsid w:val="67C852DC"/>
    <w:rsid w:val="67E04ED3"/>
    <w:rsid w:val="67E932BE"/>
    <w:rsid w:val="67FA7003"/>
    <w:rsid w:val="684E35DA"/>
    <w:rsid w:val="687C4428"/>
    <w:rsid w:val="689238F8"/>
    <w:rsid w:val="689868B2"/>
    <w:rsid w:val="68B41531"/>
    <w:rsid w:val="68B75856"/>
    <w:rsid w:val="68B97D1E"/>
    <w:rsid w:val="69105486"/>
    <w:rsid w:val="692E5682"/>
    <w:rsid w:val="6934454C"/>
    <w:rsid w:val="696E51B3"/>
    <w:rsid w:val="699E0AAD"/>
    <w:rsid w:val="69D10EDF"/>
    <w:rsid w:val="69D774BE"/>
    <w:rsid w:val="6A1833D1"/>
    <w:rsid w:val="6A1A3A85"/>
    <w:rsid w:val="6A37541B"/>
    <w:rsid w:val="6A431E10"/>
    <w:rsid w:val="6A606E28"/>
    <w:rsid w:val="6A74500B"/>
    <w:rsid w:val="6A786848"/>
    <w:rsid w:val="6A7912C9"/>
    <w:rsid w:val="6A7D2660"/>
    <w:rsid w:val="6A8A3877"/>
    <w:rsid w:val="6A9D2E41"/>
    <w:rsid w:val="6B29226B"/>
    <w:rsid w:val="6B317B53"/>
    <w:rsid w:val="6B8A5B8C"/>
    <w:rsid w:val="6B971E2D"/>
    <w:rsid w:val="6BA86376"/>
    <w:rsid w:val="6BAA3C08"/>
    <w:rsid w:val="6BCB0E75"/>
    <w:rsid w:val="6BE46578"/>
    <w:rsid w:val="6BF94E58"/>
    <w:rsid w:val="6C072C5A"/>
    <w:rsid w:val="6C6B1B28"/>
    <w:rsid w:val="6CB0280D"/>
    <w:rsid w:val="6CD004BF"/>
    <w:rsid w:val="6CD96D78"/>
    <w:rsid w:val="6CE40FC0"/>
    <w:rsid w:val="6D52342F"/>
    <w:rsid w:val="6D526FBD"/>
    <w:rsid w:val="6D754438"/>
    <w:rsid w:val="6D7F0093"/>
    <w:rsid w:val="6DB306BA"/>
    <w:rsid w:val="6DC11013"/>
    <w:rsid w:val="6DC26545"/>
    <w:rsid w:val="6DD93584"/>
    <w:rsid w:val="6DFA4688"/>
    <w:rsid w:val="6DFD0634"/>
    <w:rsid w:val="6DFD4B4B"/>
    <w:rsid w:val="6E367F65"/>
    <w:rsid w:val="6E556441"/>
    <w:rsid w:val="6E6B66A8"/>
    <w:rsid w:val="6E91041D"/>
    <w:rsid w:val="6E981BDB"/>
    <w:rsid w:val="6ED91D75"/>
    <w:rsid w:val="6EF51694"/>
    <w:rsid w:val="6F1928EC"/>
    <w:rsid w:val="6F1936FD"/>
    <w:rsid w:val="6F2A76B6"/>
    <w:rsid w:val="6F344955"/>
    <w:rsid w:val="6F470ED4"/>
    <w:rsid w:val="6F8545BB"/>
    <w:rsid w:val="6F8A5E4E"/>
    <w:rsid w:val="6FD03C55"/>
    <w:rsid w:val="6FDB4045"/>
    <w:rsid w:val="6FF43D78"/>
    <w:rsid w:val="6FFF16D2"/>
    <w:rsid w:val="700B5846"/>
    <w:rsid w:val="70125F24"/>
    <w:rsid w:val="70172E02"/>
    <w:rsid w:val="704D05AA"/>
    <w:rsid w:val="708275B0"/>
    <w:rsid w:val="70B87B3A"/>
    <w:rsid w:val="70DB60DD"/>
    <w:rsid w:val="70E926E6"/>
    <w:rsid w:val="710068BA"/>
    <w:rsid w:val="710637D8"/>
    <w:rsid w:val="712956E8"/>
    <w:rsid w:val="712D374D"/>
    <w:rsid w:val="714023B0"/>
    <w:rsid w:val="71AA41AE"/>
    <w:rsid w:val="71C57DCC"/>
    <w:rsid w:val="722A12B4"/>
    <w:rsid w:val="723D0654"/>
    <w:rsid w:val="72431297"/>
    <w:rsid w:val="726C7A19"/>
    <w:rsid w:val="72C30CF5"/>
    <w:rsid w:val="72C40A8C"/>
    <w:rsid w:val="72FA251F"/>
    <w:rsid w:val="7305527B"/>
    <w:rsid w:val="735527E9"/>
    <w:rsid w:val="735C549D"/>
    <w:rsid w:val="735C7479"/>
    <w:rsid w:val="736D1C19"/>
    <w:rsid w:val="736D452F"/>
    <w:rsid w:val="7375030D"/>
    <w:rsid w:val="737F2F3A"/>
    <w:rsid w:val="73A14601"/>
    <w:rsid w:val="73BA18FA"/>
    <w:rsid w:val="73BD0A85"/>
    <w:rsid w:val="73CE5B38"/>
    <w:rsid w:val="73D63082"/>
    <w:rsid w:val="73E32868"/>
    <w:rsid w:val="73E51F8D"/>
    <w:rsid w:val="73FA488D"/>
    <w:rsid w:val="74002913"/>
    <w:rsid w:val="740D2B75"/>
    <w:rsid w:val="74130252"/>
    <w:rsid w:val="74264B8C"/>
    <w:rsid w:val="74605DA8"/>
    <w:rsid w:val="74816391"/>
    <w:rsid w:val="74F6409B"/>
    <w:rsid w:val="75223320"/>
    <w:rsid w:val="753C07A2"/>
    <w:rsid w:val="753C309E"/>
    <w:rsid w:val="75624FE1"/>
    <w:rsid w:val="75756B5A"/>
    <w:rsid w:val="7577351A"/>
    <w:rsid w:val="75837B4B"/>
    <w:rsid w:val="75886521"/>
    <w:rsid w:val="7589228B"/>
    <w:rsid w:val="75914D0D"/>
    <w:rsid w:val="75982E2F"/>
    <w:rsid w:val="75A373B3"/>
    <w:rsid w:val="75B921BB"/>
    <w:rsid w:val="75C51E1D"/>
    <w:rsid w:val="76045785"/>
    <w:rsid w:val="76200BCB"/>
    <w:rsid w:val="763C000C"/>
    <w:rsid w:val="76600BA4"/>
    <w:rsid w:val="76AE3E69"/>
    <w:rsid w:val="76EB203C"/>
    <w:rsid w:val="77534AA7"/>
    <w:rsid w:val="775401A7"/>
    <w:rsid w:val="777C610E"/>
    <w:rsid w:val="778105C4"/>
    <w:rsid w:val="77C87A38"/>
    <w:rsid w:val="77D1379C"/>
    <w:rsid w:val="7804575C"/>
    <w:rsid w:val="781E0018"/>
    <w:rsid w:val="783418C9"/>
    <w:rsid w:val="783C40A5"/>
    <w:rsid w:val="7845765A"/>
    <w:rsid w:val="784934CB"/>
    <w:rsid w:val="787A56E1"/>
    <w:rsid w:val="788F2460"/>
    <w:rsid w:val="78964FAD"/>
    <w:rsid w:val="78A654E2"/>
    <w:rsid w:val="78BF0096"/>
    <w:rsid w:val="78C90E05"/>
    <w:rsid w:val="78E33476"/>
    <w:rsid w:val="78F01AF5"/>
    <w:rsid w:val="794052E8"/>
    <w:rsid w:val="79636347"/>
    <w:rsid w:val="796747F4"/>
    <w:rsid w:val="79866B89"/>
    <w:rsid w:val="798F36FE"/>
    <w:rsid w:val="79F07BBC"/>
    <w:rsid w:val="7A02630C"/>
    <w:rsid w:val="7A567294"/>
    <w:rsid w:val="7A5E513C"/>
    <w:rsid w:val="7A7027FD"/>
    <w:rsid w:val="7A752017"/>
    <w:rsid w:val="7A7B2667"/>
    <w:rsid w:val="7ABB0CFB"/>
    <w:rsid w:val="7AD649DC"/>
    <w:rsid w:val="7AE32E6B"/>
    <w:rsid w:val="7B035B3F"/>
    <w:rsid w:val="7B2419C3"/>
    <w:rsid w:val="7B5B6470"/>
    <w:rsid w:val="7B66335D"/>
    <w:rsid w:val="7BB55DDC"/>
    <w:rsid w:val="7BBF39D8"/>
    <w:rsid w:val="7BFC15CB"/>
    <w:rsid w:val="7C0D5EA4"/>
    <w:rsid w:val="7C340A34"/>
    <w:rsid w:val="7C3B5AEC"/>
    <w:rsid w:val="7C6E7C5D"/>
    <w:rsid w:val="7C920FCF"/>
    <w:rsid w:val="7C9F520E"/>
    <w:rsid w:val="7CA70BB5"/>
    <w:rsid w:val="7CB0374F"/>
    <w:rsid w:val="7CB97510"/>
    <w:rsid w:val="7CC969E4"/>
    <w:rsid w:val="7CDD073A"/>
    <w:rsid w:val="7CFE5315"/>
    <w:rsid w:val="7D0B2B95"/>
    <w:rsid w:val="7D1C00E7"/>
    <w:rsid w:val="7D4F1BCF"/>
    <w:rsid w:val="7D6440DD"/>
    <w:rsid w:val="7D7F713A"/>
    <w:rsid w:val="7D8D6918"/>
    <w:rsid w:val="7D9A2003"/>
    <w:rsid w:val="7D9F4974"/>
    <w:rsid w:val="7DA1716E"/>
    <w:rsid w:val="7DBD7DA3"/>
    <w:rsid w:val="7DF34C50"/>
    <w:rsid w:val="7E0D65E6"/>
    <w:rsid w:val="7E0E206E"/>
    <w:rsid w:val="7E186464"/>
    <w:rsid w:val="7E586C60"/>
    <w:rsid w:val="7E730988"/>
    <w:rsid w:val="7E8E7BBF"/>
    <w:rsid w:val="7EA07C23"/>
    <w:rsid w:val="7EC444DB"/>
    <w:rsid w:val="7ECC3A0E"/>
    <w:rsid w:val="7EFB4F6E"/>
    <w:rsid w:val="7F0946A3"/>
    <w:rsid w:val="7F38615C"/>
    <w:rsid w:val="7F420F35"/>
    <w:rsid w:val="7F5C0920"/>
    <w:rsid w:val="7F864D9E"/>
    <w:rsid w:val="7F8A7305"/>
    <w:rsid w:val="7F920D60"/>
    <w:rsid w:val="7FA1745F"/>
    <w:rsid w:val="7FA85456"/>
    <w:rsid w:val="7FAA37EE"/>
    <w:rsid w:val="7FB92D3D"/>
    <w:rsid w:val="7FCF0C99"/>
    <w:rsid w:val="7FEF750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
    <w:lsdException w:unhideWhenUsed="0" w:uiPriority="0" w:semiHidden="0" w:nam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480" w:firstLineChars="200"/>
      <w:jc w:val="both"/>
    </w:pPr>
    <w:rPr>
      <w:rFonts w:ascii="方正仿宋简体" w:hAnsi="方正仿宋简体" w:eastAsia="方正仿宋简体"/>
      <w:kern w:val="2"/>
      <w:sz w:val="32"/>
      <w:szCs w:val="24"/>
      <w:lang w:val="en-US" w:eastAsia="zh-CN" w:bidi="ar-SA"/>
    </w:rPr>
  </w:style>
  <w:style w:type="paragraph" w:styleId="3">
    <w:name w:val="heading 1"/>
    <w:basedOn w:val="1"/>
    <w:next w:val="1"/>
    <w:link w:val="48"/>
    <w:qFormat/>
    <w:uiPriority w:val="0"/>
    <w:pPr>
      <w:keepNext/>
      <w:keepLines/>
      <w:numPr>
        <w:ilvl w:val="0"/>
        <w:numId w:val="1"/>
      </w:numPr>
      <w:spacing w:afterLines="0" w:line="720" w:lineRule="auto"/>
      <w:ind w:left="2523" w:right="0" w:rightChars="0" w:firstLine="482" w:firstLineChars="200"/>
      <w:jc w:val="center"/>
      <w:outlineLvl w:val="0"/>
    </w:pPr>
    <w:rPr>
      <w:rFonts w:ascii="黑体" w:hAnsi="黑体" w:eastAsia="黑体" w:cs="Times New Roman"/>
      <w:b/>
      <w:kern w:val="44"/>
      <w:szCs w:val="44"/>
    </w:rPr>
  </w:style>
  <w:style w:type="paragraph" w:styleId="4">
    <w:name w:val="heading 2"/>
    <w:basedOn w:val="1"/>
    <w:next w:val="1"/>
    <w:link w:val="56"/>
    <w:qFormat/>
    <w:uiPriority w:val="0"/>
    <w:pPr>
      <w:keepNext/>
      <w:keepLines/>
      <w:spacing w:beforeAutospacing="0" w:afterAutospacing="0" w:line="560" w:lineRule="exact"/>
      <w:ind w:firstLine="0" w:firstLineChars="0"/>
      <w:outlineLvl w:val="1"/>
    </w:pPr>
    <w:rPr>
      <w:rFonts w:ascii="黑体" w:hAnsi="黑体" w:eastAsia="方正黑体简体" w:cs="Times New Roman"/>
      <w:b/>
      <w:sz w:val="36"/>
    </w:rPr>
  </w:style>
  <w:style w:type="paragraph" w:styleId="5">
    <w:name w:val="heading 3"/>
    <w:basedOn w:val="1"/>
    <w:next w:val="1"/>
    <w:link w:val="55"/>
    <w:qFormat/>
    <w:uiPriority w:val="0"/>
    <w:pPr>
      <w:keepNext/>
      <w:keepLines/>
      <w:spacing w:beforeAutospacing="0" w:afterAutospacing="0" w:line="560" w:lineRule="exact"/>
      <w:ind w:firstLine="482" w:firstLineChars="200"/>
      <w:jc w:val="left"/>
      <w:outlineLvl w:val="2"/>
    </w:pPr>
    <w:rPr>
      <w:rFonts w:ascii="黑体" w:hAnsi="黑体" w:eastAsia="方正黑体简体" w:cs="Times New Roman"/>
      <w:b/>
      <w:szCs w:val="22"/>
    </w:rPr>
  </w:style>
  <w:style w:type="paragraph" w:styleId="6">
    <w:name w:val="heading 4"/>
    <w:basedOn w:val="1"/>
    <w:next w:val="1"/>
    <w:link w:val="53"/>
    <w:qFormat/>
    <w:uiPriority w:val="0"/>
    <w:pPr>
      <w:keepNext/>
      <w:keepLines/>
      <w:spacing w:beforeLines="0" w:beforeAutospacing="0" w:afterLines="0" w:afterAutospacing="0" w:line="560" w:lineRule="atLeast"/>
      <w:ind w:firstLine="482" w:firstLineChars="200"/>
      <w:outlineLvl w:val="3"/>
    </w:pPr>
    <w:rPr>
      <w:rFonts w:ascii="方正楷体简体" w:hAnsi="方正楷体简体" w:eastAsia="方正楷体简体" w:cs="Times New Roman"/>
      <w:b/>
    </w:rPr>
  </w:style>
  <w:style w:type="paragraph" w:styleId="7">
    <w:name w:val="heading 5"/>
    <w:basedOn w:val="1"/>
    <w:next w:val="1"/>
    <w:link w:val="59"/>
    <w:qFormat/>
    <w:uiPriority w:val="0"/>
    <w:pPr>
      <w:keepNext/>
      <w:keepLines/>
      <w:bidi/>
      <w:spacing w:beforeLines="0" w:beforeAutospacing="0" w:afterLines="0" w:afterAutospacing="0" w:line="560" w:lineRule="exact"/>
      <w:ind w:firstLine="482" w:firstLineChars="200"/>
      <w:jc w:val="right"/>
      <w:outlineLvl w:val="4"/>
    </w:pPr>
    <w:rPr>
      <w:b/>
    </w:rPr>
  </w:style>
  <w:style w:type="paragraph" w:styleId="8">
    <w:name w:val="heading 6"/>
    <w:basedOn w:val="1"/>
    <w:next w:val="1"/>
    <w:link w:val="47"/>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9">
    <w:name w:val="heading 7"/>
    <w:basedOn w:val="1"/>
    <w:next w:val="1"/>
    <w:qFormat/>
    <w:uiPriority w:val="0"/>
    <w:pPr>
      <w:keepNext/>
      <w:keepLines/>
      <w:spacing w:before="240" w:beforeLines="0" w:beforeAutospacing="0" w:after="64" w:afterLines="0" w:afterAutospacing="0" w:line="317" w:lineRule="auto"/>
      <w:outlineLvl w:val="6"/>
    </w:pPr>
    <w:rPr>
      <w:b/>
      <w:sz w:val="24"/>
    </w:rPr>
  </w:style>
  <w:style w:type="paragraph" w:styleId="10">
    <w:name w:val="heading 8"/>
    <w:basedOn w:val="1"/>
    <w:next w:val="1"/>
    <w:unhideWhenUsed/>
    <w:qFormat/>
    <w:uiPriority w:val="0"/>
    <w:pPr>
      <w:keepNext/>
      <w:keepLines/>
      <w:adjustRightInd w:val="0"/>
      <w:snapToGrid w:val="0"/>
      <w:spacing w:beforeLines="0" w:beforeAutospacing="0" w:afterLines="0" w:afterAutospacing="0" w:line="360" w:lineRule="auto"/>
      <w:outlineLvl w:val="7"/>
    </w:pPr>
    <w:rPr>
      <w:rFonts w:ascii="Times New Roman" w:hAnsi="Times New Roman"/>
      <w:sz w:val="24"/>
    </w:rPr>
  </w:style>
  <w:style w:type="character" w:default="1" w:styleId="23">
    <w:name w:val="Default Paragraph Font"/>
    <w:semiHidden/>
    <w:qFormat/>
    <w:uiPriority w:val="0"/>
  </w:style>
  <w:style w:type="table" w:default="1" w:styleId="21">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Body Text"/>
    <w:qFormat/>
    <w:uiPriority w:val="0"/>
    <w:pPr>
      <w:widowControl w:val="0"/>
      <w:spacing w:line="560" w:lineRule="exact"/>
      <w:ind w:firstLine="0" w:firstLineChars="0"/>
      <w:jc w:val="center"/>
    </w:pPr>
    <w:rPr>
      <w:rFonts w:ascii="Times New Roman" w:hAnsi="Times New Roman" w:eastAsia="仿宋" w:cs="宋体"/>
      <w:kern w:val="2"/>
      <w:sz w:val="21"/>
      <w:szCs w:val="22"/>
      <w:lang w:val="en-US" w:eastAsia="zh-CN" w:bidi="ar-SA"/>
    </w:rPr>
  </w:style>
  <w:style w:type="paragraph" w:styleId="11">
    <w:name w:val="table of authorities"/>
    <w:basedOn w:val="1"/>
    <w:next w:val="1"/>
    <w:qFormat/>
    <w:uiPriority w:val="0"/>
    <w:pPr>
      <w:spacing w:line="240" w:lineRule="auto"/>
      <w:ind w:left="420" w:leftChars="200" w:firstLine="0" w:firstLineChars="0"/>
    </w:pPr>
    <w:rPr>
      <w:sz w:val="21"/>
    </w:rPr>
  </w:style>
  <w:style w:type="paragraph" w:styleId="12">
    <w:name w:val="Normal Indent"/>
    <w:basedOn w:val="1"/>
    <w:uiPriority w:val="0"/>
    <w:pPr>
      <w:spacing w:line="240" w:lineRule="auto"/>
      <w:ind w:firstLine="420" w:firstLineChars="200"/>
    </w:pPr>
    <w:rPr>
      <w:sz w:val="21"/>
    </w:rPr>
  </w:style>
  <w:style w:type="paragraph" w:styleId="13">
    <w:name w:val="Body Text Indent"/>
    <w:basedOn w:val="1"/>
    <w:next w:val="14"/>
    <w:qFormat/>
    <w:uiPriority w:val="0"/>
    <w:pPr>
      <w:spacing w:line="540" w:lineRule="exact"/>
      <w:ind w:firstLine="560"/>
    </w:pPr>
    <w:rPr>
      <w:bCs/>
      <w:sz w:val="28"/>
      <w:szCs w:val="28"/>
    </w:rPr>
  </w:style>
  <w:style w:type="paragraph" w:styleId="14">
    <w:name w:val="Body Text First Indent 2"/>
    <w:next w:val="1"/>
    <w:qFormat/>
    <w:uiPriority w:val="99"/>
    <w:pPr>
      <w:widowControl w:val="0"/>
      <w:spacing w:after="120"/>
      <w:ind w:left="420" w:leftChars="200" w:firstLine="420"/>
      <w:jc w:val="both"/>
    </w:pPr>
    <w:rPr>
      <w:rFonts w:ascii="Times New Roman" w:hAnsi="Times New Roman" w:eastAsia="宋体" w:cs="Times New Roman"/>
      <w:kern w:val="2"/>
      <w:sz w:val="21"/>
      <w:lang w:val="en-US" w:eastAsia="zh-CN" w:bidi="ar-SA"/>
    </w:rPr>
  </w:style>
  <w:style w:type="paragraph" w:styleId="15">
    <w:name w:val="footer"/>
    <w:basedOn w:val="1"/>
    <w:link w:val="61"/>
    <w:uiPriority w:val="0"/>
    <w:pPr>
      <w:keepNext w:val="0"/>
      <w:keepLines w:val="0"/>
      <w:widowControl w:val="0"/>
      <w:suppressLineNumbers w:val="0"/>
      <w:tabs>
        <w:tab w:val="center" w:pos="4153"/>
        <w:tab w:val="right" w:pos="8306"/>
      </w:tabs>
      <w:snapToGrid w:val="0"/>
      <w:spacing w:before="0" w:beforeAutospacing="0" w:after="0" w:afterAutospacing="0"/>
      <w:ind w:left="0" w:right="0"/>
      <w:jc w:val="left"/>
    </w:pPr>
    <w:rPr>
      <w:rFonts w:hint="default" w:ascii="Times New Roman" w:hAnsi="Times New Roman" w:eastAsia="宋体" w:cs="Times New Roman"/>
      <w:kern w:val="0"/>
      <w:sz w:val="18"/>
      <w:szCs w:val="18"/>
      <w:lang w:val="en-US" w:eastAsia="zh-CN" w:bidi="ar"/>
    </w:rPr>
  </w:style>
  <w:style w:type="paragraph" w:styleId="16">
    <w:name w:val="header"/>
    <w:basedOn w:val="1"/>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7">
    <w:name w:val="List"/>
    <w:basedOn w:val="1"/>
    <w:uiPriority w:val="0"/>
    <w:pPr>
      <w:ind w:left="420" w:hanging="420"/>
    </w:pPr>
    <w:rPr>
      <w:szCs w:val="20"/>
    </w:rPr>
  </w:style>
  <w:style w:type="paragraph" w:styleId="18">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9">
    <w:name w:val="Normal (Web)"/>
    <w:qFormat/>
    <w:uiPriority w:val="0"/>
    <w:pPr>
      <w:widowControl w:val="0"/>
      <w:spacing w:line="560" w:lineRule="exact"/>
      <w:ind w:firstLine="200" w:firstLineChars="200"/>
      <w:jc w:val="left"/>
    </w:pPr>
    <w:rPr>
      <w:rFonts w:ascii="Times New Roman" w:hAnsi="Times New Roman" w:eastAsia="仿宋" w:cs="Times New Roman"/>
      <w:kern w:val="0"/>
      <w:sz w:val="24"/>
      <w:szCs w:val="24"/>
      <w:lang w:val="en-US" w:eastAsia="zh-CN" w:bidi="ar-SA"/>
    </w:rPr>
  </w:style>
  <w:style w:type="paragraph" w:styleId="20">
    <w:name w:val="Body Text First Indent"/>
    <w:next w:val="1"/>
    <w:qFormat/>
    <w:uiPriority w:val="0"/>
    <w:pPr>
      <w:ind w:firstLine="420" w:firstLineChars="100"/>
    </w:pPr>
  </w:style>
  <w:style w:type="table" w:styleId="22">
    <w:name w:val="Table Grid"/>
    <w:basedOn w:val="21"/>
    <w:qFormat/>
    <w:uiPriority w:val="0"/>
    <w:pPr>
      <w:widowControl w:val="0"/>
      <w:jc w:val="both"/>
    </w:pPr>
    <w:tblPr>
      <w:tblStyle w:val="2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4">
    <w:name w:val="Strong"/>
    <w:qFormat/>
    <w:uiPriority w:val="0"/>
    <w:rPr>
      <w:b/>
      <w:bCs/>
    </w:rPr>
  </w:style>
  <w:style w:type="character" w:styleId="25">
    <w:name w:val="page number"/>
    <w:qFormat/>
    <w:uiPriority w:val="0"/>
  </w:style>
  <w:style w:type="character" w:styleId="26">
    <w:name w:val="FollowedHyperlink"/>
    <w:uiPriority w:val="0"/>
    <w:rPr>
      <w:color w:val="333333"/>
      <w:u w:val="none"/>
    </w:rPr>
  </w:style>
  <w:style w:type="character" w:styleId="27">
    <w:name w:val="Hyperlink"/>
    <w:uiPriority w:val="0"/>
    <w:rPr>
      <w:color w:val="333333"/>
      <w:u w:val="none"/>
    </w:rPr>
  </w:style>
  <w:style w:type="paragraph" w:customStyle="1" w:styleId="28">
    <w:name w:val="Defaul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29">
    <w:name w:val="4级标题"/>
    <w:basedOn w:val="30"/>
    <w:next w:val="1"/>
    <w:qFormat/>
    <w:uiPriority w:val="0"/>
    <w:pPr>
      <w:keepNext w:val="0"/>
      <w:keepLines w:val="0"/>
      <w:snapToGrid/>
      <w:spacing w:beforeLines="0" w:afterLines="0" w:line="240" w:lineRule="auto"/>
      <w:jc w:val="both"/>
      <w:outlineLvl w:val="3"/>
    </w:pPr>
    <w:rPr>
      <w:color w:val="000000"/>
      <w:sz w:val="21"/>
    </w:rPr>
  </w:style>
  <w:style w:type="paragraph" w:customStyle="1" w:styleId="30">
    <w:name w:val="3级标题"/>
    <w:basedOn w:val="1"/>
    <w:next w:val="1"/>
    <w:qFormat/>
    <w:uiPriority w:val="0"/>
    <w:pPr>
      <w:keepNext/>
      <w:keepLines/>
      <w:snapToGrid w:val="0"/>
      <w:spacing w:beforeLines="50" w:afterLines="50" w:line="500" w:lineRule="exact"/>
      <w:jc w:val="left"/>
      <w:outlineLvl w:val="2"/>
    </w:pPr>
    <w:rPr>
      <w:rFonts w:ascii="Times New Roman" w:hAnsi="Times New Roman"/>
      <w:b/>
      <w:sz w:val="24"/>
    </w:rPr>
  </w:style>
  <w:style w:type="paragraph" w:styleId="31">
    <w:name w:val="List Paragraph"/>
    <w:basedOn w:val="1"/>
    <w:qFormat/>
    <w:uiPriority w:val="1"/>
    <w:pPr>
      <w:ind w:left="920" w:hanging="941"/>
    </w:pPr>
    <w:rPr>
      <w:rFonts w:ascii="宋体" w:hAnsi="宋体" w:eastAsia="宋体" w:cs="宋体"/>
    </w:rPr>
  </w:style>
  <w:style w:type="paragraph" w:customStyle="1" w:styleId="32">
    <w:name w:val="可研正文"/>
    <w:qFormat/>
    <w:uiPriority w:val="0"/>
    <w:pPr>
      <w:widowControl w:val="0"/>
      <w:spacing w:line="500" w:lineRule="exact"/>
      <w:ind w:firstLine="200" w:firstLineChars="200"/>
      <w:jc w:val="both"/>
    </w:pPr>
    <w:rPr>
      <w:rFonts w:ascii="宋体" w:hAnsi="宋体"/>
      <w:color w:val="000000"/>
      <w:kern w:val="2"/>
      <w:sz w:val="28"/>
      <w:szCs w:val="28"/>
      <w:lang w:val="en-US" w:eastAsia="zh-CN" w:bidi="ar-SA"/>
    </w:rPr>
  </w:style>
  <w:style w:type="paragraph" w:customStyle="1" w:styleId="33">
    <w:name w:val="Table Paragraph"/>
    <w:basedOn w:val="1"/>
    <w:qFormat/>
    <w:uiPriority w:val="1"/>
  </w:style>
  <w:style w:type="paragraph" w:customStyle="1" w:styleId="34">
    <w:name w:val="正文一"/>
    <w:basedOn w:val="1"/>
    <w:qFormat/>
    <w:uiPriority w:val="0"/>
    <w:pPr>
      <w:widowControl/>
      <w:snapToGrid w:val="0"/>
      <w:spacing w:after="200" w:line="440" w:lineRule="atLeast"/>
      <w:ind w:firstLine="480" w:firstLineChars="200"/>
    </w:pPr>
    <w:rPr>
      <w:snapToGrid w:val="0"/>
      <w:sz w:val="24"/>
    </w:rPr>
  </w:style>
  <w:style w:type="paragraph" w:customStyle="1" w:styleId="35">
    <w:name w:val="段"/>
    <w:qFormat/>
    <w:uiPriority w:val="0"/>
    <w:pPr>
      <w:tabs>
        <w:tab w:val="center" w:pos="4201"/>
        <w:tab w:val="right" w:leader="dot" w:pos="9298"/>
      </w:tabs>
      <w:autoSpaceDE w:val="0"/>
      <w:autoSpaceDN w:val="0"/>
      <w:ind w:firstLine="420" w:firstLineChars="200"/>
      <w:jc w:val="both"/>
    </w:pPr>
    <w:rPr>
      <w:rFonts w:ascii="宋体"/>
      <w:sz w:val="21"/>
      <w:lang w:val="en-US" w:eastAsia="zh-CN" w:bidi="ar-SA"/>
    </w:rPr>
  </w:style>
  <w:style w:type="paragraph" w:customStyle="1" w:styleId="36">
    <w:name w:val="p0"/>
    <w:basedOn w:val="1"/>
    <w:qFormat/>
    <w:uiPriority w:val="0"/>
    <w:pPr>
      <w:widowControl/>
      <w:spacing w:before="100" w:beforeLines="0" w:beforeAutospacing="1" w:after="100" w:afterLines="0" w:afterAutospacing="1" w:line="240" w:lineRule="auto"/>
      <w:jc w:val="left"/>
    </w:pPr>
    <w:rPr>
      <w:rFonts w:ascii="宋体" w:hAnsi="宋体" w:cs="宋体"/>
      <w:kern w:val="0"/>
    </w:rPr>
  </w:style>
  <w:style w:type="paragraph" w:customStyle="1" w:styleId="37">
    <w:name w:val="Normal (Web)"/>
    <w:basedOn w:val="1"/>
    <w:qFormat/>
    <w:uiPriority w:val="0"/>
    <w:pPr>
      <w:widowControl/>
      <w:autoSpaceDE/>
      <w:autoSpaceDN/>
      <w:snapToGrid/>
      <w:spacing w:before="100" w:beforeLines="0" w:beforeAutospacing="1" w:after="100" w:afterLines="0" w:afterAutospacing="1" w:line="240" w:lineRule="auto"/>
      <w:ind w:firstLine="0"/>
      <w:jc w:val="left"/>
    </w:pPr>
    <w:rPr>
      <w:rFonts w:hint="eastAsia" w:ascii="宋体" w:hAnsi="宋体" w:eastAsia="宋体"/>
      <w:sz w:val="24"/>
    </w:rPr>
  </w:style>
  <w:style w:type="paragraph" w:customStyle="1" w:styleId="38">
    <w:name w:val="SSEC正文 20150323"/>
    <w:qFormat/>
    <w:uiPriority w:val="0"/>
    <w:pPr>
      <w:adjustRightInd w:val="0"/>
      <w:snapToGrid w:val="0"/>
      <w:spacing w:line="331" w:lineRule="auto"/>
      <w:ind w:firstLine="200" w:firstLineChars="200"/>
      <w:jc w:val="both"/>
    </w:pPr>
    <w:rPr>
      <w:rFonts w:ascii="宋体" w:hAnsi="宋体"/>
      <w:kern w:val="2"/>
      <w:sz w:val="24"/>
      <w:szCs w:val="24"/>
      <w:lang w:val="en-US" w:eastAsia="zh-CN" w:bidi="ar-SA"/>
    </w:rPr>
  </w:style>
  <w:style w:type="paragraph" w:customStyle="1" w:styleId="39">
    <w:name w:val="WPSOffice手动目录 2"/>
    <w:uiPriority w:val="0"/>
    <w:pPr>
      <w:ind w:leftChars="200"/>
    </w:pPr>
    <w:rPr>
      <w:lang w:val="en-US" w:eastAsia="zh-CN" w:bidi="ar-SA"/>
    </w:rPr>
  </w:style>
  <w:style w:type="paragraph" w:customStyle="1" w:styleId="40">
    <w:name w:val="1正文 可研模板"/>
    <w:basedOn w:val="35"/>
    <w:qFormat/>
    <w:uiPriority w:val="0"/>
    <w:pPr>
      <w:spacing w:line="500" w:lineRule="exact"/>
      <w:ind w:firstLine="560"/>
    </w:pPr>
    <w:rPr>
      <w:sz w:val="28"/>
      <w:szCs w:val="28"/>
    </w:rPr>
  </w:style>
  <w:style w:type="paragraph" w:styleId="41">
    <w:name w:val=""/>
    <w:basedOn w:val="1"/>
    <w:next w:val="1"/>
    <w:uiPriority w:val="0"/>
    <w:pPr>
      <w:pBdr>
        <w:top w:val="single" w:color="auto" w:sz="6" w:space="1"/>
      </w:pBdr>
      <w:jc w:val="center"/>
    </w:pPr>
    <w:rPr>
      <w:rFonts w:ascii="Arial" w:eastAsia="宋体"/>
      <w:vanish/>
      <w:sz w:val="16"/>
    </w:rPr>
  </w:style>
  <w:style w:type="paragraph" w:styleId="42">
    <w:name w:val=""/>
    <w:basedOn w:val="1"/>
    <w:next w:val="1"/>
    <w:uiPriority w:val="0"/>
    <w:pPr>
      <w:pBdr>
        <w:bottom w:val="single" w:color="auto" w:sz="6" w:space="1"/>
      </w:pBdr>
      <w:jc w:val="center"/>
    </w:pPr>
    <w:rPr>
      <w:rFonts w:ascii="Arial" w:eastAsia="宋体"/>
      <w:vanish/>
      <w:sz w:val="16"/>
    </w:rPr>
  </w:style>
  <w:style w:type="paragraph" w:customStyle="1" w:styleId="43">
    <w:name w:val="TEXT"/>
    <w:qFormat/>
    <w:uiPriority w:val="0"/>
    <w:pPr>
      <w:widowControl w:val="0"/>
      <w:snapToGrid w:val="0"/>
      <w:spacing w:line="500" w:lineRule="exact"/>
      <w:ind w:firstLine="200" w:firstLineChars="200"/>
      <w:jc w:val="both"/>
    </w:pPr>
    <w:rPr>
      <w:rFonts w:ascii="宋体"/>
      <w:color w:val="000000"/>
      <w:kern w:val="2"/>
      <w:sz w:val="28"/>
      <w:lang w:val="en-US" w:eastAsia="zh-CN" w:bidi="ar-SA"/>
    </w:rPr>
  </w:style>
  <w:style w:type="paragraph" w:customStyle="1" w:styleId="44">
    <w:name w:val="WPSOffice手动目录 1"/>
    <w:uiPriority w:val="0"/>
    <w:rPr>
      <w:lang w:val="en-US" w:eastAsia="zh-CN" w:bidi="ar-SA"/>
    </w:rPr>
  </w:style>
  <w:style w:type="character" w:customStyle="1" w:styleId="45">
    <w:name w:val="font41"/>
    <w:uiPriority w:val="0"/>
    <w:rPr>
      <w:rFonts w:hint="default" w:ascii="Times New Roman" w:hAnsi="Times New Roman" w:cs="Times New Roman"/>
      <w:color w:val="000000"/>
      <w:sz w:val="21"/>
      <w:szCs w:val="21"/>
      <w:u w:val="none"/>
      <w:vertAlign w:val="superscript"/>
    </w:rPr>
  </w:style>
  <w:style w:type="character" w:customStyle="1" w:styleId="46">
    <w:name w:val="fontstyle01"/>
    <w:uiPriority w:val="0"/>
    <w:rPr>
      <w:rFonts w:hint="default" w:ascii="仿宋" w:hAnsi="仿宋"/>
      <w:color w:val="000000"/>
      <w:sz w:val="24"/>
      <w:szCs w:val="24"/>
    </w:rPr>
  </w:style>
  <w:style w:type="character" w:customStyle="1" w:styleId="47">
    <w:name w:val="标题 6 字符"/>
    <w:link w:val="8"/>
    <w:uiPriority w:val="0"/>
    <w:rPr>
      <w:rFonts w:ascii="Arial" w:hAnsi="Arial" w:eastAsia="黑体"/>
      <w:b/>
      <w:sz w:val="24"/>
    </w:rPr>
  </w:style>
  <w:style w:type="character" w:customStyle="1" w:styleId="48">
    <w:name w:val="标题 1 字符"/>
    <w:link w:val="3"/>
    <w:uiPriority w:val="0"/>
    <w:rPr>
      <w:rFonts w:ascii="黑体" w:hAnsi="黑体" w:eastAsia="黑体" w:cs="Times New Roman"/>
      <w:b/>
      <w:kern w:val="44"/>
      <w:sz w:val="32"/>
      <w:szCs w:val="44"/>
    </w:rPr>
  </w:style>
  <w:style w:type="character" w:customStyle="1" w:styleId="49">
    <w:name w:val="font11"/>
    <w:uiPriority w:val="0"/>
    <w:rPr>
      <w:rFonts w:hint="default" w:ascii="Times New Roman" w:hAnsi="Times New Roman" w:cs="Times New Roman"/>
      <w:color w:val="000000"/>
      <w:sz w:val="21"/>
      <w:szCs w:val="21"/>
      <w:u w:val="none"/>
    </w:rPr>
  </w:style>
  <w:style w:type="character" w:customStyle="1" w:styleId="50">
    <w:name w:val="layui-laypage-curr"/>
    <w:uiPriority w:val="0"/>
  </w:style>
  <w:style w:type="character" w:customStyle="1" w:styleId="51">
    <w:name w:val="layui-this2"/>
    <w:uiPriority w:val="0"/>
    <w:rPr>
      <w:bdr w:val="single" w:color="EEEEEE" w:sz="6" w:space="0"/>
      <w:shd w:val="clear" w:color="auto" w:fill="FFFFFF"/>
    </w:rPr>
  </w:style>
  <w:style w:type="character" w:customStyle="1" w:styleId="52">
    <w:name w:val="font31"/>
    <w:uiPriority w:val="0"/>
    <w:rPr>
      <w:rFonts w:hint="eastAsia" w:ascii="宋体" w:hAnsi="宋体" w:eastAsia="宋体" w:cs="宋体"/>
      <w:i/>
      <w:iCs/>
      <w:color w:val="000000"/>
      <w:sz w:val="21"/>
      <w:szCs w:val="21"/>
      <w:u w:val="none"/>
    </w:rPr>
  </w:style>
  <w:style w:type="character" w:customStyle="1" w:styleId="53">
    <w:name w:val="标题 4 字符"/>
    <w:link w:val="6"/>
    <w:qFormat/>
    <w:uiPriority w:val="0"/>
    <w:rPr>
      <w:rFonts w:ascii="方正楷体简体" w:hAnsi="方正楷体简体" w:eastAsia="方正楷体简体" w:cs="Times New Roman"/>
      <w:b/>
      <w:sz w:val="32"/>
    </w:rPr>
  </w:style>
  <w:style w:type="character" w:customStyle="1" w:styleId="54">
    <w:name w:val="first-child"/>
    <w:uiPriority w:val="0"/>
  </w:style>
  <w:style w:type="character" w:customStyle="1" w:styleId="55">
    <w:name w:val="标题 3 字符"/>
    <w:link w:val="5"/>
    <w:qFormat/>
    <w:uiPriority w:val="0"/>
    <w:rPr>
      <w:rFonts w:ascii="黑体" w:hAnsi="黑体" w:eastAsia="方正黑体简体" w:cs="Times New Roman"/>
      <w:b/>
      <w:sz w:val="32"/>
      <w:szCs w:val="22"/>
    </w:rPr>
  </w:style>
  <w:style w:type="character" w:customStyle="1" w:styleId="56">
    <w:name w:val="标题 2 字符"/>
    <w:link w:val="4"/>
    <w:qFormat/>
    <w:uiPriority w:val="0"/>
    <w:rPr>
      <w:rFonts w:ascii="黑体" w:hAnsi="黑体" w:eastAsia="方正黑体简体" w:cs="Times New Roman"/>
      <w:b/>
      <w:sz w:val="36"/>
    </w:rPr>
  </w:style>
  <w:style w:type="character" w:customStyle="1" w:styleId="57">
    <w:name w:val="font01"/>
    <w:uiPriority w:val="0"/>
    <w:rPr>
      <w:rFonts w:hint="default" w:ascii="Times New Roman" w:hAnsi="Times New Roman" w:cs="Times New Roman"/>
      <w:color w:val="000000"/>
      <w:sz w:val="21"/>
      <w:szCs w:val="21"/>
      <w:u w:val="none"/>
    </w:rPr>
  </w:style>
  <w:style w:type="character" w:customStyle="1" w:styleId="58">
    <w:name w:val="font61"/>
    <w:uiPriority w:val="0"/>
    <w:rPr>
      <w:rFonts w:hint="default" w:ascii="Times New Roman" w:hAnsi="Times New Roman" w:cs="Times New Roman"/>
      <w:i/>
      <w:iCs/>
      <w:color w:val="000000"/>
      <w:sz w:val="21"/>
      <w:szCs w:val="21"/>
      <w:u w:val="none"/>
    </w:rPr>
  </w:style>
  <w:style w:type="character" w:customStyle="1" w:styleId="59">
    <w:name w:val="标题 5 字符"/>
    <w:link w:val="7"/>
    <w:uiPriority w:val="0"/>
    <w:rPr>
      <w:rFonts w:ascii="Times New Roman" w:hAnsi="Times New Roman" w:eastAsia="方正仿宋简体"/>
      <w:b/>
    </w:rPr>
  </w:style>
  <w:style w:type="character" w:customStyle="1" w:styleId="60">
    <w:name w:val="font21"/>
    <w:uiPriority w:val="0"/>
    <w:rPr>
      <w:rFonts w:hint="eastAsia" w:ascii="宋体" w:hAnsi="宋体" w:eastAsia="宋体" w:cs="宋体"/>
      <w:color w:val="000000"/>
      <w:sz w:val="21"/>
      <w:szCs w:val="21"/>
      <w:u w:val="none"/>
    </w:rPr>
  </w:style>
  <w:style w:type="character" w:customStyle="1" w:styleId="61">
    <w:name w:val="页脚 字符"/>
    <w:basedOn w:val="23"/>
    <w:link w:val="15"/>
    <w:uiPriority w:val="0"/>
    <w:rPr>
      <w:sz w:val="18"/>
      <w:szCs w:val="18"/>
    </w:rPr>
  </w:style>
  <w:style w:type="character" w:customStyle="1" w:styleId="62">
    <w:name w:val="页脚 字符1"/>
    <w:basedOn w:val="23"/>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6.jpeg"/><Relationship Id="rId21" Type="http://schemas.openxmlformats.org/officeDocument/2006/relationships/image" Target="media/image5.jpeg"/><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jpe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50</Pages>
  <Words>15440</Words>
  <Characters>17473</Characters>
  <Lines>157</Lines>
  <Paragraphs>44</Paragraphs>
  <TotalTime>3</TotalTime>
  <ScaleCrop>false</ScaleCrop>
  <LinksUpToDate>false</LinksUpToDate>
  <CharactersWithSpaces>17592</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望尽天涯路1418031457</dc:creator>
  <cp:lastModifiedBy>Administrator</cp:lastModifiedBy>
  <dcterms:modified xsi:type="dcterms:W3CDTF">2022-09-21T09:28:25Z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y fmtid="{D5CDD505-2E9C-101B-9397-08002B2CF9AE}" pid="3" name="ICV">
    <vt:lpwstr>E07CB3989CD1488EA97D828DC64C0B5B</vt:lpwstr>
  </property>
</Properties>
</file>