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3"/>
        <w:rPr>
          <w:rFonts w:hint="eastAsia" w:ascii="方正小标宋简体" w:hAnsi="方正小标宋简体" w:eastAsia="方正小标宋简体" w:cs="方正小标宋简体"/>
          <w:sz w:val="44"/>
          <w:szCs w:val="44"/>
        </w:rPr>
      </w:pPr>
    </w:p>
    <w:p>
      <w:pPr>
        <w:pStyle w:val="3"/>
        <w:rPr>
          <w:rFonts w:hint="eastAsia" w:ascii="方正小标宋简体" w:hAnsi="方正小标宋简体" w:eastAsia="方正小标宋简体" w:cs="方正小标宋简体"/>
          <w:sz w:val="44"/>
          <w:szCs w:val="44"/>
        </w:rPr>
      </w:pPr>
    </w:p>
    <w:p>
      <w:pPr>
        <w:pStyle w:val="3"/>
        <w:rPr>
          <w:rFonts w:hint="eastAsia" w:ascii="方正小标宋简体" w:hAnsi="方正小标宋简体" w:eastAsia="方正小标宋简体" w:cs="方正小标宋简体"/>
          <w:sz w:val="44"/>
          <w:szCs w:val="44"/>
        </w:rPr>
      </w:pPr>
    </w:p>
    <w:p>
      <w:pPr>
        <w:pStyle w:val="3"/>
        <w:ind w:left="0" w:leftChars="0" w:firstLine="0" w:firstLineChars="0"/>
        <w:jc w:val="center"/>
        <w:rPr>
          <w:rFonts w:hint="default" w:ascii="Times New Roman" w:hAnsi="Times New Roman" w:eastAsia="方正仿宋简体" w:cs="Times New Roman"/>
          <w:b w:val="0"/>
          <w:bCs w:val="0"/>
          <w:color w:val="000000"/>
          <w:kern w:val="0"/>
          <w:sz w:val="32"/>
          <w:szCs w:val="32"/>
          <w:lang w:val="en-US" w:eastAsia="zh-CN" w:bidi="ar"/>
        </w:rPr>
      </w:pPr>
      <w:r>
        <w:rPr>
          <w:rFonts w:hint="default" w:ascii="Times New Roman" w:hAnsi="Times New Roman" w:eastAsia="方正仿宋简体" w:cs="Times New Roman"/>
          <w:b w:val="0"/>
          <w:bCs w:val="0"/>
          <w:color w:val="000000"/>
          <w:kern w:val="0"/>
          <w:sz w:val="32"/>
          <w:szCs w:val="32"/>
          <w:lang w:val="en" w:eastAsia="zh-CN" w:bidi="ar"/>
        </w:rPr>
        <w:t>济工信字〔</w:t>
      </w:r>
      <w:r>
        <w:rPr>
          <w:rFonts w:hint="default" w:ascii="Times New Roman" w:hAnsi="Times New Roman" w:eastAsia="方正仿宋简体" w:cs="Times New Roman"/>
          <w:b w:val="0"/>
          <w:bCs w:val="0"/>
          <w:color w:val="000000"/>
          <w:kern w:val="0"/>
          <w:sz w:val="32"/>
          <w:szCs w:val="32"/>
          <w:lang w:val="en-US" w:eastAsia="zh-CN" w:bidi="ar"/>
        </w:rPr>
        <w:t>2021</w:t>
      </w:r>
      <w:r>
        <w:rPr>
          <w:rFonts w:hint="default" w:ascii="Times New Roman" w:hAnsi="Times New Roman" w:eastAsia="方正仿宋简体" w:cs="Times New Roman"/>
          <w:b w:val="0"/>
          <w:bCs w:val="0"/>
          <w:color w:val="000000"/>
          <w:kern w:val="0"/>
          <w:sz w:val="32"/>
          <w:szCs w:val="32"/>
          <w:lang w:val="en" w:eastAsia="zh-CN" w:bidi="ar"/>
        </w:rPr>
        <w:t>〕</w:t>
      </w:r>
      <w:r>
        <w:rPr>
          <w:rFonts w:hint="eastAsia" w:ascii="Times New Roman" w:hAnsi="Times New Roman" w:eastAsia="方正仿宋简体" w:cs="Times New Roman"/>
          <w:b w:val="0"/>
          <w:bCs w:val="0"/>
          <w:color w:val="000000"/>
          <w:kern w:val="0"/>
          <w:sz w:val="32"/>
          <w:szCs w:val="32"/>
          <w:lang w:val="en-US" w:eastAsia="zh-CN" w:bidi="ar"/>
        </w:rPr>
        <w:t>78</w:t>
      </w:r>
      <w:r>
        <w:rPr>
          <w:rFonts w:hint="default" w:ascii="Times New Roman" w:hAnsi="Times New Roman" w:eastAsia="方正仿宋简体" w:cs="Times New Roman"/>
          <w:b w:val="0"/>
          <w:bCs w:val="0"/>
          <w:color w:val="000000"/>
          <w:kern w:val="0"/>
          <w:sz w:val="32"/>
          <w:szCs w:val="32"/>
          <w:lang w:val="en-US" w:eastAsia="zh-CN" w:bidi="ar"/>
        </w:rPr>
        <w:t>号</w:t>
      </w:r>
    </w:p>
    <w:p>
      <w:pPr>
        <w:pStyle w:val="2"/>
        <w:keepNext w:val="0"/>
        <w:keepLines w:val="0"/>
        <w:pageBreakBefore w:val="0"/>
        <w:widowControl w:val="0"/>
        <w:kinsoku/>
        <w:wordWrap/>
        <w:overflowPunct/>
        <w:topLinePunct w:val="0"/>
        <w:bidi w:val="0"/>
        <w:adjustRightInd/>
        <w:snapToGrid/>
        <w:spacing w:line="600" w:lineRule="exact"/>
        <w:textAlignment w:val="auto"/>
        <w:rPr>
          <w:rFonts w:hint="default" w:ascii="Times New Roman" w:hAnsi="Times New Roman" w:cs="Times New Roman"/>
          <w:b w:val="0"/>
          <w:bCs w:val="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关于开展国家工业专项</w:t>
      </w:r>
      <w:bookmarkStart w:id="0" w:name="_GoBack"/>
      <w:bookmarkEnd w:id="0"/>
      <w:r>
        <w:rPr>
          <w:rFonts w:hint="default" w:ascii="Times New Roman" w:hAnsi="Times New Roman" w:eastAsia="方正小标宋简体" w:cs="Times New Roman"/>
          <w:b w:val="0"/>
          <w:bCs w:val="0"/>
          <w:sz w:val="44"/>
          <w:szCs w:val="44"/>
        </w:rPr>
        <w:t>节能监察的通知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sz w:val="32"/>
          <w:szCs w:val="32"/>
        </w:rPr>
      </w:pPr>
    </w:p>
    <w:p>
      <w:pPr>
        <w:keepNext w:val="0"/>
        <w:keepLines w:val="0"/>
        <w:pageBreakBefore w:val="0"/>
        <w:widowControl/>
        <w:suppressLineNumbers w:val="0"/>
        <w:kinsoku/>
        <w:wordWrap/>
        <w:overflowPunct/>
        <w:topLinePunct w:val="0"/>
        <w:bidi w:val="0"/>
        <w:adjustRightInd/>
        <w:snapToGrid/>
        <w:spacing w:line="600" w:lineRule="exact"/>
        <w:jc w:val="left"/>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color w:val="000000"/>
          <w:kern w:val="0"/>
          <w:sz w:val="32"/>
          <w:szCs w:val="32"/>
          <w:lang w:val="en-US" w:eastAsia="zh-CN" w:bidi="ar"/>
        </w:rPr>
        <w:t>各县（市、区）工业和信息化局、发展改革局（能源局），济宁高新区、太白湖新区、济宁经济技术开发区经发局，市能源综合执法支队，各有关企业：</w:t>
      </w: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color w:val="000000"/>
          <w:kern w:val="0"/>
          <w:sz w:val="32"/>
          <w:szCs w:val="32"/>
          <w:lang w:val="en-US" w:eastAsia="zh-CN" w:bidi="ar"/>
        </w:rPr>
      </w:pPr>
      <w:r>
        <w:rPr>
          <w:rFonts w:hint="default" w:ascii="Times New Roman" w:hAnsi="Times New Roman" w:eastAsia="方正仿宋简体" w:cs="Times New Roman"/>
          <w:b w:val="0"/>
          <w:bCs w:val="0"/>
          <w:color w:val="000000"/>
          <w:kern w:val="0"/>
          <w:sz w:val="32"/>
          <w:szCs w:val="32"/>
          <w:lang w:val="en-US" w:eastAsia="zh-CN" w:bidi="ar"/>
        </w:rPr>
        <w:t>根据《工业和信息化部关于开展2021年工业节能监察工作的通知》（工信部节函〔2021〕80号）和《工业和信息化部办公厅关于下达2021年国家工业专项节能监察任务的通知》（工信厅节函 〔2021〕171号）部署，按照省工信厅、省能源局下发的《关于开展国家工业专项节能监察的通知》</w:t>
      </w:r>
      <w:r>
        <w:rPr>
          <w:rFonts w:hint="eastAsia" w:ascii="Times New Roman" w:hAnsi="Times New Roman" w:eastAsia="方正仿宋简体" w:cs="Times New Roman"/>
          <w:b w:val="0"/>
          <w:bCs w:val="0"/>
          <w:color w:val="000000"/>
          <w:kern w:val="0"/>
          <w:sz w:val="32"/>
          <w:szCs w:val="32"/>
          <w:lang w:val="en-US" w:eastAsia="zh-CN" w:bidi="ar"/>
        </w:rPr>
        <w:t>（</w:t>
      </w:r>
      <w:r>
        <w:rPr>
          <w:rFonts w:hint="default" w:ascii="Times New Roman" w:hAnsi="Times New Roman" w:eastAsia="方正仿宋简体" w:cs="Times New Roman"/>
          <w:b w:val="0"/>
          <w:bCs w:val="0"/>
          <w:color w:val="000000"/>
          <w:kern w:val="0"/>
          <w:sz w:val="32"/>
          <w:szCs w:val="32"/>
          <w:lang w:val="en-US" w:eastAsia="zh-CN" w:bidi="ar"/>
        </w:rPr>
        <w:t>鲁工信绿发〔2021〕173号</w:t>
      </w:r>
      <w:r>
        <w:rPr>
          <w:rFonts w:hint="eastAsia" w:ascii="Times New Roman" w:hAnsi="Times New Roman" w:eastAsia="方正仿宋简体" w:cs="Times New Roman"/>
          <w:b w:val="0"/>
          <w:bCs w:val="0"/>
          <w:color w:val="000000"/>
          <w:kern w:val="0"/>
          <w:sz w:val="32"/>
          <w:szCs w:val="32"/>
          <w:lang w:val="en-US" w:eastAsia="zh-CN" w:bidi="ar"/>
        </w:rPr>
        <w:t>）</w:t>
      </w:r>
      <w:r>
        <w:rPr>
          <w:rFonts w:hint="default" w:ascii="Times New Roman" w:hAnsi="Times New Roman" w:eastAsia="方正仿宋简体" w:cs="Times New Roman"/>
          <w:b w:val="0"/>
          <w:bCs w:val="0"/>
          <w:color w:val="000000"/>
          <w:kern w:val="0"/>
          <w:sz w:val="32"/>
          <w:szCs w:val="32"/>
          <w:lang w:val="en-US" w:eastAsia="zh-CN" w:bidi="ar"/>
        </w:rPr>
        <w:t>要求，为圆满完成监察工作任务，加快我市产业结构优化调整，助力碳达峰碳中和目标实现，现就开展国家工业专项节能监察工作有关事项通知如下:</w:t>
      </w: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left"/>
        <w:textAlignment w:val="auto"/>
        <w:rPr>
          <w:rFonts w:hint="default" w:ascii="Times New Roman" w:hAnsi="Times New Roman" w:eastAsia="黑体" w:cs="Times New Roman"/>
          <w:b w:val="0"/>
          <w:bCs w:val="0"/>
          <w:color w:val="000000"/>
          <w:kern w:val="0"/>
          <w:sz w:val="32"/>
          <w:szCs w:val="32"/>
          <w:lang w:val="en-US" w:eastAsia="zh-CN" w:bidi="ar"/>
        </w:rPr>
      </w:pPr>
      <w:r>
        <w:rPr>
          <w:rFonts w:hint="default" w:ascii="Times New Roman" w:hAnsi="Times New Roman" w:eastAsia="黑体" w:cs="Times New Roman"/>
          <w:b w:val="0"/>
          <w:bCs w:val="0"/>
          <w:color w:val="000000"/>
          <w:kern w:val="0"/>
          <w:sz w:val="32"/>
          <w:szCs w:val="32"/>
          <w:lang w:val="en-US" w:eastAsia="zh-CN" w:bidi="ar"/>
        </w:rPr>
        <w:t>一、监察工作任务</w:t>
      </w: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color w:val="000000"/>
          <w:kern w:val="0"/>
          <w:sz w:val="32"/>
          <w:szCs w:val="32"/>
          <w:lang w:val="en-US" w:eastAsia="zh-CN" w:bidi="ar"/>
        </w:rPr>
      </w:pPr>
      <w:r>
        <w:rPr>
          <w:rFonts w:hint="default" w:ascii="Times New Roman" w:hAnsi="Times New Roman" w:eastAsia="方正仿宋简体" w:cs="Times New Roman"/>
          <w:b w:val="0"/>
          <w:bCs w:val="0"/>
          <w:color w:val="000000"/>
          <w:kern w:val="0"/>
          <w:sz w:val="32"/>
          <w:szCs w:val="32"/>
          <w:lang w:val="en-US" w:eastAsia="zh-CN" w:bidi="ar"/>
        </w:rPr>
        <w:t>我市共有10家企业列入2021年度国家工业专项节能监察任务（见附件1</w:t>
      </w:r>
      <w:r>
        <w:rPr>
          <w:rFonts w:hint="eastAsia" w:ascii="Times New Roman" w:hAnsi="Times New Roman" w:eastAsia="方正仿宋简体" w:cs="Times New Roman"/>
          <w:b w:val="0"/>
          <w:bCs w:val="0"/>
          <w:color w:val="000000"/>
          <w:kern w:val="0"/>
          <w:sz w:val="32"/>
          <w:szCs w:val="32"/>
          <w:lang w:val="en-US" w:eastAsia="zh-CN" w:bidi="ar"/>
        </w:rPr>
        <w:t>）</w:t>
      </w:r>
      <w:r>
        <w:rPr>
          <w:rFonts w:hint="default" w:ascii="Times New Roman" w:hAnsi="Times New Roman" w:eastAsia="方正仿宋简体" w:cs="Times New Roman"/>
          <w:b w:val="0"/>
          <w:bCs w:val="0"/>
          <w:color w:val="000000"/>
          <w:kern w:val="0"/>
          <w:sz w:val="32"/>
          <w:szCs w:val="32"/>
          <w:lang w:val="en-US" w:eastAsia="zh-CN" w:bidi="ar"/>
        </w:rPr>
        <w:t>，全部为重点行业能耗专项监察企业。</w:t>
      </w: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left"/>
        <w:textAlignment w:val="auto"/>
        <w:rPr>
          <w:rFonts w:hint="default" w:ascii="Times New Roman" w:hAnsi="Times New Roman" w:eastAsia="黑体" w:cs="Times New Roman"/>
          <w:b w:val="0"/>
          <w:bCs w:val="0"/>
          <w:color w:val="000000"/>
          <w:kern w:val="0"/>
          <w:sz w:val="32"/>
          <w:szCs w:val="32"/>
          <w:lang w:val="en-US" w:eastAsia="zh-CN" w:bidi="ar"/>
        </w:rPr>
      </w:pPr>
      <w:r>
        <w:rPr>
          <w:rFonts w:hint="default" w:ascii="Times New Roman" w:hAnsi="Times New Roman" w:eastAsia="黑体" w:cs="Times New Roman"/>
          <w:b w:val="0"/>
          <w:bCs w:val="0"/>
          <w:color w:val="000000"/>
          <w:kern w:val="0"/>
          <w:sz w:val="32"/>
          <w:szCs w:val="32"/>
          <w:lang w:val="en-US" w:eastAsia="zh-CN" w:bidi="ar"/>
        </w:rPr>
        <w:t>二、监察工作内容</w:t>
      </w: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color w:val="000000"/>
          <w:kern w:val="0"/>
          <w:sz w:val="32"/>
          <w:szCs w:val="32"/>
          <w:lang w:val="en-US" w:eastAsia="zh-CN" w:bidi="ar"/>
        </w:rPr>
      </w:pPr>
      <w:r>
        <w:rPr>
          <w:rFonts w:hint="default" w:ascii="Times New Roman" w:hAnsi="Times New Roman" w:eastAsia="方正楷体简体" w:cs="Times New Roman"/>
          <w:b w:val="0"/>
          <w:bCs w:val="0"/>
          <w:color w:val="000000"/>
          <w:kern w:val="0"/>
          <w:sz w:val="32"/>
          <w:szCs w:val="32"/>
          <w:lang w:val="en-US" w:eastAsia="zh-CN" w:bidi="ar"/>
        </w:rPr>
        <w:t>（一）重点行业能耗专项监察。</w:t>
      </w:r>
      <w:r>
        <w:rPr>
          <w:rFonts w:hint="default" w:ascii="Times New Roman" w:hAnsi="Times New Roman" w:eastAsia="方正仿宋简体" w:cs="Times New Roman"/>
          <w:b w:val="0"/>
          <w:bCs w:val="0"/>
          <w:color w:val="000000"/>
          <w:kern w:val="0"/>
          <w:sz w:val="32"/>
          <w:szCs w:val="32"/>
          <w:lang w:val="en-US" w:eastAsia="zh-CN" w:bidi="ar"/>
        </w:rPr>
        <w:t>2021年主要对钢铁、石化化工、建材等重点行业企业，开展强制性单位产品能耗限额标准执行情况专项监察。</w:t>
      </w: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color w:val="000000"/>
          <w:kern w:val="0"/>
          <w:sz w:val="32"/>
          <w:szCs w:val="32"/>
          <w:lang w:val="en-US" w:eastAsia="zh-CN" w:bidi="ar"/>
        </w:rPr>
      </w:pPr>
      <w:r>
        <w:rPr>
          <w:rFonts w:hint="default" w:ascii="Times New Roman" w:hAnsi="Times New Roman" w:eastAsia="方正楷体简体" w:cs="Times New Roman"/>
          <w:b w:val="0"/>
          <w:bCs w:val="0"/>
          <w:color w:val="000000"/>
          <w:kern w:val="0"/>
          <w:sz w:val="32"/>
          <w:szCs w:val="32"/>
          <w:lang w:val="en-US" w:eastAsia="zh-CN" w:bidi="ar"/>
        </w:rPr>
        <w:t>（二）阶梯电价政策执行专项监察。</w:t>
      </w:r>
      <w:r>
        <w:rPr>
          <w:rFonts w:hint="default" w:ascii="Times New Roman" w:hAnsi="Times New Roman" w:eastAsia="方正仿宋简体" w:cs="Times New Roman"/>
          <w:b w:val="0"/>
          <w:bCs w:val="0"/>
          <w:color w:val="000000"/>
          <w:kern w:val="0"/>
          <w:sz w:val="32"/>
          <w:szCs w:val="32"/>
          <w:lang w:val="en-US" w:eastAsia="zh-CN" w:bidi="ar"/>
        </w:rPr>
        <w:t>按照《国家发展改革委工业和信息化部关于运用价格手段促进钢铁行业供给侧结构性改革有关事项的通知》（发改价格〔2016〕2803号</w:t>
      </w:r>
      <w:r>
        <w:rPr>
          <w:rFonts w:hint="eastAsia" w:ascii="Times New Roman" w:hAnsi="Times New Roman" w:eastAsia="方正仿宋简体" w:cs="Times New Roman"/>
          <w:b w:val="0"/>
          <w:bCs w:val="0"/>
          <w:color w:val="000000"/>
          <w:kern w:val="0"/>
          <w:sz w:val="32"/>
          <w:szCs w:val="32"/>
          <w:lang w:val="en-US" w:eastAsia="zh-CN" w:bidi="ar"/>
        </w:rPr>
        <w:t>）</w:t>
      </w:r>
      <w:r>
        <w:rPr>
          <w:rFonts w:hint="default" w:ascii="Times New Roman" w:hAnsi="Times New Roman" w:eastAsia="方正仿宋简体" w:cs="Times New Roman"/>
          <w:b w:val="0"/>
          <w:bCs w:val="0"/>
          <w:color w:val="000000"/>
          <w:kern w:val="0"/>
          <w:sz w:val="32"/>
          <w:szCs w:val="32"/>
          <w:lang w:val="en-US" w:eastAsia="zh-CN" w:bidi="ar"/>
        </w:rPr>
        <w:t>《国家发展改革委工业和信息化部关于水泥企业用电实行阶梯电价政策有关问题的通知》（发改价格〔2016〕75号</w:t>
      </w:r>
      <w:r>
        <w:rPr>
          <w:rFonts w:hint="eastAsia" w:ascii="Times New Roman" w:hAnsi="Times New Roman" w:eastAsia="方正仿宋简体" w:cs="Times New Roman"/>
          <w:b w:val="0"/>
          <w:bCs w:val="0"/>
          <w:color w:val="000000"/>
          <w:kern w:val="0"/>
          <w:sz w:val="32"/>
          <w:szCs w:val="32"/>
          <w:lang w:val="en-US" w:eastAsia="zh-CN" w:bidi="ar"/>
        </w:rPr>
        <w:t>）</w:t>
      </w:r>
      <w:r>
        <w:rPr>
          <w:rFonts w:hint="default" w:ascii="Times New Roman" w:hAnsi="Times New Roman" w:eastAsia="方正仿宋简体" w:cs="Times New Roman"/>
          <w:b w:val="0"/>
          <w:bCs w:val="0"/>
          <w:color w:val="000000"/>
          <w:kern w:val="0"/>
          <w:sz w:val="32"/>
          <w:szCs w:val="32"/>
          <w:lang w:val="en-US" w:eastAsia="zh-CN" w:bidi="ar"/>
        </w:rPr>
        <w:t>的要求，开展钢铁、水泥行业阶梯电价专项监察。本专项监察与重点行业能耗专项监察中的钢铁、水泥企业监察合并开展，对违规企业会同价格主管部门依法依规执行阶梯电价。</w:t>
      </w: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color w:val="000000"/>
          <w:kern w:val="0"/>
          <w:sz w:val="32"/>
          <w:szCs w:val="32"/>
          <w:lang w:val="en-US" w:eastAsia="zh-CN" w:bidi="ar"/>
        </w:rPr>
      </w:pPr>
      <w:r>
        <w:rPr>
          <w:rFonts w:hint="default" w:ascii="Times New Roman" w:hAnsi="Times New Roman" w:eastAsia="方正楷体简体" w:cs="Times New Roman"/>
          <w:b w:val="0"/>
          <w:bCs w:val="0"/>
          <w:color w:val="000000"/>
          <w:kern w:val="0"/>
          <w:sz w:val="32"/>
          <w:szCs w:val="32"/>
          <w:lang w:val="en-US" w:eastAsia="zh-CN" w:bidi="ar"/>
        </w:rPr>
        <w:t>（三）重点用能产品设备能效提升专项监察。</w:t>
      </w:r>
      <w:r>
        <w:rPr>
          <w:rFonts w:hint="default" w:ascii="Times New Roman" w:hAnsi="Times New Roman" w:eastAsia="方正仿宋简体" w:cs="Times New Roman"/>
          <w:b w:val="0"/>
          <w:bCs w:val="0"/>
          <w:color w:val="000000"/>
          <w:kern w:val="0"/>
          <w:sz w:val="32"/>
          <w:szCs w:val="32"/>
          <w:lang w:val="en-US" w:eastAsia="zh-CN" w:bidi="ar"/>
        </w:rPr>
        <w:t>依据相关国家强制性能效标准，落实工业和信息化部、市场监管总局、能源局联合印发的《变压器能效提升计划（2021-2023年</w:t>
      </w:r>
      <w:r>
        <w:rPr>
          <w:rFonts w:hint="eastAsia" w:ascii="Times New Roman" w:hAnsi="Times New Roman" w:eastAsia="方正仿宋简体" w:cs="Times New Roman"/>
          <w:b w:val="0"/>
          <w:bCs w:val="0"/>
          <w:color w:val="000000"/>
          <w:kern w:val="0"/>
          <w:sz w:val="32"/>
          <w:szCs w:val="32"/>
          <w:lang w:val="en-US" w:eastAsia="zh-CN" w:bidi="ar"/>
        </w:rPr>
        <w:t>）</w:t>
      </w:r>
      <w:r>
        <w:rPr>
          <w:rFonts w:hint="default" w:ascii="Times New Roman" w:hAnsi="Times New Roman" w:eastAsia="方正仿宋简体" w:cs="Times New Roman"/>
          <w:b w:val="0"/>
          <w:bCs w:val="0"/>
          <w:color w:val="000000"/>
          <w:kern w:val="0"/>
          <w:sz w:val="32"/>
          <w:szCs w:val="32"/>
          <w:lang w:val="en-US" w:eastAsia="zh-CN" w:bidi="ar"/>
        </w:rPr>
        <w:t>》，对变压器、电机、风机、空压机、泵等重点用能产品设备用户企业实施能效提升专项监察，核查设备台账，会同有关部门依法督促企业淘汰达不到强制性能效标准限定值的低效产品。本专项监察结合其他专项监察开展，不单独安排任务。</w:t>
      </w: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color w:val="000000"/>
          <w:kern w:val="0"/>
          <w:sz w:val="32"/>
          <w:szCs w:val="32"/>
          <w:lang w:val="en-US" w:eastAsia="zh-CN" w:bidi="ar"/>
        </w:rPr>
      </w:pPr>
      <w:r>
        <w:rPr>
          <w:rFonts w:hint="default" w:ascii="Times New Roman" w:hAnsi="Times New Roman" w:eastAsia="方正楷体简体" w:cs="Times New Roman"/>
          <w:b w:val="0"/>
          <w:bCs w:val="0"/>
          <w:color w:val="000000"/>
          <w:kern w:val="0"/>
          <w:sz w:val="32"/>
          <w:szCs w:val="32"/>
          <w:lang w:val="en-US" w:eastAsia="zh-CN" w:bidi="ar"/>
        </w:rPr>
        <w:t>（四）2020年违规企业整改落实情况专项监察。</w:t>
      </w:r>
      <w:r>
        <w:rPr>
          <w:rFonts w:hint="default" w:ascii="Times New Roman" w:hAnsi="Times New Roman" w:eastAsia="方正仿宋简体" w:cs="Times New Roman"/>
          <w:b w:val="0"/>
          <w:bCs w:val="0"/>
          <w:color w:val="000000"/>
          <w:kern w:val="0"/>
          <w:sz w:val="32"/>
          <w:szCs w:val="32"/>
          <w:lang w:val="en-US" w:eastAsia="zh-CN" w:bidi="ar"/>
        </w:rPr>
        <w:t>对2020年专项节能监察中发现的能耗超限额企业和其他违反节能法律法规的企业进行“回头看”，对未按照要求整改或整改不到位的，依法依规处理。</w:t>
      </w: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color w:val="000000"/>
          <w:kern w:val="0"/>
          <w:sz w:val="32"/>
          <w:szCs w:val="32"/>
          <w:lang w:val="en-US" w:eastAsia="zh-CN" w:bidi="ar"/>
        </w:rPr>
      </w:pPr>
      <w:r>
        <w:rPr>
          <w:rFonts w:hint="default" w:ascii="Times New Roman" w:hAnsi="Times New Roman" w:eastAsia="方正楷体简体" w:cs="Times New Roman"/>
          <w:b w:val="0"/>
          <w:bCs w:val="0"/>
          <w:color w:val="000000"/>
          <w:kern w:val="0"/>
          <w:sz w:val="32"/>
          <w:szCs w:val="32"/>
          <w:lang w:val="en-US" w:eastAsia="zh-CN" w:bidi="ar"/>
        </w:rPr>
        <w:t>（五）持续做好日常节能监察。</w:t>
      </w:r>
      <w:r>
        <w:rPr>
          <w:rFonts w:hint="default" w:ascii="Times New Roman" w:hAnsi="Times New Roman" w:eastAsia="方正仿宋简体" w:cs="Times New Roman"/>
          <w:b w:val="0"/>
          <w:bCs w:val="0"/>
          <w:color w:val="000000"/>
          <w:kern w:val="0"/>
          <w:sz w:val="32"/>
          <w:szCs w:val="32"/>
          <w:lang w:val="en-US" w:eastAsia="zh-CN" w:bidi="ar"/>
        </w:rPr>
        <w:t>继续加强日常节能监察工作，主要包括：重点用能企业能源管理体系建立、能源管理岗位设立和能源管理负责人履职等能源管理制度落实情况，能源计量、能源消费统计和能源利用状况报告制度执行情况，以及节能教育培训开展情况等。日常节能监察应及时公布结果，跟踪督促整改落实。</w:t>
      </w: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left"/>
        <w:textAlignment w:val="auto"/>
        <w:rPr>
          <w:rFonts w:hint="default" w:ascii="Times New Roman" w:hAnsi="Times New Roman" w:eastAsia="黑体" w:cs="Times New Roman"/>
          <w:b w:val="0"/>
          <w:bCs w:val="0"/>
          <w:color w:val="000000"/>
          <w:kern w:val="0"/>
          <w:sz w:val="32"/>
          <w:szCs w:val="32"/>
          <w:lang w:val="en-US" w:eastAsia="zh-CN" w:bidi="ar"/>
        </w:rPr>
      </w:pPr>
      <w:r>
        <w:rPr>
          <w:rFonts w:hint="default" w:ascii="Times New Roman" w:hAnsi="Times New Roman" w:eastAsia="黑体" w:cs="Times New Roman"/>
          <w:b w:val="0"/>
          <w:bCs w:val="0"/>
          <w:color w:val="000000"/>
          <w:kern w:val="0"/>
          <w:sz w:val="32"/>
          <w:szCs w:val="32"/>
          <w:lang w:val="en-US" w:eastAsia="zh-CN" w:bidi="ar"/>
        </w:rPr>
        <w:t>三、监察工作要求</w:t>
      </w: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left"/>
        <w:textAlignment w:val="auto"/>
        <w:rPr>
          <w:rFonts w:hint="default" w:ascii="Times New Roman" w:hAnsi="Times New Roman" w:eastAsia="方正仿宋简体" w:cs="Times New Roman"/>
          <w:b w:val="0"/>
          <w:bCs w:val="0"/>
          <w:color w:val="000000"/>
          <w:kern w:val="0"/>
          <w:sz w:val="32"/>
          <w:szCs w:val="32"/>
          <w:lang w:val="en-US" w:eastAsia="zh-CN" w:bidi="ar"/>
        </w:rPr>
      </w:pPr>
      <w:r>
        <w:rPr>
          <w:rFonts w:hint="default" w:ascii="Times New Roman" w:hAnsi="Times New Roman" w:eastAsia="方正楷体简体" w:cs="Times New Roman"/>
          <w:b w:val="0"/>
          <w:bCs w:val="0"/>
          <w:color w:val="000000"/>
          <w:kern w:val="0"/>
          <w:sz w:val="32"/>
          <w:szCs w:val="32"/>
          <w:lang w:val="en-US" w:eastAsia="zh-CN" w:bidi="ar"/>
        </w:rPr>
        <w:t>（一）强化责任落实。</w:t>
      </w:r>
      <w:r>
        <w:rPr>
          <w:rFonts w:hint="default" w:ascii="Times New Roman" w:hAnsi="Times New Roman" w:eastAsia="方正仿宋简体" w:cs="Times New Roman"/>
          <w:b w:val="0"/>
          <w:bCs w:val="0"/>
          <w:color w:val="000000"/>
          <w:kern w:val="0"/>
          <w:sz w:val="32"/>
          <w:szCs w:val="32"/>
          <w:lang w:val="en-US" w:eastAsia="zh-CN" w:bidi="ar"/>
        </w:rPr>
        <w:t>我市将对照2020年国家重点工业行业综合督查检查中发现的问题和整改要求，进一步强化主体责任，抓好节能监察任务落实。市能源综合执法支队要按照专项监察工作手册（从工业和信息化部门户网站下载），认真组织开展现场监察，要规范工作程序和执法行为,加大执法检查力度，查处各类违法违规用能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color w:val="FF0000"/>
          <w:sz w:val="32"/>
          <w:szCs w:val="32"/>
        </w:rPr>
      </w:pPr>
      <w:r>
        <w:rPr>
          <w:rFonts w:hint="default" w:ascii="Times New Roman" w:hAnsi="Times New Roman" w:eastAsia="方正楷体简体" w:cs="Times New Roman"/>
          <w:b w:val="0"/>
          <w:bCs w:val="0"/>
          <w:color w:val="000000"/>
          <w:kern w:val="0"/>
          <w:sz w:val="32"/>
          <w:szCs w:val="32"/>
          <w:lang w:val="en-US" w:eastAsia="zh-CN" w:bidi="ar"/>
        </w:rPr>
        <w:t>（二）科学统筹安排。</w:t>
      </w:r>
      <w:r>
        <w:rPr>
          <w:rFonts w:hint="default" w:ascii="Times New Roman" w:hAnsi="Times New Roman" w:eastAsia="方正仿宋简体" w:cs="Times New Roman"/>
          <w:b w:val="0"/>
          <w:bCs w:val="0"/>
          <w:color w:val="000000"/>
          <w:kern w:val="0"/>
          <w:sz w:val="32"/>
          <w:szCs w:val="32"/>
          <w:lang w:val="en-US" w:eastAsia="zh-CN" w:bidi="ar"/>
        </w:rPr>
        <w:t>要制定《国家工业专项节能监察工作计划》，科学安排节能监察工作进度，按时完成各项专项监察任务，及时报送监察结果和年度工作总结。于11月10日前上报节能监察工作总结（包括专项监察、日常监察、节能监察体制机制建设等情况</w:t>
      </w:r>
      <w:r>
        <w:rPr>
          <w:rFonts w:hint="eastAsia" w:ascii="Times New Roman" w:hAnsi="Times New Roman" w:eastAsia="方正仿宋简体" w:cs="Times New Roman"/>
          <w:b w:val="0"/>
          <w:bCs w:val="0"/>
          <w:color w:val="000000"/>
          <w:kern w:val="0"/>
          <w:sz w:val="32"/>
          <w:szCs w:val="32"/>
          <w:lang w:val="en-US" w:eastAsia="zh-CN" w:bidi="ar"/>
        </w:rPr>
        <w:t>）</w:t>
      </w:r>
      <w:r>
        <w:rPr>
          <w:rFonts w:hint="default" w:ascii="Times New Roman" w:hAnsi="Times New Roman" w:eastAsia="方正仿宋简体" w:cs="Times New Roman"/>
          <w:b w:val="0"/>
          <w:bCs w:val="0"/>
          <w:color w:val="000000"/>
          <w:kern w:val="0"/>
          <w:sz w:val="32"/>
          <w:szCs w:val="32"/>
          <w:lang w:val="en-US" w:eastAsia="zh-CN" w:bidi="ar"/>
        </w:rPr>
        <w:t>和国家工业专项节能监察汇总表。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000000"/>
          <w:kern w:val="0"/>
          <w:sz w:val="32"/>
          <w:szCs w:val="32"/>
          <w:lang w:val="en-US" w:eastAsia="zh-CN" w:bidi="ar"/>
        </w:rPr>
      </w:pPr>
      <w:r>
        <w:rPr>
          <w:rFonts w:hint="default" w:ascii="Times New Roman" w:hAnsi="Times New Roman" w:eastAsia="方正楷体简体" w:cs="Times New Roman"/>
          <w:b w:val="0"/>
          <w:bCs w:val="0"/>
          <w:color w:val="000000"/>
          <w:kern w:val="0"/>
          <w:sz w:val="32"/>
          <w:szCs w:val="32"/>
          <w:lang w:val="en-US" w:eastAsia="zh-CN" w:bidi="ar"/>
        </w:rPr>
        <w:t>（三）强化结果运用。</w:t>
      </w:r>
      <w:r>
        <w:rPr>
          <w:rFonts w:hint="default" w:ascii="Times New Roman" w:hAnsi="Times New Roman" w:eastAsia="方正仿宋简体" w:cs="Times New Roman"/>
          <w:b w:val="0"/>
          <w:bCs w:val="0"/>
          <w:color w:val="000000"/>
          <w:kern w:val="0"/>
          <w:sz w:val="32"/>
          <w:szCs w:val="32"/>
          <w:lang w:val="en-US" w:eastAsia="zh-CN" w:bidi="ar"/>
        </w:rPr>
        <w:t>加强节能监察结果的分析应用，对节能监察中发现的企业不合理用能行为、能源管理薄弱环节提出改进建议。鼓励支持企业定期开展节能诊断、能效对标达标，加快实施节能和绿色化改造，提高能效水平。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000000"/>
          <w:kern w:val="0"/>
          <w:sz w:val="32"/>
          <w:szCs w:val="32"/>
          <w:lang w:val="en-US" w:eastAsia="zh-CN" w:bidi="ar"/>
        </w:rPr>
      </w:pPr>
      <w:r>
        <w:rPr>
          <w:rFonts w:hint="default" w:ascii="Times New Roman" w:hAnsi="Times New Roman" w:eastAsia="方正仿宋简体" w:cs="Times New Roman"/>
          <w:b w:val="0"/>
          <w:bCs w:val="0"/>
          <w:color w:val="000000"/>
          <w:kern w:val="0"/>
          <w:sz w:val="32"/>
          <w:szCs w:val="32"/>
          <w:lang w:val="en-US" w:eastAsia="zh-CN" w:bidi="ar"/>
        </w:rPr>
        <w:t>联系人及联系方式：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000000"/>
          <w:kern w:val="0"/>
          <w:sz w:val="32"/>
          <w:szCs w:val="32"/>
          <w:lang w:val="en-US" w:eastAsia="zh-CN" w:bidi="ar"/>
        </w:rPr>
      </w:pPr>
      <w:r>
        <w:rPr>
          <w:rFonts w:hint="default" w:ascii="Times New Roman" w:hAnsi="Times New Roman" w:eastAsia="方正仿宋简体" w:cs="Times New Roman"/>
          <w:b w:val="0"/>
          <w:bCs w:val="0"/>
          <w:color w:val="000000"/>
          <w:kern w:val="0"/>
          <w:sz w:val="32"/>
          <w:szCs w:val="32"/>
          <w:lang w:val="en-US" w:eastAsia="zh-CN" w:bidi="ar"/>
        </w:rPr>
        <w:t xml:space="preserve">市工业和信息化局绿色发展推进科   孔德明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000000"/>
          <w:kern w:val="0"/>
          <w:sz w:val="32"/>
          <w:szCs w:val="32"/>
          <w:lang w:val="en-US" w:eastAsia="zh-CN" w:bidi="ar"/>
        </w:rPr>
      </w:pPr>
      <w:r>
        <w:rPr>
          <w:rFonts w:hint="default" w:ascii="Times New Roman" w:hAnsi="Times New Roman" w:eastAsia="方正仿宋简体" w:cs="Times New Roman"/>
          <w:b w:val="0"/>
          <w:bCs w:val="0"/>
          <w:color w:val="000000"/>
          <w:kern w:val="0"/>
          <w:sz w:val="32"/>
          <w:szCs w:val="32"/>
          <w:lang w:val="en-US" w:eastAsia="zh-CN" w:bidi="ar"/>
        </w:rPr>
        <w:t>电话：2967538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auto"/>
          <w:kern w:val="0"/>
          <w:sz w:val="32"/>
          <w:szCs w:val="32"/>
          <w:lang w:val="en-US" w:eastAsia="zh-CN" w:bidi="ar"/>
        </w:rPr>
      </w:pPr>
      <w:r>
        <w:rPr>
          <w:rFonts w:hint="default" w:ascii="Times New Roman" w:hAnsi="Times New Roman" w:eastAsia="方正仿宋简体" w:cs="Times New Roman"/>
          <w:b w:val="0"/>
          <w:bCs w:val="0"/>
          <w:color w:val="auto"/>
          <w:kern w:val="0"/>
          <w:sz w:val="32"/>
          <w:szCs w:val="32"/>
          <w:lang w:val="en-US" w:eastAsia="zh-CN" w:bidi="ar"/>
        </w:rPr>
        <w:t>市</w:t>
      </w:r>
      <w:r>
        <w:rPr>
          <w:rFonts w:hint="eastAsia" w:ascii="Times New Roman" w:hAnsi="Times New Roman" w:eastAsia="方正仿宋简体" w:cs="Times New Roman"/>
          <w:b w:val="0"/>
          <w:bCs w:val="0"/>
          <w:color w:val="auto"/>
          <w:kern w:val="0"/>
          <w:sz w:val="32"/>
          <w:szCs w:val="32"/>
          <w:lang w:val="en-US" w:eastAsia="zh-CN" w:bidi="ar"/>
        </w:rPr>
        <w:t>能源局能源综合执法支队</w:t>
      </w:r>
      <w:r>
        <w:rPr>
          <w:rFonts w:hint="default" w:ascii="Times New Roman" w:hAnsi="Times New Roman" w:eastAsia="方正仿宋简体" w:cs="Times New Roman"/>
          <w:b w:val="0"/>
          <w:bCs w:val="0"/>
          <w:color w:val="auto"/>
          <w:kern w:val="0"/>
          <w:sz w:val="32"/>
          <w:szCs w:val="32"/>
          <w:lang w:val="en-US" w:eastAsia="zh-CN" w:bidi="ar"/>
        </w:rPr>
        <w:t xml:space="preserve">         </w:t>
      </w:r>
      <w:r>
        <w:rPr>
          <w:rFonts w:hint="eastAsia" w:ascii="Times New Roman" w:hAnsi="Times New Roman" w:eastAsia="方正仿宋简体" w:cs="Times New Roman"/>
          <w:b w:val="0"/>
          <w:bCs w:val="0"/>
          <w:color w:val="auto"/>
          <w:kern w:val="0"/>
          <w:sz w:val="32"/>
          <w:szCs w:val="32"/>
          <w:lang w:val="en-US" w:eastAsia="zh-CN" w:bidi="ar"/>
        </w:rPr>
        <w:t>王婷婷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000000"/>
          <w:kern w:val="0"/>
          <w:sz w:val="32"/>
          <w:szCs w:val="32"/>
          <w:lang w:val="en-US" w:eastAsia="zh-CN" w:bidi="ar"/>
        </w:rPr>
      </w:pPr>
      <w:r>
        <w:rPr>
          <w:rFonts w:hint="default" w:ascii="Times New Roman" w:hAnsi="Times New Roman" w:eastAsia="方正仿宋简体" w:cs="Times New Roman"/>
          <w:b w:val="0"/>
          <w:bCs w:val="0"/>
          <w:color w:val="auto"/>
          <w:kern w:val="0"/>
          <w:sz w:val="32"/>
          <w:szCs w:val="32"/>
          <w:lang w:val="en-US" w:eastAsia="zh-CN" w:bidi="ar"/>
        </w:rPr>
        <w:t>电话：</w:t>
      </w:r>
      <w:r>
        <w:rPr>
          <w:rFonts w:hint="eastAsia" w:ascii="Times New Roman" w:hAnsi="Times New Roman" w:eastAsia="方正仿宋简体" w:cs="Times New Roman"/>
          <w:b w:val="0"/>
          <w:bCs w:val="0"/>
          <w:color w:val="auto"/>
          <w:kern w:val="0"/>
          <w:sz w:val="32"/>
          <w:szCs w:val="32"/>
          <w:lang w:val="en-US" w:eastAsia="zh-CN" w:bidi="ar"/>
        </w:rPr>
        <w:t>3730031</w:t>
      </w:r>
      <w:r>
        <w:rPr>
          <w:rFonts w:hint="default" w:ascii="Times New Roman" w:hAnsi="Times New Roman" w:eastAsia="方正仿宋简体" w:cs="Times New Roman"/>
          <w:b w:val="0"/>
          <w:bCs w:val="0"/>
          <w:color w:val="0000FF"/>
          <w:kern w:val="0"/>
          <w:sz w:val="32"/>
          <w:szCs w:val="32"/>
          <w:lang w:val="en-US" w:eastAsia="zh-CN" w:bidi="ar"/>
        </w:rPr>
        <w:t xml:space="preserve">  </w:t>
      </w:r>
      <w:r>
        <w:rPr>
          <w:rFonts w:hint="default" w:ascii="Times New Roman" w:hAnsi="Times New Roman" w:eastAsia="方正仿宋简体" w:cs="Times New Roman"/>
          <w:b w:val="0"/>
          <w:bCs w:val="0"/>
          <w:color w:val="000000"/>
          <w:kern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000000"/>
          <w:kern w:val="0"/>
          <w:sz w:val="32"/>
          <w:szCs w:val="32"/>
          <w:lang w:val="en-US" w:eastAsia="zh-CN" w:bidi="ar"/>
        </w:rPr>
      </w:pPr>
      <w:r>
        <w:rPr>
          <w:rFonts w:hint="default" w:ascii="Times New Roman" w:hAnsi="Times New Roman" w:eastAsia="方正仿宋简体" w:cs="Times New Roman"/>
          <w:b w:val="0"/>
          <w:bCs w:val="0"/>
          <w:color w:val="000000"/>
          <w:kern w:val="0"/>
          <w:sz w:val="32"/>
          <w:szCs w:val="32"/>
          <w:lang w:val="en-US" w:eastAsia="zh-CN" w:bidi="ar"/>
        </w:rPr>
        <w:t>附件：1.国家工业专项节能监察企业名单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方正仿宋简体" w:cs="Times New Roman"/>
          <w:b w:val="0"/>
          <w:bCs w:val="0"/>
          <w:color w:val="000000"/>
          <w:kern w:val="0"/>
          <w:sz w:val="32"/>
          <w:szCs w:val="32"/>
          <w:lang w:val="en-US" w:eastAsia="zh-CN" w:bidi="ar"/>
        </w:rPr>
      </w:pPr>
      <w:r>
        <w:rPr>
          <w:rFonts w:hint="default" w:ascii="Times New Roman" w:hAnsi="Times New Roman" w:eastAsia="方正仿宋简体" w:cs="Times New Roman"/>
          <w:b w:val="0"/>
          <w:bCs w:val="0"/>
          <w:color w:val="000000"/>
          <w:kern w:val="0"/>
          <w:sz w:val="32"/>
          <w:szCs w:val="32"/>
          <w:lang w:val="en-US" w:eastAsia="zh-CN" w:bidi="ar"/>
        </w:rPr>
        <w:t>2.国家工业专项节能监察汇总表</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jc w:val="left"/>
        <w:textAlignment w:val="auto"/>
        <w:rPr>
          <w:rFonts w:hint="default" w:ascii="Times New Roman" w:hAnsi="Times New Roman" w:cs="Times New Roman"/>
          <w:b w:val="0"/>
          <w:bCs w:val="0"/>
          <w:lang w:val="en-US" w:eastAsia="zh-CN"/>
        </w:rPr>
      </w:pPr>
    </w:p>
    <w:p>
      <w:pPr>
        <w:pStyle w:val="3"/>
        <w:rPr>
          <w:rFonts w:hint="default"/>
          <w:lang w:val="en-US" w:eastAsia="zh-CN"/>
        </w:rPr>
      </w:pPr>
    </w:p>
    <w:p>
      <w:pPr>
        <w:keepNext w:val="0"/>
        <w:keepLines w:val="0"/>
        <w:pageBreakBefore w:val="0"/>
        <w:kinsoku/>
        <w:wordWrap/>
        <w:overflowPunct/>
        <w:topLinePunct w:val="0"/>
        <w:bidi w:val="0"/>
        <w:adjustRightInd/>
        <w:snapToGrid/>
        <w:spacing w:line="600" w:lineRule="exact"/>
        <w:ind w:firstLine="1280" w:firstLineChars="400"/>
        <w:jc w:val="lef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kinsoku/>
        <w:wordWrap/>
        <w:overflowPunct/>
        <w:topLinePunct w:val="0"/>
        <w:bidi w:val="0"/>
        <w:adjustRightInd/>
        <w:snapToGrid/>
        <w:spacing w:line="600" w:lineRule="exact"/>
        <w:ind w:firstLine="1280" w:firstLineChars="400"/>
        <w:jc w:val="left"/>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lang w:val="en-US" w:eastAsia="zh-CN"/>
        </w:rPr>
        <w:t>济宁市</w:t>
      </w:r>
      <w:r>
        <w:rPr>
          <w:rFonts w:hint="default" w:ascii="Times New Roman" w:hAnsi="Times New Roman" w:eastAsia="方正仿宋简体" w:cs="Times New Roman"/>
          <w:b w:val="0"/>
          <w:bCs w:val="0"/>
          <w:sz w:val="32"/>
          <w:szCs w:val="32"/>
        </w:rPr>
        <w:t>工业和信息化</w:t>
      </w:r>
      <w:r>
        <w:rPr>
          <w:rFonts w:hint="default" w:ascii="Times New Roman" w:hAnsi="Times New Roman" w:eastAsia="方正仿宋简体" w:cs="Times New Roman"/>
          <w:b w:val="0"/>
          <w:bCs w:val="0"/>
          <w:sz w:val="32"/>
          <w:szCs w:val="32"/>
          <w:lang w:val="en-US" w:eastAsia="zh-CN"/>
        </w:rPr>
        <w:t>局</w:t>
      </w:r>
      <w:r>
        <w:rPr>
          <w:rFonts w:hint="default" w:ascii="Times New Roman" w:hAnsi="Times New Roman" w:eastAsia="方正仿宋简体" w:cs="Times New Roman"/>
          <w:b w:val="0"/>
          <w:bCs w:val="0"/>
          <w:sz w:val="32"/>
          <w:szCs w:val="32"/>
        </w:rPr>
        <w:t xml:space="preserve">         </w:t>
      </w:r>
      <w:r>
        <w:rPr>
          <w:rFonts w:hint="default" w:ascii="Times New Roman" w:hAnsi="Times New Roman" w:eastAsia="方正仿宋简体" w:cs="Times New Roman"/>
          <w:b w:val="0"/>
          <w:bCs w:val="0"/>
          <w:sz w:val="32"/>
          <w:szCs w:val="32"/>
          <w:lang w:val="en-US" w:eastAsia="zh-CN"/>
        </w:rPr>
        <w:t>济宁市</w:t>
      </w:r>
      <w:r>
        <w:rPr>
          <w:rFonts w:hint="default" w:ascii="Times New Roman" w:hAnsi="Times New Roman" w:eastAsia="方正仿宋简体" w:cs="Times New Roman"/>
          <w:b w:val="0"/>
          <w:bCs w:val="0"/>
          <w:sz w:val="32"/>
          <w:szCs w:val="32"/>
        </w:rPr>
        <w:t>能源局</w:t>
      </w:r>
    </w:p>
    <w:p>
      <w:pPr>
        <w:keepNext w:val="0"/>
        <w:keepLines w:val="0"/>
        <w:pageBreakBefore w:val="0"/>
        <w:kinsoku/>
        <w:wordWrap/>
        <w:overflowPunct/>
        <w:topLinePunct w:val="0"/>
        <w:bidi w:val="0"/>
        <w:adjustRightInd/>
        <w:snapToGrid/>
        <w:spacing w:line="600" w:lineRule="exact"/>
        <w:jc w:val="left"/>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 xml:space="preserve">         </w:t>
      </w:r>
      <w:r>
        <w:rPr>
          <w:rFonts w:hint="default"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b w:val="0"/>
          <w:bCs w:val="0"/>
          <w:sz w:val="32"/>
          <w:szCs w:val="32"/>
        </w:rPr>
        <w:t xml:space="preserve">                          202</w:t>
      </w:r>
      <w:r>
        <w:rPr>
          <w:rFonts w:hint="default"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年</w:t>
      </w:r>
      <w:r>
        <w:rPr>
          <w:rFonts w:hint="default" w:ascii="Times New Roman" w:hAnsi="Times New Roman" w:eastAsia="方正仿宋简体" w:cs="Times New Roman"/>
          <w:b w:val="0"/>
          <w:bCs w:val="0"/>
          <w:sz w:val="32"/>
          <w:szCs w:val="32"/>
          <w:lang w:val="en-US" w:eastAsia="zh-CN"/>
        </w:rPr>
        <w:t>9</w:t>
      </w:r>
      <w:r>
        <w:rPr>
          <w:rFonts w:hint="default" w:ascii="Times New Roman" w:hAnsi="Times New Roman" w:eastAsia="方正仿宋简体" w:cs="Times New Roman"/>
          <w:b w:val="0"/>
          <w:bCs w:val="0"/>
          <w:sz w:val="32"/>
          <w:szCs w:val="32"/>
        </w:rPr>
        <w:t>月</w:t>
      </w:r>
      <w:r>
        <w:rPr>
          <w:rFonts w:hint="eastAsia" w:ascii="Times New Roman" w:hAnsi="Times New Roman" w:eastAsia="方正仿宋简体" w:cs="Times New Roman"/>
          <w:b w:val="0"/>
          <w:bCs w:val="0"/>
          <w:sz w:val="32"/>
          <w:szCs w:val="32"/>
          <w:lang w:val="en-US" w:eastAsia="zh-CN"/>
        </w:rPr>
        <w:t>9</w:t>
      </w:r>
      <w:r>
        <w:rPr>
          <w:rFonts w:hint="default" w:ascii="Times New Roman" w:hAnsi="Times New Roman" w:eastAsia="方正仿宋简体" w:cs="Times New Roman"/>
          <w:b w:val="0"/>
          <w:bCs w:val="0"/>
          <w:sz w:val="32"/>
          <w:szCs w:val="32"/>
        </w:rPr>
        <w:t>日</w:t>
      </w:r>
    </w:p>
    <w:p>
      <w:pPr>
        <w:rPr>
          <w:rFonts w:hint="eastAsia" w:ascii="仿宋_GB2312" w:hAnsi="宋体" w:eastAsia="仿宋_GB2312"/>
          <w:sz w:val="32"/>
          <w:szCs w:val="32"/>
        </w:rPr>
      </w:pPr>
      <w:r>
        <w:rPr>
          <w:rFonts w:hint="eastAsia" w:ascii="仿宋_GB2312" w:hAnsi="宋体" w:eastAsia="仿宋_GB2312"/>
          <w:sz w:val="32"/>
          <w:szCs w:val="32"/>
        </w:rPr>
        <w:br w:type="page"/>
      </w:r>
    </w:p>
    <w:p>
      <w:pPr>
        <w:snapToGrid w:val="0"/>
        <w:spacing w:line="360" w:lineRule="auto"/>
        <w:jc w:val="left"/>
        <w:rPr>
          <w:rFonts w:hint="eastAsia" w:ascii="黑体" w:hAnsi="黑体" w:eastAsia="黑体" w:cs="黑体"/>
          <w:b w:val="0"/>
          <w:bCs w:val="0"/>
          <w:sz w:val="30"/>
          <w:szCs w:val="30"/>
          <w:u w:val="none"/>
          <w:lang w:val="en-US" w:eastAsia="zh-CN"/>
        </w:rPr>
      </w:pPr>
      <w:r>
        <w:rPr>
          <w:rFonts w:hint="eastAsia" w:ascii="黑体" w:hAnsi="黑体" w:eastAsia="黑体" w:cs="黑体"/>
          <w:b w:val="0"/>
          <w:bCs w:val="0"/>
          <w:sz w:val="30"/>
          <w:szCs w:val="30"/>
          <w:u w:val="none"/>
          <w:lang w:eastAsia="zh-CN"/>
        </w:rPr>
        <w:t>附件</w:t>
      </w:r>
      <w:r>
        <w:rPr>
          <w:rFonts w:hint="eastAsia" w:ascii="黑体" w:hAnsi="黑体" w:eastAsia="黑体" w:cs="黑体"/>
          <w:b w:val="0"/>
          <w:bCs w:val="0"/>
          <w:sz w:val="30"/>
          <w:szCs w:val="30"/>
          <w:u w:val="none"/>
          <w:lang w:val="en-US" w:eastAsia="zh-CN"/>
        </w:rPr>
        <w:t>1</w:t>
      </w:r>
    </w:p>
    <w:p>
      <w:pPr>
        <w:snapToGrid w:val="0"/>
        <w:spacing w:line="360" w:lineRule="auto"/>
        <w:jc w:val="center"/>
        <w:rPr>
          <w:rFonts w:hint="eastAsia" w:ascii="Times New Roman" w:hAnsi="Times New Roman" w:eastAsia="仿宋_GB2312"/>
          <w:sz w:val="44"/>
          <w:szCs w:val="44"/>
        </w:rPr>
      </w:pPr>
      <w:r>
        <w:rPr>
          <w:rFonts w:hint="eastAsia" w:ascii="宋体" w:hAnsi="宋体" w:eastAsia="宋体" w:cs="宋体"/>
          <w:b/>
          <w:bCs/>
          <w:sz w:val="44"/>
          <w:szCs w:val="44"/>
        </w:rPr>
        <w:t>国家工业专项节能监察企业名单</w:t>
      </w:r>
    </w:p>
    <w:tbl>
      <w:tblPr>
        <w:tblStyle w:val="6"/>
        <w:tblW w:w="8970" w:type="dxa"/>
        <w:jc w:val="center"/>
        <w:tblLayout w:type="fixed"/>
        <w:tblCellMar>
          <w:top w:w="15" w:type="dxa"/>
          <w:left w:w="15" w:type="dxa"/>
          <w:bottom w:w="15" w:type="dxa"/>
          <w:right w:w="15" w:type="dxa"/>
        </w:tblCellMar>
      </w:tblPr>
      <w:tblGrid>
        <w:gridCol w:w="605"/>
        <w:gridCol w:w="2674"/>
        <w:gridCol w:w="3372"/>
        <w:gridCol w:w="1260"/>
        <w:gridCol w:w="1059"/>
      </w:tblGrid>
      <w:tr>
        <w:tblPrEx>
          <w:tblCellMar>
            <w:top w:w="15" w:type="dxa"/>
            <w:left w:w="15" w:type="dxa"/>
            <w:bottom w:w="15" w:type="dxa"/>
            <w:right w:w="15" w:type="dxa"/>
          </w:tblCellMar>
        </w:tblPrEx>
        <w:trPr>
          <w:trHeight w:val="930" w:hRule="atLeast"/>
          <w:jc w:val="center"/>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序号</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专项监察类别</w:t>
            </w:r>
          </w:p>
        </w:tc>
        <w:tc>
          <w:tcPr>
            <w:tcW w:w="3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企业名称</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行业</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（产品）</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eastAsia="zh-CN"/>
              </w:rPr>
              <w:t>地区</w:t>
            </w:r>
          </w:p>
        </w:tc>
      </w:tr>
      <w:tr>
        <w:tblPrEx>
          <w:tblCellMar>
            <w:top w:w="15" w:type="dxa"/>
            <w:left w:w="15" w:type="dxa"/>
            <w:bottom w:w="15" w:type="dxa"/>
            <w:right w:w="15" w:type="dxa"/>
          </w:tblCellMar>
        </w:tblPrEx>
        <w:trPr>
          <w:trHeight w:val="455" w:hRule="atLeast"/>
          <w:jc w:val="center"/>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color w:val="000000"/>
                <w:kern w:val="0"/>
                <w:sz w:val="24"/>
                <w:szCs w:val="24"/>
                <w:u w:val="none"/>
                <w:lang w:val="en-US" w:eastAsia="zh-CN" w:bidi="ar"/>
              </w:rPr>
              <w:t>1</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重点行业能耗专项监察</w:t>
            </w:r>
          </w:p>
        </w:tc>
        <w:tc>
          <w:tcPr>
            <w:tcW w:w="3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bidi="ar"/>
              </w:rPr>
              <w:t>齐鲁特钢有限公司</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rPr>
              <w:t>钢铁</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济宁</w:t>
            </w:r>
          </w:p>
        </w:tc>
      </w:tr>
      <w:tr>
        <w:tblPrEx>
          <w:tblCellMar>
            <w:top w:w="15" w:type="dxa"/>
            <w:left w:w="15" w:type="dxa"/>
            <w:bottom w:w="15" w:type="dxa"/>
            <w:right w:w="15" w:type="dxa"/>
          </w:tblCellMar>
        </w:tblPrEx>
        <w:trPr>
          <w:trHeight w:val="455" w:hRule="atLeast"/>
          <w:jc w:val="center"/>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color w:val="000000"/>
                <w:kern w:val="0"/>
                <w:sz w:val="24"/>
                <w:szCs w:val="24"/>
                <w:u w:val="none"/>
                <w:lang w:val="en-US" w:eastAsia="zh-CN" w:bidi="ar"/>
              </w:rPr>
              <w:t>2</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重点行业能耗专项监察</w:t>
            </w:r>
          </w:p>
        </w:tc>
        <w:tc>
          <w:tcPr>
            <w:tcW w:w="3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rPr>
              <w:t>曲阜中联水泥有限公司</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水泥</w:t>
            </w:r>
          </w:p>
          <w:p>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eastAsia="zh-CN"/>
              </w:rPr>
              <w:t>熟料生产</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eastAsia="zh-CN"/>
              </w:rPr>
              <w:t>济宁</w:t>
            </w:r>
          </w:p>
        </w:tc>
      </w:tr>
      <w:tr>
        <w:tblPrEx>
          <w:tblCellMar>
            <w:top w:w="15" w:type="dxa"/>
            <w:left w:w="15" w:type="dxa"/>
            <w:bottom w:w="15" w:type="dxa"/>
            <w:right w:w="15" w:type="dxa"/>
          </w:tblCellMar>
        </w:tblPrEx>
        <w:trPr>
          <w:trHeight w:val="455" w:hRule="atLeast"/>
          <w:jc w:val="center"/>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color w:val="000000"/>
                <w:kern w:val="0"/>
                <w:sz w:val="24"/>
                <w:szCs w:val="24"/>
                <w:u w:val="none"/>
                <w:lang w:val="en-US" w:eastAsia="zh-CN" w:bidi="ar"/>
              </w:rPr>
              <w:t>3</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重点行业能耗专项监察</w:t>
            </w:r>
          </w:p>
        </w:tc>
        <w:tc>
          <w:tcPr>
            <w:tcW w:w="3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rPr>
              <w:t>济宁海螺水泥有限责任公司</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水泥</w:t>
            </w:r>
          </w:p>
          <w:p>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eastAsia="zh-CN"/>
              </w:rPr>
              <w:t>熟料生产</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eastAsia="zh-CN"/>
              </w:rPr>
              <w:t>济宁</w:t>
            </w:r>
          </w:p>
        </w:tc>
      </w:tr>
      <w:tr>
        <w:tblPrEx>
          <w:tblCellMar>
            <w:top w:w="15" w:type="dxa"/>
            <w:left w:w="15" w:type="dxa"/>
            <w:bottom w:w="15" w:type="dxa"/>
            <w:right w:w="15" w:type="dxa"/>
          </w:tblCellMar>
        </w:tblPrEx>
        <w:trPr>
          <w:trHeight w:val="485" w:hRule="atLeast"/>
          <w:jc w:val="center"/>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color w:val="000000"/>
                <w:kern w:val="0"/>
                <w:sz w:val="24"/>
                <w:szCs w:val="24"/>
                <w:u w:val="none"/>
                <w:lang w:val="en-US" w:eastAsia="zh-CN" w:bidi="ar"/>
              </w:rPr>
              <w:t>4</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重点行业能耗专项监察</w:t>
            </w:r>
          </w:p>
        </w:tc>
        <w:tc>
          <w:tcPr>
            <w:tcW w:w="3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rPr>
              <w:t>济宁中联水泥有限公司</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水泥</w:t>
            </w:r>
          </w:p>
          <w:p>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eastAsia="zh-CN"/>
              </w:rPr>
              <w:t>熟料生产</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eastAsia="zh-CN"/>
              </w:rPr>
              <w:t>济宁</w:t>
            </w:r>
          </w:p>
        </w:tc>
      </w:tr>
      <w:tr>
        <w:tblPrEx>
          <w:tblCellMar>
            <w:top w:w="15" w:type="dxa"/>
            <w:left w:w="15" w:type="dxa"/>
            <w:bottom w:w="15" w:type="dxa"/>
            <w:right w:w="15" w:type="dxa"/>
          </w:tblCellMar>
        </w:tblPrEx>
        <w:trPr>
          <w:trHeight w:val="540" w:hRule="atLeast"/>
          <w:jc w:val="center"/>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color w:val="000000"/>
                <w:kern w:val="0"/>
                <w:sz w:val="24"/>
                <w:szCs w:val="24"/>
                <w:u w:val="none"/>
                <w:lang w:val="en-US" w:eastAsia="zh-CN" w:bidi="ar"/>
              </w:rPr>
              <w:t>5</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重点行业能耗专项监察</w:t>
            </w:r>
          </w:p>
        </w:tc>
        <w:tc>
          <w:tcPr>
            <w:tcW w:w="3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rPr>
              <w:t>曲阜中联工程材料分公司（特种水泥）</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水泥</w:t>
            </w:r>
          </w:p>
          <w:p>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eastAsia="zh-CN"/>
              </w:rPr>
              <w:t>熟料生产</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eastAsia="zh-CN"/>
              </w:rPr>
              <w:t>济宁</w:t>
            </w:r>
          </w:p>
        </w:tc>
      </w:tr>
      <w:tr>
        <w:tblPrEx>
          <w:tblCellMar>
            <w:top w:w="15" w:type="dxa"/>
            <w:left w:w="15" w:type="dxa"/>
            <w:bottom w:w="15" w:type="dxa"/>
            <w:right w:w="15" w:type="dxa"/>
          </w:tblCellMar>
        </w:tblPrEx>
        <w:trPr>
          <w:trHeight w:val="540" w:hRule="atLeast"/>
          <w:jc w:val="center"/>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color w:val="000000"/>
                <w:kern w:val="0"/>
                <w:sz w:val="24"/>
                <w:szCs w:val="24"/>
                <w:u w:val="none"/>
                <w:lang w:val="en-US" w:eastAsia="zh-CN" w:bidi="ar"/>
              </w:rPr>
              <w:t>6</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重点行业能耗专项监察</w:t>
            </w:r>
          </w:p>
        </w:tc>
        <w:tc>
          <w:tcPr>
            <w:tcW w:w="3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rPr>
              <w:t>济宁山水水泥有限公司</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水泥</w:t>
            </w:r>
          </w:p>
          <w:p>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eastAsia="zh-CN"/>
              </w:rPr>
              <w:t>熟料生产</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eastAsia="zh-CN"/>
              </w:rPr>
              <w:t>济宁</w:t>
            </w:r>
          </w:p>
        </w:tc>
      </w:tr>
      <w:tr>
        <w:tblPrEx>
          <w:tblCellMar>
            <w:top w:w="15" w:type="dxa"/>
            <w:left w:w="15" w:type="dxa"/>
            <w:bottom w:w="15" w:type="dxa"/>
            <w:right w:w="15" w:type="dxa"/>
          </w:tblCellMar>
        </w:tblPrEx>
        <w:trPr>
          <w:trHeight w:val="540" w:hRule="atLeast"/>
          <w:jc w:val="center"/>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color w:val="000000"/>
                <w:kern w:val="0"/>
                <w:sz w:val="24"/>
                <w:szCs w:val="24"/>
                <w:u w:val="none"/>
                <w:lang w:val="en-US" w:eastAsia="zh-CN" w:bidi="ar"/>
              </w:rPr>
              <w:t>7</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重点行业能耗专项监察</w:t>
            </w:r>
          </w:p>
        </w:tc>
        <w:tc>
          <w:tcPr>
            <w:tcW w:w="3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rPr>
              <w:t>微山山水水泥有限公司</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水泥</w:t>
            </w:r>
          </w:p>
          <w:p>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eastAsia="zh-CN"/>
              </w:rPr>
              <w:t>熟料生产</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eastAsia="zh-CN"/>
              </w:rPr>
              <w:t>济宁</w:t>
            </w:r>
          </w:p>
        </w:tc>
      </w:tr>
      <w:tr>
        <w:tblPrEx>
          <w:tblCellMar>
            <w:top w:w="15" w:type="dxa"/>
            <w:left w:w="15" w:type="dxa"/>
            <w:bottom w:w="15" w:type="dxa"/>
            <w:right w:w="15" w:type="dxa"/>
          </w:tblCellMar>
        </w:tblPrEx>
        <w:trPr>
          <w:trHeight w:val="540" w:hRule="atLeast"/>
          <w:jc w:val="center"/>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color w:val="000000"/>
                <w:kern w:val="0"/>
                <w:sz w:val="24"/>
                <w:szCs w:val="24"/>
                <w:u w:val="none"/>
                <w:lang w:val="en-US" w:eastAsia="zh-CN" w:bidi="ar"/>
              </w:rPr>
              <w:t>8</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重点行业能耗专项监察</w:t>
            </w:r>
          </w:p>
        </w:tc>
        <w:tc>
          <w:tcPr>
            <w:tcW w:w="3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rPr>
              <w:t>山东鲁泰环保建材有限公司</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水泥</w:t>
            </w:r>
          </w:p>
          <w:p>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eastAsia="zh-CN"/>
              </w:rPr>
              <w:t>熟料生产</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eastAsia="zh-CN"/>
              </w:rPr>
              <w:t>济宁</w:t>
            </w:r>
          </w:p>
        </w:tc>
      </w:tr>
      <w:tr>
        <w:tblPrEx>
          <w:tblCellMar>
            <w:top w:w="15" w:type="dxa"/>
            <w:left w:w="15" w:type="dxa"/>
            <w:bottom w:w="15" w:type="dxa"/>
            <w:right w:w="15" w:type="dxa"/>
          </w:tblCellMar>
        </w:tblPrEx>
        <w:trPr>
          <w:trHeight w:val="540" w:hRule="atLeast"/>
          <w:jc w:val="center"/>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i w:val="0"/>
                <w:color w:val="000000"/>
                <w:kern w:val="0"/>
                <w:sz w:val="24"/>
                <w:szCs w:val="24"/>
                <w:u w:val="none"/>
                <w:lang w:val="en-US" w:eastAsia="zh-CN" w:bidi="ar"/>
              </w:rPr>
              <w:t>9</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重点行业能耗专项监察</w:t>
            </w:r>
          </w:p>
        </w:tc>
        <w:tc>
          <w:tcPr>
            <w:tcW w:w="3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320" w:lineRule="exact"/>
              <w:ind w:left="0" w:leftChars="0" w:right="0" w:right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en-US" w:eastAsia="zh-CN"/>
              </w:rPr>
              <w:t>山东鲁泰化学有限公司</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320" w:lineRule="exact"/>
              <w:ind w:left="0" w:leftChars="0" w:right="0" w:right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color w:val="000000"/>
                <w:kern w:val="0"/>
                <w:sz w:val="21"/>
                <w:szCs w:val="21"/>
                <w:u w:val="none"/>
                <w:lang w:val="en-US" w:eastAsia="zh-CN" w:bidi="ar"/>
              </w:rPr>
              <w:t>无机碱</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eastAsia="zh-CN"/>
              </w:rPr>
              <w:t>济宁</w:t>
            </w:r>
          </w:p>
        </w:tc>
      </w:tr>
      <w:tr>
        <w:tblPrEx>
          <w:tblCellMar>
            <w:top w:w="15" w:type="dxa"/>
            <w:left w:w="15" w:type="dxa"/>
            <w:bottom w:w="15" w:type="dxa"/>
            <w:right w:w="15" w:type="dxa"/>
          </w:tblCellMar>
        </w:tblPrEx>
        <w:trPr>
          <w:trHeight w:val="540" w:hRule="atLeast"/>
          <w:jc w:val="center"/>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i w:val="0"/>
                <w:color w:val="000000"/>
                <w:kern w:val="0"/>
                <w:sz w:val="24"/>
                <w:szCs w:val="24"/>
                <w:u w:val="none"/>
                <w:lang w:val="en-US" w:eastAsia="zh-CN" w:bidi="ar"/>
              </w:rPr>
              <w:t>10</w:t>
            </w:r>
          </w:p>
        </w:tc>
        <w:tc>
          <w:tcPr>
            <w:tcW w:w="2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重点行业能耗专项监察</w:t>
            </w:r>
          </w:p>
        </w:tc>
        <w:tc>
          <w:tcPr>
            <w:tcW w:w="3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320" w:lineRule="exact"/>
              <w:ind w:left="0" w:leftChars="0" w:right="0" w:right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en-US" w:eastAsia="zh-CN"/>
              </w:rPr>
              <w:t>济宁中银电化有限公司</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beforeAutospacing="0" w:afterAutospacing="0" w:line="320" w:lineRule="exact"/>
              <w:ind w:left="0" w:leftChars="0" w:right="0" w:right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color w:val="000000"/>
                <w:kern w:val="0"/>
                <w:sz w:val="21"/>
                <w:szCs w:val="21"/>
                <w:u w:val="none"/>
                <w:lang w:val="en-US" w:eastAsia="zh-CN" w:bidi="ar"/>
              </w:rPr>
              <w:t>无机碱</w:t>
            </w:r>
          </w:p>
        </w:tc>
        <w:tc>
          <w:tcPr>
            <w:tcW w:w="1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eastAsia="zh-CN"/>
              </w:rPr>
              <w:t>济宁</w:t>
            </w:r>
          </w:p>
        </w:tc>
      </w:tr>
    </w:tbl>
    <w:p>
      <w:pPr>
        <w:rPr>
          <w:rFonts w:hint="eastAsia"/>
        </w:rPr>
        <w:sectPr>
          <w:pgSz w:w="11850" w:h="16838"/>
          <w:pgMar w:top="1440" w:right="1800" w:bottom="1440" w:left="1800" w:header="851" w:footer="992" w:gutter="0"/>
          <w:cols w:space="425" w:num="1"/>
          <w:docGrid w:type="lines" w:linePitch="312" w:charSpace="0"/>
        </w:sectPr>
      </w:pPr>
      <w:r>
        <w:rPr>
          <w:rFonts w:hint="eastAsia"/>
        </w:rPr>
        <w:br w:type="page"/>
      </w:r>
    </w:p>
    <w:tbl>
      <w:tblPr>
        <w:tblStyle w:val="6"/>
        <w:tblpPr w:leftFromText="180" w:rightFromText="180" w:vertAnchor="text" w:horzAnchor="page" w:tblpX="1382" w:tblpY="-29"/>
        <w:tblOverlap w:val="never"/>
        <w:tblW w:w="13962" w:type="dxa"/>
        <w:tblInd w:w="0" w:type="dxa"/>
        <w:tblLayout w:type="fixed"/>
        <w:tblCellMar>
          <w:top w:w="0" w:type="dxa"/>
          <w:left w:w="0" w:type="dxa"/>
          <w:bottom w:w="0" w:type="dxa"/>
          <w:right w:w="0" w:type="dxa"/>
        </w:tblCellMar>
      </w:tblPr>
      <w:tblGrid>
        <w:gridCol w:w="608"/>
        <w:gridCol w:w="716"/>
        <w:gridCol w:w="1445"/>
        <w:gridCol w:w="1391"/>
        <w:gridCol w:w="797"/>
        <w:gridCol w:w="1296"/>
        <w:gridCol w:w="1080"/>
        <w:gridCol w:w="972"/>
        <w:gridCol w:w="1296"/>
        <w:gridCol w:w="1271"/>
        <w:gridCol w:w="1032"/>
        <w:gridCol w:w="1380"/>
        <w:gridCol w:w="678"/>
      </w:tblGrid>
      <w:tr>
        <w:tblPrEx>
          <w:tblCellMar>
            <w:top w:w="0" w:type="dxa"/>
            <w:left w:w="0" w:type="dxa"/>
            <w:bottom w:w="0" w:type="dxa"/>
            <w:right w:w="0" w:type="dxa"/>
          </w:tblCellMar>
        </w:tblPrEx>
        <w:trPr>
          <w:trHeight w:val="408" w:hRule="atLeast"/>
        </w:trPr>
        <w:tc>
          <w:tcPr>
            <w:tcW w:w="13962" w:type="dxa"/>
            <w:gridSpan w:val="13"/>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b/>
                <w:i w:val="0"/>
                <w:color w:val="000000"/>
                <w:sz w:val="32"/>
                <w:szCs w:val="32"/>
                <w:u w:val="none"/>
                <w:lang w:val="en-US"/>
              </w:rPr>
            </w:pPr>
            <w:r>
              <w:rPr>
                <w:rFonts w:hint="eastAsia" w:ascii="黑体" w:hAnsi="黑体" w:eastAsia="黑体" w:cs="黑体"/>
                <w:b w:val="0"/>
                <w:bCs/>
                <w:i w:val="0"/>
                <w:color w:val="000000"/>
                <w:kern w:val="0"/>
                <w:sz w:val="32"/>
                <w:szCs w:val="32"/>
                <w:u w:val="none"/>
                <w:lang w:val="en-US" w:eastAsia="zh-CN" w:bidi="ar"/>
              </w:rPr>
              <w:t>附件2</w:t>
            </w:r>
          </w:p>
        </w:tc>
      </w:tr>
      <w:tr>
        <w:tblPrEx>
          <w:tblCellMar>
            <w:top w:w="0" w:type="dxa"/>
            <w:left w:w="0" w:type="dxa"/>
            <w:bottom w:w="0" w:type="dxa"/>
            <w:right w:w="0" w:type="dxa"/>
          </w:tblCellMar>
        </w:tblPrEx>
        <w:trPr>
          <w:trHeight w:val="612" w:hRule="atLeast"/>
        </w:trPr>
        <w:tc>
          <w:tcPr>
            <w:tcW w:w="13962" w:type="dxa"/>
            <w:gridSpan w:val="13"/>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8"/>
                <w:szCs w:val="48"/>
                <w:u w:val="none"/>
              </w:rPr>
            </w:pPr>
            <w:r>
              <w:rPr>
                <w:rFonts w:hint="eastAsia" w:ascii="宋体" w:hAnsi="宋体" w:eastAsia="宋体" w:cs="宋体"/>
                <w:b/>
                <w:bCs w:val="0"/>
                <w:i w:val="0"/>
                <w:color w:val="000000"/>
                <w:kern w:val="0"/>
                <w:sz w:val="44"/>
                <w:szCs w:val="44"/>
                <w:u w:val="none"/>
                <w:lang w:val="en-US" w:eastAsia="zh-CN" w:bidi="ar"/>
              </w:rPr>
              <w:t>国家工业专项节能监察汇总表</w:t>
            </w:r>
          </w:p>
        </w:tc>
      </w:tr>
      <w:tr>
        <w:tblPrEx>
          <w:tblCellMar>
            <w:top w:w="0" w:type="dxa"/>
            <w:left w:w="0" w:type="dxa"/>
            <w:bottom w:w="0" w:type="dxa"/>
            <w:right w:w="0" w:type="dxa"/>
          </w:tblCellMar>
        </w:tblPrEx>
        <w:trPr>
          <w:trHeight w:val="612" w:hRule="atLeast"/>
        </w:trPr>
        <w:tc>
          <w:tcPr>
            <w:tcW w:w="13962" w:type="dxa"/>
            <w:gridSpan w:val="13"/>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b/>
                <w:bCs w:val="0"/>
                <w:i w:val="0"/>
                <w:color w:val="000000"/>
                <w:kern w:val="0"/>
                <w:sz w:val="28"/>
                <w:szCs w:val="28"/>
                <w:u w:val="none"/>
                <w:lang w:val="en-US" w:eastAsia="zh-CN" w:bidi="ar"/>
              </w:rPr>
            </w:pPr>
            <w:r>
              <w:rPr>
                <w:rFonts w:hint="eastAsia" w:ascii="宋体" w:hAnsi="宋体" w:eastAsia="宋体" w:cs="宋体"/>
                <w:b w:val="0"/>
                <w:bCs/>
                <w:i w:val="0"/>
                <w:color w:val="000000"/>
                <w:kern w:val="0"/>
                <w:sz w:val="28"/>
                <w:szCs w:val="28"/>
                <w:u w:val="none"/>
                <w:lang w:val="en-US" w:eastAsia="zh-CN" w:bidi="ar"/>
              </w:rPr>
              <w:t>填报单位：                                                                    年  月  日</w:t>
            </w:r>
          </w:p>
        </w:tc>
      </w:tr>
      <w:tr>
        <w:tblPrEx>
          <w:tblCellMar>
            <w:top w:w="0" w:type="dxa"/>
            <w:left w:w="0" w:type="dxa"/>
            <w:bottom w:w="0" w:type="dxa"/>
            <w:right w:w="0" w:type="dxa"/>
          </w:tblCellMar>
        </w:tblPrEx>
        <w:trPr>
          <w:trHeight w:val="864" w:hRule="atLeast"/>
        </w:trPr>
        <w:tc>
          <w:tcPr>
            <w:tcW w:w="6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7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地区</w:t>
            </w:r>
          </w:p>
        </w:tc>
        <w:tc>
          <w:tcPr>
            <w:tcW w:w="14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企业名称</w:t>
            </w:r>
          </w:p>
        </w:tc>
        <w:tc>
          <w:tcPr>
            <w:tcW w:w="13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专项监察类别</w:t>
            </w:r>
          </w:p>
        </w:tc>
        <w:tc>
          <w:tcPr>
            <w:tcW w:w="7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行业/产品</w:t>
            </w: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2020年综合能耗（tce）</w:t>
            </w: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主要产品</w:t>
            </w:r>
          </w:p>
        </w:tc>
        <w:tc>
          <w:tcPr>
            <w:tcW w:w="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产量</w:t>
            </w: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能耗指标名称</w:t>
            </w:r>
          </w:p>
        </w:tc>
        <w:tc>
          <w:tcPr>
            <w:tcW w:w="12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能耗指标值</w:t>
            </w:r>
          </w:p>
        </w:tc>
        <w:tc>
          <w:tcPr>
            <w:tcW w:w="10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是否达标</w:t>
            </w:r>
          </w:p>
        </w:tc>
        <w:tc>
          <w:tcPr>
            <w:tcW w:w="13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监察发现的违法违规行为</w:t>
            </w:r>
          </w:p>
        </w:tc>
        <w:tc>
          <w:tcPr>
            <w:tcW w:w="6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720" w:hRule="atLeast"/>
        </w:trPr>
        <w:tc>
          <w:tcPr>
            <w:tcW w:w="6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4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20" w:hRule="atLeast"/>
        </w:trPr>
        <w:tc>
          <w:tcPr>
            <w:tcW w:w="6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4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20" w:hRule="atLeast"/>
        </w:trPr>
        <w:tc>
          <w:tcPr>
            <w:tcW w:w="6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4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20" w:hRule="atLeast"/>
        </w:trPr>
        <w:tc>
          <w:tcPr>
            <w:tcW w:w="6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4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20" w:hRule="atLeast"/>
        </w:trPr>
        <w:tc>
          <w:tcPr>
            <w:tcW w:w="6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4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20" w:hRule="atLeast"/>
        </w:trPr>
        <w:tc>
          <w:tcPr>
            <w:tcW w:w="6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4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20" w:hRule="atLeast"/>
        </w:trPr>
        <w:tc>
          <w:tcPr>
            <w:tcW w:w="6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4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bl>
    <w:p>
      <w:pPr>
        <w:pStyle w:val="3"/>
        <w:rPr>
          <w:rFonts w:hint="eastAsia"/>
        </w:rPr>
      </w:pPr>
    </w:p>
    <w:p>
      <w:pPr>
        <w:pStyle w:val="3"/>
        <w:rPr>
          <w:rFonts w:hint="default"/>
          <w:lang w:val="en-US" w:eastAsia="zh-CN"/>
        </w:rPr>
      </w:pPr>
    </w:p>
    <w:sectPr>
      <w:pgSz w:w="16838" w:h="11850" w:orient="landscape"/>
      <w:pgMar w:top="1803" w:right="1440" w:bottom="1803" w:left="1440"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简体">
    <w:altName w:val="方正楷体_GBK"/>
    <w:panose1 w:val="03000509000000000000"/>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9"/>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C77710C"/>
    <w:rsid w:val="13FB26BE"/>
    <w:rsid w:val="16BB277C"/>
    <w:rsid w:val="37FC5577"/>
    <w:rsid w:val="3BFEBB96"/>
    <w:rsid w:val="3FEF0A31"/>
    <w:rsid w:val="573C5AE2"/>
    <w:rsid w:val="57F5315A"/>
    <w:rsid w:val="5AE92486"/>
    <w:rsid w:val="5FEFF9D3"/>
    <w:rsid w:val="6B77FAC9"/>
    <w:rsid w:val="6FFBFCEE"/>
    <w:rsid w:val="777BD920"/>
    <w:rsid w:val="7E3D187A"/>
    <w:rsid w:val="7EF8BE6E"/>
    <w:rsid w:val="7F77930B"/>
    <w:rsid w:val="7FFB0411"/>
    <w:rsid w:val="9FB25C46"/>
    <w:rsid w:val="AF9F4976"/>
    <w:rsid w:val="BEADE859"/>
    <w:rsid w:val="BF7E6B97"/>
    <w:rsid w:val="BFFDB6DE"/>
    <w:rsid w:val="BFFF71E9"/>
    <w:rsid w:val="C7D69A83"/>
    <w:rsid w:val="CDA2E406"/>
    <w:rsid w:val="CF1E5D32"/>
    <w:rsid w:val="CF3B9E4D"/>
    <w:rsid w:val="D79FCBFC"/>
    <w:rsid w:val="D7BFD1B5"/>
    <w:rsid w:val="E7C11B47"/>
    <w:rsid w:val="F25646B3"/>
    <w:rsid w:val="F7FB06DE"/>
    <w:rsid w:val="FBEB46C6"/>
    <w:rsid w:val="FC77710C"/>
    <w:rsid w:val="FEABD4FB"/>
    <w:rsid w:val="FFBF2C6C"/>
    <w:rsid w:val="FFDDF9DF"/>
    <w:rsid w:val="FFDF9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ind w:left="120"/>
      <w:jc w:val="left"/>
    </w:pPr>
    <w:rPr>
      <w:rFonts w:ascii="宋体" w:hAnsi="宋体" w:eastAsia="宋体" w:cs="宋体"/>
      <w:kern w:val="0"/>
      <w:sz w:val="32"/>
      <w:szCs w:val="32"/>
      <w:lang w:val="zh-CN" w:bidi="zh-CN"/>
    </w:rPr>
  </w:style>
  <w:style w:type="paragraph" w:styleId="3">
    <w:name w:val="Body Text First Indent 2"/>
    <w:basedOn w:val="4"/>
    <w:qFormat/>
    <w:uiPriority w:val="0"/>
    <w:pPr>
      <w:ind w:firstLine="420" w:firstLineChars="200"/>
    </w:pPr>
  </w:style>
  <w:style w:type="paragraph" w:styleId="4">
    <w:name w:val="Body Text Indent"/>
    <w:basedOn w:val="1"/>
    <w:qFormat/>
    <w:uiPriority w:val="0"/>
    <w:pPr>
      <w:spacing w:after="120"/>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2021-08-16T06:57:00Z</dcterms:created>
  <dc:creator>user</dc:creator>
  <cp:lastModifiedBy>user</cp:lastModifiedBy>
  <dcterms:modified xsi:type="dcterms:W3CDTF">2021-09-09T16:43:00Z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