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0"/>
        <w:jc w:val="center"/>
        <w:textAlignment w:val="auto"/>
        <w:rPr>
          <w:rFonts w:hint="eastAsia" w:ascii="方正小标宋简体" w:hAnsi="方正小标宋简体" w:eastAsia="方正小标宋简体" w:cs="方正小标宋简体"/>
          <w:b/>
          <w:bCs/>
          <w:i w:val="0"/>
          <w:iCs w:val="0"/>
          <w:smallCaps w:val="0"/>
          <w:strike w:val="0"/>
          <w:color w:val="000000"/>
          <w:spacing w:val="0"/>
          <w:w w:val="100"/>
          <w:position w:val="0"/>
          <w:sz w:val="44"/>
          <w:szCs w:val="44"/>
        </w:rPr>
      </w:pPr>
      <w:bookmarkStart w:id="0" w:name="bookmark4"/>
      <w:bookmarkStart w:id="1" w:name="bookmark3"/>
      <w:bookmarkStart w:id="2" w:name="bookmark5"/>
      <w:r>
        <w:rPr>
          <w:rFonts w:hint="eastAsia" w:ascii="方正小标宋简体" w:hAnsi="方正小标宋简体" w:eastAsia="方正小标宋简体" w:cs="方正小标宋简体"/>
          <w:b/>
          <w:bCs/>
          <w:i w:val="0"/>
          <w:iCs w:val="0"/>
          <w:smallCaps w:val="0"/>
          <w:strike w:val="0"/>
          <w:color w:val="000000"/>
          <w:spacing w:val="0"/>
          <w:w w:val="100"/>
          <w:position w:val="0"/>
          <w:sz w:val="44"/>
          <w:szCs w:val="44"/>
        </w:rPr>
        <w:t>关于开展全市</w:t>
      </w:r>
      <w:r>
        <w:rPr>
          <w:rFonts w:hint="eastAsia" w:ascii="方正小标宋简体" w:hAnsi="方正小标宋简体" w:eastAsia="方正小标宋简体" w:cs="方正小标宋简体"/>
          <w:b/>
          <w:bCs/>
          <w:i w:val="0"/>
          <w:iCs w:val="0"/>
          <w:smallCaps w:val="0"/>
          <w:strike w:val="0"/>
          <w:color w:val="000000"/>
          <w:spacing w:val="0"/>
          <w:w w:val="100"/>
          <w:position w:val="0"/>
          <w:sz w:val="44"/>
          <w:szCs w:val="44"/>
        </w:rPr>
        <w:t>2020</w:t>
      </w:r>
      <w:r>
        <w:rPr>
          <w:rFonts w:hint="eastAsia" w:ascii="方正小标宋简体" w:hAnsi="方正小标宋简体" w:eastAsia="方正小标宋简体" w:cs="方正小标宋简体"/>
          <w:b/>
          <w:bCs/>
          <w:i w:val="0"/>
          <w:iCs w:val="0"/>
          <w:smallCaps w:val="0"/>
          <w:strike w:val="0"/>
          <w:color w:val="000000"/>
          <w:spacing w:val="0"/>
          <w:w w:val="100"/>
          <w:position w:val="0"/>
          <w:sz w:val="44"/>
          <w:szCs w:val="44"/>
        </w:rPr>
        <w:t>年铸造产能置换工作的</w:t>
      </w:r>
      <w:r>
        <w:rPr>
          <w:rFonts w:hint="eastAsia" w:ascii="方正小标宋简体" w:hAnsi="方正小标宋简体" w:eastAsia="方正小标宋简体" w:cs="方正小标宋简体"/>
          <w:b/>
          <w:bCs/>
          <w:i w:val="0"/>
          <w:iCs w:val="0"/>
          <w:smallCaps w:val="0"/>
          <w:strike w:val="0"/>
          <w:color w:val="000000"/>
          <w:spacing w:val="0"/>
          <w:w w:val="100"/>
          <w:position w:val="0"/>
          <w:sz w:val="44"/>
          <w:szCs w:val="44"/>
        </w:rPr>
        <w:br w:type="textWrapping"/>
      </w:r>
      <w:r>
        <w:rPr>
          <w:rFonts w:hint="eastAsia" w:ascii="方正小标宋简体" w:hAnsi="方正小标宋简体" w:eastAsia="方正小标宋简体" w:cs="方正小标宋简体"/>
          <w:b/>
          <w:bCs/>
          <w:i w:val="0"/>
          <w:iCs w:val="0"/>
          <w:smallCaps w:val="0"/>
          <w:strike w:val="0"/>
          <w:color w:val="000000"/>
          <w:spacing w:val="0"/>
          <w:w w:val="100"/>
          <w:position w:val="0"/>
          <w:sz w:val="44"/>
          <w:szCs w:val="44"/>
        </w:rPr>
        <w:t>通知</w:t>
      </w:r>
      <w:bookmarkEnd w:id="0"/>
      <w:bookmarkEnd w:id="1"/>
      <w:bookmarkEnd w:id="2"/>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0"/>
        <w:jc w:val="both"/>
        <w:textAlignment w:val="auto"/>
        <w:rPr>
          <w:rFonts w:hint="eastAsia" w:ascii="方正仿宋简体" w:hAnsi="方正仿宋简体" w:eastAsia="方正仿宋简体" w:cs="方正仿宋简体"/>
          <w:b/>
          <w:bCs/>
          <w:i w:val="0"/>
          <w:iCs w:val="0"/>
          <w:smallCaps w:val="0"/>
          <w:strike w:val="0"/>
          <w:color w:val="000000"/>
          <w:spacing w:val="0"/>
          <w:w w:val="100"/>
          <w:position w:val="0"/>
          <w:sz w:val="32"/>
          <w:szCs w:val="32"/>
        </w:rPr>
      </w:pPr>
      <w:bookmarkStart w:id="11" w:name="_GoBack"/>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各县</w:t>
      </w:r>
      <w:r>
        <w:rPr>
          <w:rFonts w:hint="eastAsia" w:ascii="方正仿宋简体" w:hAnsi="方正仿宋简体" w:eastAsia="方正仿宋简体" w:cs="方正仿宋简体"/>
          <w:b/>
          <w:bCs/>
          <w:i w:val="0"/>
          <w:iCs w:val="0"/>
          <w:smallCaps w:val="0"/>
          <w:strike w:val="0"/>
          <w:color w:val="000000"/>
          <w:spacing w:val="0"/>
          <w:w w:val="100"/>
          <w:position w:val="0"/>
          <w:sz w:val="32"/>
          <w:szCs w:val="32"/>
          <w:lang w:val="zh-CN" w:eastAsia="zh-CN"/>
        </w:rPr>
        <w:t>（市、</w:t>
      </w:r>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区）工业和信息化局、发展改革局、生态环境分局，济宁高新区、太白湖新区、济宁经济技术开发区经济发展局、生态环境分局：</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20"/>
        <w:jc w:val="both"/>
        <w:textAlignment w:val="auto"/>
        <w:rPr>
          <w:rFonts w:hint="eastAsia" w:ascii="方正仿宋简体" w:hAnsi="方正仿宋简体" w:eastAsia="方正仿宋简体" w:cs="方正仿宋简体"/>
          <w:b/>
          <w:bCs/>
          <w:i w:val="0"/>
          <w:iCs w:val="0"/>
          <w:smallCaps w:val="0"/>
          <w:strike w:val="0"/>
          <w:color w:val="000000"/>
          <w:spacing w:val="0"/>
          <w:w w:val="100"/>
          <w:position w:val="0"/>
          <w:sz w:val="32"/>
          <w:szCs w:val="32"/>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按照《关于转发〈省工业和信息化厅发展改革委生态环境厅关于重点区域严禁新增铸造产能的通知〉的通知》（济工信字〔2019〕121号）、《关于做好2020年铸造产能置换工作的</w:t>
      </w:r>
      <w:r>
        <w:rPr>
          <w:rFonts w:hint="eastAsia" w:ascii="方正仿宋简体" w:hAnsi="方正仿宋简体" w:eastAsia="方正仿宋简体" w:cs="方正仿宋简体"/>
          <w:b/>
          <w:bCs/>
          <w:i w:val="0"/>
          <w:iCs w:val="0"/>
          <w:smallCaps w:val="0"/>
          <w:strike w:val="0"/>
          <w:color w:val="000000"/>
          <w:spacing w:val="0"/>
          <w:w w:val="100"/>
          <w:position w:val="0"/>
          <w:sz w:val="32"/>
          <w:szCs w:val="32"/>
          <w:lang w:val="zh-CN" w:eastAsia="zh-CN"/>
        </w:rPr>
        <w:t>通知》</w:t>
      </w:r>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（鲁工信装〔</w:t>
      </w:r>
      <w:r>
        <w:rPr>
          <w:rFonts w:hint="eastAsia" w:ascii="方正仿宋简体" w:hAnsi="方正仿宋简体" w:eastAsia="方正仿宋简体" w:cs="方正仿宋简体"/>
          <w:b/>
          <w:bCs/>
          <w:i w:val="0"/>
          <w:iCs w:val="0"/>
          <w:smallCaps w:val="0"/>
          <w:strike w:val="0"/>
          <w:color w:val="000000"/>
          <w:spacing w:val="0"/>
          <w:w w:val="100"/>
          <w:position w:val="0"/>
          <w:sz w:val="32"/>
          <w:szCs w:val="32"/>
          <w:lang w:val="en-US" w:eastAsia="en-US"/>
        </w:rPr>
        <w:t>2020J</w:t>
      </w:r>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166号）等文件要求，为切实做好我市严禁新增铸造产能相关工作，明确铸造产能置换原则及程序，现将有关事项通知如下：</w:t>
      </w:r>
    </w:p>
    <w:p>
      <w:pPr>
        <w:pStyle w:val="5"/>
        <w:keepNext w:val="0"/>
        <w:keepLines w:val="0"/>
        <w:widowControl w:val="0"/>
        <w:shd w:val="clear" w:color="auto" w:fill="auto"/>
        <w:tabs>
          <w:tab w:val="left" w:pos="968"/>
        </w:tabs>
        <w:bidi w:val="0"/>
        <w:spacing w:before="0" w:after="0" w:line="609" w:lineRule="exact"/>
        <w:ind w:left="0" w:right="0" w:firstLine="680"/>
        <w:jc w:val="both"/>
        <w:rPr>
          <w:rFonts w:hint="eastAsia" w:ascii="黑体" w:hAnsi="黑体" w:eastAsia="黑体" w:cs="黑体"/>
          <w:sz w:val="32"/>
          <w:szCs w:val="32"/>
        </w:rPr>
      </w:pPr>
      <w:r>
        <w:rPr>
          <w:rFonts w:hint="eastAsia" w:ascii="黑体" w:hAnsi="黑体" w:eastAsia="黑体" w:cs="黑体"/>
          <w:b/>
          <w:bCs/>
          <w:color w:val="000000"/>
          <w:spacing w:val="0"/>
          <w:w w:val="100"/>
          <w:position w:val="0"/>
          <w:sz w:val="32"/>
          <w:szCs w:val="32"/>
          <w:lang w:eastAsia="zh-CN"/>
        </w:rPr>
        <w:t>一</w:t>
      </w:r>
      <w:r>
        <w:rPr>
          <w:rFonts w:hint="eastAsia" w:ascii="黑体" w:hAnsi="黑体" w:eastAsia="黑体" w:cs="黑体"/>
          <w:b/>
          <w:bCs/>
          <w:color w:val="000000"/>
          <w:spacing w:val="0"/>
          <w:w w:val="100"/>
          <w:position w:val="0"/>
          <w:sz w:val="32"/>
          <w:szCs w:val="32"/>
        </w:rPr>
        <w:t>、铸造产能置换原则</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20"/>
        <w:jc w:val="both"/>
        <w:textAlignment w:val="auto"/>
        <w:rPr>
          <w:rFonts w:hint="eastAsia" w:ascii="方正仿宋简体" w:hAnsi="方正仿宋简体" w:eastAsia="方正仿宋简体" w:cs="方正仿宋简体"/>
          <w:b/>
          <w:bCs/>
          <w:i w:val="0"/>
          <w:iCs w:val="0"/>
          <w:smallCaps w:val="0"/>
          <w:strike w:val="0"/>
          <w:color w:val="000000"/>
          <w:spacing w:val="0"/>
          <w:w w:val="100"/>
          <w:position w:val="0"/>
          <w:sz w:val="32"/>
          <w:szCs w:val="32"/>
        </w:rPr>
      </w:pPr>
      <w:bookmarkStart w:id="3" w:name="bookmark6"/>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w:t>
      </w:r>
      <w:bookmarkEnd w:id="3"/>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一）新建或改造升级的高端铸造建设项目必须严格实施等量或减量置换，用于置换的铸造产能须在经省工业和信息化厅公告或备案的铸造产能清单内。重点区域不得通过置换提高铸造清单总产能。</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20"/>
        <w:jc w:val="both"/>
        <w:textAlignment w:val="auto"/>
        <w:rPr>
          <w:rFonts w:hint="eastAsia" w:ascii="方正仿宋简体" w:hAnsi="方正仿宋简体" w:eastAsia="方正仿宋简体" w:cs="方正仿宋简体"/>
          <w:b/>
          <w:bCs/>
          <w:i w:val="0"/>
          <w:iCs w:val="0"/>
          <w:smallCaps w:val="0"/>
          <w:strike w:val="0"/>
          <w:color w:val="000000"/>
          <w:spacing w:val="0"/>
          <w:w w:val="100"/>
          <w:position w:val="0"/>
          <w:sz w:val="32"/>
          <w:szCs w:val="32"/>
        </w:rPr>
      </w:pPr>
      <w:bookmarkStart w:id="4" w:name="bookmark7"/>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w:t>
      </w:r>
      <w:bookmarkEnd w:id="4"/>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二）用于置换的产能应为已建成且能正常生产的产能，用于产能置换的设备，必须是有合法合规手续的熔炼、造型设备。实际产能根据企业熔炼、造型等关键环节的设备型号、产品工艺出品率、项目年时基数设计标准</w:t>
      </w:r>
      <w:r>
        <w:rPr>
          <w:rFonts w:hint="eastAsia" w:ascii="方正仿宋简体" w:hAnsi="方正仿宋简体" w:eastAsia="方正仿宋简体" w:cs="方正仿宋简体"/>
          <w:b/>
          <w:bCs/>
          <w:i w:val="0"/>
          <w:iCs w:val="0"/>
          <w:smallCaps w:val="0"/>
          <w:strike w:val="0"/>
          <w:color w:val="000000"/>
          <w:spacing w:val="0"/>
          <w:w w:val="100"/>
          <w:position w:val="0"/>
          <w:sz w:val="32"/>
          <w:szCs w:val="32"/>
          <w:lang w:val="en-US" w:eastAsia="en-US"/>
        </w:rPr>
        <w:t>（GBT/51266-2017</w:t>
      </w:r>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）综合计算。实际产能小于备案设计产能的，按实际产能确定。</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20"/>
        <w:jc w:val="both"/>
        <w:textAlignment w:val="auto"/>
        <w:rPr>
          <w:rFonts w:hint="eastAsia" w:ascii="方正仿宋简体" w:hAnsi="方正仿宋简体" w:eastAsia="方正仿宋简体" w:cs="方正仿宋简体"/>
          <w:b/>
          <w:bCs/>
          <w:i w:val="0"/>
          <w:iCs w:val="0"/>
          <w:smallCaps w:val="0"/>
          <w:strike w:val="0"/>
          <w:color w:val="000000"/>
          <w:spacing w:val="0"/>
          <w:w w:val="100"/>
          <w:position w:val="0"/>
          <w:sz w:val="32"/>
          <w:szCs w:val="32"/>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（三）列入</w:t>
      </w:r>
      <w:r>
        <w:rPr>
          <w:rFonts w:hint="eastAsia" w:ascii="方正仿宋简体" w:hAnsi="方正仿宋简体" w:eastAsia="方正仿宋简体" w:cs="方正仿宋简体"/>
          <w:b/>
          <w:bCs/>
          <w:i w:val="0"/>
          <w:iCs w:val="0"/>
          <w:smallCaps w:val="0"/>
          <w:strike w:val="0"/>
          <w:color w:val="000000"/>
          <w:spacing w:val="0"/>
          <w:w w:val="100"/>
          <w:position w:val="0"/>
          <w:sz w:val="32"/>
          <w:szCs w:val="32"/>
          <w:lang w:val="zh-CN" w:eastAsia="zh-CN"/>
        </w:rPr>
        <w:t>“散</w:t>
      </w:r>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乱污”清单的产能、认定为</w:t>
      </w:r>
      <w:r>
        <w:rPr>
          <w:rFonts w:hint="eastAsia" w:ascii="方正仿宋简体" w:hAnsi="方正仿宋简体" w:eastAsia="方正仿宋简体" w:cs="方正仿宋简体"/>
          <w:b/>
          <w:bCs/>
          <w:i w:val="0"/>
          <w:iCs w:val="0"/>
          <w:smallCaps w:val="0"/>
          <w:strike w:val="0"/>
          <w:color w:val="000000"/>
          <w:spacing w:val="0"/>
          <w:w w:val="100"/>
          <w:position w:val="0"/>
          <w:sz w:val="32"/>
          <w:szCs w:val="32"/>
          <w:lang w:val="zh-CN" w:eastAsia="zh-CN"/>
        </w:rPr>
        <w:t>“地</w:t>
      </w:r>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条钢”的产能、产业政策规定淘汰的产能、享受奖补资金和政策支持的退出产能、在确认置换前已拆除主体设备的产能，不得用于置换。</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20"/>
        <w:jc w:val="both"/>
        <w:textAlignment w:val="auto"/>
        <w:rPr>
          <w:rFonts w:hint="eastAsia" w:ascii="方正仿宋简体" w:hAnsi="方正仿宋简体" w:eastAsia="方正仿宋简体" w:cs="方正仿宋简体"/>
          <w:b/>
          <w:bCs/>
          <w:i w:val="0"/>
          <w:iCs w:val="0"/>
          <w:smallCaps w:val="0"/>
          <w:strike w:val="0"/>
          <w:color w:val="000000"/>
          <w:spacing w:val="0"/>
          <w:w w:val="100"/>
          <w:position w:val="0"/>
          <w:sz w:val="32"/>
          <w:szCs w:val="32"/>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（四）采用产能置换方式新建或改造升级的铸造项目（含铸造工序），须符合国家有关产业政策及投资监管要求，不得采用落后淘汰的工艺和设备，原则上应使用天然气或电等清洁能源；所有产生颗粒物或</w:t>
      </w:r>
      <w:r>
        <w:rPr>
          <w:rFonts w:hint="eastAsia" w:ascii="方正仿宋简体" w:hAnsi="方正仿宋简体" w:eastAsia="方正仿宋简体" w:cs="方正仿宋简体"/>
          <w:b/>
          <w:bCs/>
          <w:i w:val="0"/>
          <w:iCs w:val="0"/>
          <w:smallCaps w:val="0"/>
          <w:strike w:val="0"/>
          <w:color w:val="000000"/>
          <w:spacing w:val="0"/>
          <w:w w:val="100"/>
          <w:position w:val="0"/>
          <w:sz w:val="32"/>
          <w:szCs w:val="32"/>
          <w:lang w:val="en-US" w:eastAsia="en-US"/>
        </w:rPr>
        <w:t>VOCS</w:t>
      </w:r>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（挥发性有机物）的工序应配备高效收集和处理装置；企业在物料储存、输送等环节，在保障安全生产的前提下，应采取密闭、封闭等有效措施控制无组织排放。</w:t>
      </w:r>
    </w:p>
    <w:p>
      <w:pPr>
        <w:pStyle w:val="5"/>
        <w:keepNext w:val="0"/>
        <w:keepLines w:val="0"/>
        <w:widowControl w:val="0"/>
        <w:shd w:val="clear" w:color="auto" w:fill="auto"/>
        <w:tabs>
          <w:tab w:val="left" w:pos="968"/>
        </w:tabs>
        <w:bidi w:val="0"/>
        <w:spacing w:before="0" w:after="0" w:line="609" w:lineRule="exact"/>
        <w:ind w:left="0" w:right="0" w:firstLine="680"/>
        <w:jc w:val="both"/>
        <w:rPr>
          <w:rFonts w:hint="eastAsia" w:ascii="黑体" w:hAnsi="黑体" w:eastAsia="黑体" w:cs="黑体"/>
          <w:b/>
          <w:bCs/>
          <w:i w:val="0"/>
          <w:iCs w:val="0"/>
          <w:smallCaps w:val="0"/>
          <w:strike w:val="0"/>
          <w:color w:val="000000"/>
          <w:spacing w:val="0"/>
          <w:w w:val="100"/>
          <w:position w:val="0"/>
          <w:sz w:val="32"/>
          <w:szCs w:val="32"/>
        </w:rPr>
      </w:pPr>
      <w:r>
        <w:rPr>
          <w:rFonts w:hint="eastAsia" w:ascii="黑体" w:hAnsi="黑体" w:eastAsia="黑体" w:cs="黑体"/>
          <w:b/>
          <w:bCs/>
          <w:i w:val="0"/>
          <w:iCs w:val="0"/>
          <w:smallCaps w:val="0"/>
          <w:strike w:val="0"/>
          <w:color w:val="000000"/>
          <w:spacing w:val="0"/>
          <w:w w:val="100"/>
          <w:position w:val="0"/>
          <w:sz w:val="32"/>
          <w:szCs w:val="32"/>
        </w:rPr>
        <w:t>二、铸造产能置换程序</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20"/>
        <w:jc w:val="both"/>
        <w:textAlignment w:val="auto"/>
        <w:rPr>
          <w:rFonts w:hint="eastAsia" w:ascii="方正仿宋简体" w:hAnsi="方正仿宋简体" w:eastAsia="方正仿宋简体" w:cs="方正仿宋简体"/>
          <w:b/>
          <w:bCs/>
          <w:i w:val="0"/>
          <w:iCs w:val="0"/>
          <w:smallCaps w:val="0"/>
          <w:strike w:val="0"/>
          <w:color w:val="000000"/>
          <w:spacing w:val="0"/>
          <w:w w:val="100"/>
          <w:position w:val="0"/>
          <w:sz w:val="32"/>
          <w:szCs w:val="32"/>
        </w:rPr>
      </w:pPr>
      <w:bookmarkStart w:id="5" w:name="bookmark8"/>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w:t>
      </w:r>
      <w:bookmarkEnd w:id="5"/>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一）拟新建或改造升级铸造项目建设单位向所在县（市、区）工业和信息化局提出申请，并提报产能置换方案。方案主要包括建设项目和退出项目情况，须明确以下内容：</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20"/>
        <w:jc w:val="both"/>
        <w:textAlignment w:val="auto"/>
        <w:rPr>
          <w:rFonts w:hint="eastAsia" w:ascii="方正仿宋简体" w:hAnsi="方正仿宋简体" w:eastAsia="方正仿宋简体" w:cs="方正仿宋简体"/>
          <w:b/>
          <w:bCs/>
          <w:i w:val="0"/>
          <w:iCs w:val="0"/>
          <w:smallCaps w:val="0"/>
          <w:strike w:val="0"/>
          <w:color w:val="000000"/>
          <w:spacing w:val="0"/>
          <w:w w:val="100"/>
          <w:position w:val="0"/>
          <w:sz w:val="32"/>
          <w:szCs w:val="32"/>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建设项目所在地区、单位名称、拟建项目主体设备名称、型号、数量、造型工艺和产能核算依据，计划开工和投产时间。</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20"/>
        <w:jc w:val="both"/>
        <w:textAlignment w:val="auto"/>
        <w:rPr>
          <w:rFonts w:hint="eastAsia" w:ascii="方正仿宋简体" w:hAnsi="方正仿宋简体" w:eastAsia="方正仿宋简体" w:cs="方正仿宋简体"/>
          <w:b/>
          <w:bCs/>
          <w:i w:val="0"/>
          <w:iCs w:val="0"/>
          <w:smallCaps w:val="0"/>
          <w:strike w:val="0"/>
          <w:color w:val="000000"/>
          <w:spacing w:val="0"/>
          <w:w w:val="100"/>
          <w:position w:val="0"/>
          <w:sz w:val="32"/>
          <w:szCs w:val="32"/>
        </w:rPr>
      </w:pPr>
      <w:bookmarkStart w:id="6" w:name="bookmark9"/>
      <w:bookmarkEnd w:id="6"/>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退出项目所在地区、单位名称、用于置换的设备名称、型号、数量和产能，拆除时间安排。</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20"/>
        <w:jc w:val="both"/>
        <w:textAlignment w:val="auto"/>
        <w:rPr>
          <w:rFonts w:hint="eastAsia" w:ascii="方正仿宋简体" w:hAnsi="方正仿宋简体" w:eastAsia="方正仿宋简体" w:cs="方正仿宋简体"/>
          <w:b/>
          <w:bCs/>
          <w:i w:val="0"/>
          <w:iCs w:val="0"/>
          <w:smallCaps w:val="0"/>
          <w:strike w:val="0"/>
          <w:color w:val="000000"/>
          <w:spacing w:val="0"/>
          <w:w w:val="100"/>
          <w:position w:val="0"/>
          <w:sz w:val="32"/>
          <w:szCs w:val="32"/>
        </w:rPr>
      </w:pPr>
      <w:bookmarkStart w:id="7" w:name="bookmark10"/>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w:t>
      </w:r>
      <w:bookmarkEnd w:id="7"/>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二）县（市、区）工业和信息化局会同发展改革局、生态环境分局对置换方案的真实性、合规性进行初审后，联合报送市工业和信息化局。市工业和信息化局会同市发展改革委、市生态环境局对置换项目核实后，联合报送省工业和信息化厅。省工业和信息化厅会同省发展改革委、省生态环境厅组织专家对确有必要的置换项目进行核实。省工业和信息化厅将专家核实后符合条件的置换方案，向社会进行公示，无异议后予以公告。</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20"/>
        <w:jc w:val="both"/>
        <w:textAlignment w:val="auto"/>
        <w:rPr>
          <w:rFonts w:hint="eastAsia" w:ascii="方正仿宋简体" w:hAnsi="方正仿宋简体" w:eastAsia="方正仿宋简体" w:cs="方正仿宋简体"/>
          <w:b/>
          <w:bCs/>
          <w:i w:val="0"/>
          <w:iCs w:val="0"/>
          <w:smallCaps w:val="0"/>
          <w:strike w:val="0"/>
          <w:color w:val="000000"/>
          <w:spacing w:val="0"/>
          <w:w w:val="100"/>
          <w:position w:val="0"/>
          <w:sz w:val="32"/>
          <w:szCs w:val="32"/>
        </w:rPr>
      </w:pPr>
      <w:bookmarkStart w:id="8" w:name="bookmark11"/>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w:t>
      </w:r>
      <w:bookmarkEnd w:id="8"/>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三）跨市产能置换，按照《关于做好2020年铸造产能置换工作的通知》（鲁工信装〔2020〕166号）要求执行置换程序。跨县（市、区）产能置换，由退出产能所在县（市、区）工业和信息化局会同发展改革局、生态环境分局对退出产能的真实性、合规性进行初审后，联合报送市工业和信息化局。市工业和信息化局会同市发展改革委、市生态环境局对退出产能核实后向社会公示，无异议后公布产能出让公告。新建项目所在县（市、区）工业和信息化局会同发展改革局、生态环境分局对产能置换方案执行情况进行监管，并定期向市工业和信息化局报送置换方案执行进展情况，并在新建项目投产后（当年年底前），申请更新铸造产能清单。</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20"/>
        <w:jc w:val="both"/>
        <w:textAlignment w:val="auto"/>
        <w:rPr>
          <w:rFonts w:hint="eastAsia" w:ascii="方正仿宋简体" w:hAnsi="方正仿宋简体" w:eastAsia="方正仿宋简体" w:cs="方正仿宋简体"/>
          <w:b/>
          <w:bCs/>
          <w:i w:val="0"/>
          <w:iCs w:val="0"/>
          <w:smallCaps w:val="0"/>
          <w:strike w:val="0"/>
          <w:color w:val="000000"/>
          <w:spacing w:val="0"/>
          <w:w w:val="100"/>
          <w:position w:val="0"/>
          <w:sz w:val="32"/>
          <w:szCs w:val="32"/>
        </w:rPr>
      </w:pPr>
      <w:bookmarkStart w:id="9" w:name="bookmark12"/>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w:t>
      </w:r>
      <w:bookmarkEnd w:id="9"/>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四）建设项目投产前，产能出让方须拆除用于置换的退出设备，使其不具备恢复生产的条件。按照公告的产能置换方案，县（市、区）工业和信息化局会同发展改革局、生态环境分局全面跟踪拟建项目动态，认真落实事中和事后监管责任，确保退出设备拆除到位。涉及跨市、跨县（市、区）产能置换,产能出让方所在县（市、区）工业和信息化局会同发展改革局、生态环境分局，负责监督退出设备拆除到位。</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20"/>
        <w:jc w:val="both"/>
        <w:textAlignment w:val="auto"/>
        <w:rPr>
          <w:rFonts w:hint="eastAsia" w:ascii="方正仿宋简体" w:hAnsi="方正仿宋简体" w:eastAsia="方正仿宋简体" w:cs="方正仿宋简体"/>
          <w:b/>
          <w:bCs/>
          <w:i w:val="0"/>
          <w:iCs w:val="0"/>
          <w:smallCaps w:val="0"/>
          <w:strike w:val="0"/>
          <w:color w:val="000000"/>
          <w:spacing w:val="0"/>
          <w:w w:val="100"/>
          <w:position w:val="0"/>
          <w:sz w:val="32"/>
          <w:szCs w:val="32"/>
        </w:rPr>
      </w:pPr>
      <w:bookmarkStart w:id="10" w:name="bookmark13"/>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w:t>
      </w:r>
      <w:bookmarkEnd w:id="10"/>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五）已公告产能置换方案但因故未能实施的建设项目，由项目所在县（市、区）工业和信息化局，征求当地发展改革局、生态环境分局意见后，联合报送市工业和信息化局。市工业和信息化局会同市发展改革委、市生态环境局审核后，报省工业和信息化厅中止项目产能置换方案实施。</w:t>
      </w:r>
    </w:p>
    <w:p>
      <w:pPr>
        <w:pStyle w:val="5"/>
        <w:keepNext w:val="0"/>
        <w:keepLines w:val="0"/>
        <w:widowControl w:val="0"/>
        <w:shd w:val="clear" w:color="auto" w:fill="auto"/>
        <w:bidi w:val="0"/>
        <w:spacing w:before="0" w:after="0" w:line="605" w:lineRule="exact"/>
        <w:ind w:left="0" w:right="0" w:firstLine="640"/>
        <w:jc w:val="both"/>
        <w:rPr>
          <w:rFonts w:hint="eastAsia" w:ascii="黑体" w:hAnsi="黑体" w:eastAsia="黑体" w:cs="黑体"/>
          <w:sz w:val="32"/>
          <w:szCs w:val="32"/>
        </w:rPr>
      </w:pPr>
      <w:r>
        <w:rPr>
          <w:rFonts w:hint="eastAsia" w:ascii="黑体" w:hAnsi="黑体" w:eastAsia="黑体" w:cs="黑体"/>
          <w:b/>
          <w:bCs/>
          <w:color w:val="000000"/>
          <w:spacing w:val="0"/>
          <w:w w:val="100"/>
          <w:position w:val="0"/>
          <w:sz w:val="32"/>
          <w:szCs w:val="32"/>
        </w:rPr>
        <w:t>三、有关要求</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617" w:lineRule="exact"/>
        <w:ind w:left="0" w:right="0" w:firstLine="641"/>
        <w:jc w:val="both"/>
        <w:textAlignment w:val="auto"/>
        <w:rPr>
          <w:rFonts w:hint="eastAsia" w:ascii="方正仿宋简体" w:hAnsi="方正仿宋简体" w:eastAsia="方正仿宋简体" w:cs="方正仿宋简体"/>
          <w:b/>
          <w:bCs/>
          <w:i w:val="0"/>
          <w:iCs w:val="0"/>
          <w:smallCaps w:val="0"/>
          <w:strike w:val="0"/>
          <w:color w:val="000000"/>
          <w:spacing w:val="0"/>
          <w:w w:val="100"/>
          <w:position w:val="0"/>
          <w:sz w:val="32"/>
          <w:szCs w:val="32"/>
          <w:lang w:eastAsia="zh-CN"/>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各县（市、区）工业和信息化局会同发展改革局、生态环境分局，要依据产能清单从严审核项目产能置换方案，防止弄虚作假，消除新增产能隐患。对弄虚作假、不落实已公告产能置换方案、违规新增产能的企业，依照《企业投资项目核准和备案管理条例》从严处罚，并提请有关方面联合惩戒。对审核把关不严、监督落实不到位等问题严重的地区，省工业和信息化厅将停止受理产能置换方案审核，并作为负面典型向全省通</w:t>
      </w:r>
      <w:r>
        <w:rPr>
          <w:rFonts w:hint="eastAsia" w:ascii="方正仿宋简体" w:hAnsi="方正仿宋简体" w:eastAsia="方正仿宋简体" w:cs="方正仿宋简体"/>
          <w:b/>
          <w:bCs/>
          <w:i w:val="0"/>
          <w:iCs w:val="0"/>
          <w:smallCaps w:val="0"/>
          <w:strike w:val="0"/>
          <w:color w:val="000000"/>
          <w:spacing w:val="0"/>
          <w:w w:val="100"/>
          <w:position w:val="0"/>
          <w:sz w:val="32"/>
          <w:szCs w:val="32"/>
          <w:lang w:eastAsia="zh-CN"/>
        </w:rPr>
        <w:t>报。</w:t>
      </w:r>
    </w:p>
    <w:p>
      <w:pPr>
        <w:pStyle w:val="5"/>
        <w:keepNext w:val="0"/>
        <w:keepLines w:val="0"/>
        <w:widowControl w:val="0"/>
        <w:shd w:val="clear" w:color="auto" w:fill="auto"/>
        <w:bidi w:val="0"/>
        <w:spacing w:before="0" w:after="840" w:line="617" w:lineRule="exact"/>
        <w:ind w:left="0" w:right="0" w:firstLine="640"/>
        <w:jc w:val="both"/>
        <w:sectPr>
          <w:footerReference r:id="rId7" w:type="first"/>
          <w:footerReference r:id="rId5" w:type="default"/>
          <w:footerReference r:id="rId6" w:type="even"/>
          <w:footnotePr>
            <w:numFmt w:val="decimal"/>
          </w:footnotePr>
          <w:pgSz w:w="11900" w:h="16840"/>
          <w:pgMar w:top="1631" w:right="1562" w:bottom="1592" w:left="1489" w:header="0" w:footer="3" w:gutter="0"/>
          <w:pgNumType w:start="1"/>
          <w:cols w:space="720" w:num="1"/>
          <w:titlePg/>
          <w:rtlGutter w:val="0"/>
          <w:docGrid w:linePitch="360" w:charSpace="0"/>
        </w:sect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本通知仅适用于2020年铸造产能置换。</w:t>
      </w:r>
    </w:p>
    <w:bookmarkEnd w:id="11"/>
    <w:p>
      <w:pPr>
        <w:sectPr>
          <w:headerReference r:id="rId8" w:type="default"/>
          <w:footerReference r:id="rId10" w:type="default"/>
          <w:headerReference r:id="rId9" w:type="even"/>
          <w:footerReference r:id="rId11" w:type="even"/>
          <w:footnotePr>
            <w:numFmt w:val="decimal"/>
          </w:footnotePr>
          <w:pgSz w:w="11900" w:h="16840"/>
          <w:pgMar w:top="1499" w:right="2191" w:bottom="1078" w:left="2191" w:header="0" w:footer="1763" w:gutter="0"/>
          <w:cols w:space="720" w:num="1"/>
          <w:rtlGutter w:val="0"/>
          <w:docGrid w:linePitch="360" w:charSpace="0"/>
        </w:sectPr>
      </w:pPr>
    </w:p>
    <w:p>
      <w:pPr>
        <w:pStyle w:val="17"/>
        <w:keepNext w:val="0"/>
        <w:keepLines w:val="0"/>
        <w:widowControl w:val="0"/>
        <w:shd w:val="clear" w:color="auto" w:fill="auto"/>
        <w:bidi w:val="0"/>
        <w:spacing w:before="0" w:after="0" w:line="240" w:lineRule="auto"/>
        <w:ind w:left="0" w:right="0" w:firstLine="0"/>
        <w:jc w:val="left"/>
      </w:pPr>
      <w:r>
        <w:rPr>
          <w:color w:val="000000"/>
          <w:spacing w:val="0"/>
          <w:w w:val="100"/>
          <w:position w:val="0"/>
        </w:rPr>
        <w:t>济宁市工业和信息化局办公室</w:t>
      </w:r>
    </w:p>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2020</w:t>
      </w:r>
      <w:r>
        <w:rPr>
          <w:rFonts w:ascii="宋体" w:hAnsi="宋体" w:eastAsia="宋体" w:cs="宋体"/>
          <w:color w:val="000000"/>
          <w:spacing w:val="0"/>
          <w:w w:val="100"/>
          <w:position w:val="0"/>
        </w:rPr>
        <w:t>年</w:t>
      </w:r>
      <w:r>
        <w:rPr>
          <w:rFonts w:ascii="Times New Roman" w:hAnsi="Times New Roman" w:eastAsia="Times New Roman" w:cs="Times New Roman"/>
          <w:color w:val="000000"/>
          <w:spacing w:val="0"/>
          <w:w w:val="100"/>
          <w:position w:val="0"/>
        </w:rPr>
        <w:t>10</w:t>
      </w:r>
      <w:r>
        <w:rPr>
          <w:rFonts w:ascii="宋体" w:hAnsi="宋体" w:eastAsia="宋体" w:cs="宋体"/>
          <w:color w:val="000000"/>
          <w:spacing w:val="0"/>
          <w:w w:val="100"/>
          <w:position w:val="0"/>
        </w:rPr>
        <w:t>月</w:t>
      </w:r>
      <w:r>
        <w:rPr>
          <w:rFonts w:ascii="Times New Roman" w:hAnsi="Times New Roman" w:eastAsia="Times New Roman" w:cs="Times New Roman"/>
          <w:color w:val="000000"/>
          <w:spacing w:val="0"/>
          <w:w w:val="100"/>
          <w:position w:val="0"/>
        </w:rPr>
        <w:t>19</w:t>
      </w:r>
      <w:r>
        <w:rPr>
          <w:rFonts w:ascii="宋体" w:hAnsi="宋体" w:eastAsia="宋体" w:cs="宋体"/>
          <w:color w:val="000000"/>
          <w:spacing w:val="0"/>
          <w:w w:val="100"/>
          <w:position w:val="0"/>
        </w:rPr>
        <w:t>日印发</w:t>
      </w:r>
    </w:p>
    <w:sectPr>
      <w:headerReference r:id="rId12" w:type="default"/>
      <w:footerReference r:id="rId14" w:type="default"/>
      <w:headerReference r:id="rId13" w:type="even"/>
      <w:footerReference r:id="rId15" w:type="even"/>
      <w:footnotePr>
        <w:numFmt w:val="decimal"/>
      </w:footnotePr>
      <w:pgSz w:w="11900" w:h="16840"/>
      <w:pgMar w:top="14908" w:right="1274" w:bottom="1390" w:left="2162" w:header="14480" w:footer="3" w:gutter="0"/>
      <w:cols w:equalWidth="0" w:num="2">
        <w:col w:w="3640" w:space="1652"/>
        <w:col w:w="3172"/>
      </w:cols>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5980430</wp:posOffset>
              </wp:positionH>
              <wp:positionV relativeFrom="page">
                <wp:posOffset>9973310</wp:posOffset>
              </wp:positionV>
              <wp:extent cx="537210" cy="109855"/>
              <wp:effectExtent l="0" t="0" r="0" b="0"/>
              <wp:wrapNone/>
              <wp:docPr id="1" name="Shape 1"/>
              <wp:cNvGraphicFramePr/>
              <a:graphic xmlns:a="http://schemas.openxmlformats.org/drawingml/2006/main">
                <a:graphicData uri="http://schemas.microsoft.com/office/word/2010/wordprocessingShape">
                  <wps:wsp>
                    <wps:cNvSpPr txBox="1"/>
                    <wps:spPr>
                      <a:xfrm>
                        <a:off x="0" y="0"/>
                        <a:ext cx="537210" cy="10985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1" o:spid="_x0000_s1026" o:spt="202" type="#_x0000_t202" style="position:absolute;left:0pt;margin-left:470.9pt;margin-top:785.3pt;height:8.65pt;width:42.3pt;mso-position-horizontal-relative:page;mso-position-vertical-relative:page;mso-wrap-style:none;z-index:-440400896;mso-width-relative:page;mso-height-relative:page;" filled="f" stroked="f" coordsize="21600,21600" o:gfxdata="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PVguLYAAAADgEAAA8AAAAAAAAAAQAgAAAAIgAAAGRycy9k&#10;b3ducmV2LnhtbFBLAQIUABQAAAAIAIdO4kD+LZ1nkAEAACEDAAAOAAAAAAAAAAEAIAAAACcBAABk&#10;cnMvZTJvRG9jLnhtbFBLBQYAAAAABgAGAFkBAAAp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lang w:val="en-US" w:eastAsia="en-US" w:bidi="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969645</wp:posOffset>
              </wp:positionH>
              <wp:positionV relativeFrom="page">
                <wp:posOffset>9962515</wp:posOffset>
              </wp:positionV>
              <wp:extent cx="532765" cy="107315"/>
              <wp:effectExtent l="0" t="0" r="0" b="0"/>
              <wp:wrapNone/>
              <wp:docPr id="3" name="Shape 3"/>
              <wp:cNvGraphicFramePr/>
              <a:graphic xmlns:a="http://schemas.openxmlformats.org/drawingml/2006/main">
                <a:graphicData uri="http://schemas.microsoft.com/office/word/2010/wordprocessingShape">
                  <wps:wsp>
                    <wps:cNvSpPr txBox="1"/>
                    <wps:spPr>
                      <a:xfrm>
                        <a:off x="0" y="0"/>
                        <a:ext cx="532765" cy="10731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rPr>
                            <w:t>—</w:t>
                          </w:r>
                        </w:p>
                      </w:txbxContent>
                    </wps:txbx>
                    <wps:bodyPr wrap="none" lIns="0" tIns="0" rIns="0" bIns="0">
                      <a:spAutoFit/>
                    </wps:bodyPr>
                  </wps:wsp>
                </a:graphicData>
              </a:graphic>
            </wp:anchor>
          </w:drawing>
        </mc:Choice>
        <mc:Fallback>
          <w:pict>
            <v:shape id="Shape 3" o:spid="_x0000_s1026" o:spt="202" type="#_x0000_t202" style="position:absolute;left:0pt;margin-left:76.35pt;margin-top:784.45pt;height:8.45pt;width:41.95pt;mso-position-horizontal-relative:page;mso-position-vertical-relative:page;mso-wrap-style:none;z-index:-440400896;mso-width-relative:page;mso-height-relative:page;" filled="f" stroked="f" coordsize="21600,21600" o:gfxdata="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pnldA2AAAAA0BAAAPAAAAAAAAAAEAIAAAACIAAABkcnMvZG93&#10;bnJldi54bWxQSwECFAAUAAAACACHTuJASe9jkY4BAAAhAwAADgAAAAAAAAABACAAAAAnAQAAZHJz&#10;L2Uyb0RvYy54bWxQSwUGAAAAAAYABgBZAQAAJw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6018530</wp:posOffset>
              </wp:positionH>
              <wp:positionV relativeFrom="page">
                <wp:posOffset>9745980</wp:posOffset>
              </wp:positionV>
              <wp:extent cx="530225" cy="105410"/>
              <wp:effectExtent l="0" t="0" r="0" b="0"/>
              <wp:wrapNone/>
              <wp:docPr id="5" name="Shape 5"/>
              <wp:cNvGraphicFramePr/>
              <a:graphic xmlns:a="http://schemas.openxmlformats.org/drawingml/2006/main">
                <a:graphicData uri="http://schemas.microsoft.com/office/word/2010/wordprocessingShape">
                  <wps:wsp>
                    <wps:cNvSpPr txBox="1"/>
                    <wps:spPr>
                      <a:xfrm>
                        <a:off x="0" y="0"/>
                        <a:ext cx="530225" cy="10541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宋体" w:hAnsi="宋体" w:eastAsia="宋体" w:cs="宋体"/>
                              <w:color w:val="000000"/>
                              <w:spacing w:val="0"/>
                              <w:w w:val="100"/>
                              <w:position w:val="0"/>
                            </w:rPr>
                            <w:t>一</w:t>
                          </w:r>
                        </w:p>
                      </w:txbxContent>
                    </wps:txbx>
                    <wps:bodyPr wrap="none" lIns="0" tIns="0" rIns="0" bIns="0">
                      <a:spAutoFit/>
                    </wps:bodyPr>
                  </wps:wsp>
                </a:graphicData>
              </a:graphic>
            </wp:anchor>
          </w:drawing>
        </mc:Choice>
        <mc:Fallback>
          <w:pict>
            <v:shape id="Shape 5" o:spid="_x0000_s1026" o:spt="202" type="#_x0000_t202" style="position:absolute;left:0pt;margin-left:473.9pt;margin-top:767.4pt;height:8.3pt;width:41.75pt;mso-position-horizontal-relative:page;mso-position-vertical-relative:page;mso-wrap-style:none;z-index:-440400896;mso-width-relative:page;mso-height-relative:page;" filled="f" stroked="f" coordsize="21600,21600" o:gfxdata="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7yMdvdkAAAAOAQAADwAAAAAAAAABACAAAAAiAAAAZHJzL2Rv&#10;d25yZXYueG1sUEsBAhQAFAAAAAgAh07iQH4PMEaOAQAAIQMAAA4AAAAAAAAAAQAgAAAAKAEAAGRy&#10;cy9lMm9Eb2MueG1sUEsFBgAAAAAGAAYAWQEAACgFA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宋体" w:hAnsi="宋体" w:eastAsia="宋体" w:cs="宋体"/>
                        <w:color w:val="000000"/>
                        <w:spacing w:val="0"/>
                        <w:w w:val="100"/>
                        <w:position w:val="0"/>
                      </w:rPr>
                      <w:t>一</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969645</wp:posOffset>
              </wp:positionH>
              <wp:positionV relativeFrom="page">
                <wp:posOffset>9962515</wp:posOffset>
              </wp:positionV>
              <wp:extent cx="532765" cy="107315"/>
              <wp:effectExtent l="0" t="0" r="0" b="0"/>
              <wp:wrapNone/>
              <wp:docPr id="27" name="Shape 27"/>
              <wp:cNvGraphicFramePr/>
              <a:graphic xmlns:a="http://schemas.openxmlformats.org/drawingml/2006/main">
                <a:graphicData uri="http://schemas.microsoft.com/office/word/2010/wordprocessingShape">
                  <wps:wsp>
                    <wps:cNvSpPr txBox="1"/>
                    <wps:spPr>
                      <a:xfrm>
                        <a:off x="0" y="0"/>
                        <a:ext cx="532765" cy="10731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rPr>
                            <w:t>—</w:t>
                          </w:r>
                        </w:p>
                      </w:txbxContent>
                    </wps:txbx>
                    <wps:bodyPr wrap="none" lIns="0" tIns="0" rIns="0" bIns="0">
                      <a:spAutoFit/>
                    </wps:bodyPr>
                  </wps:wsp>
                </a:graphicData>
              </a:graphic>
            </wp:anchor>
          </w:drawing>
        </mc:Choice>
        <mc:Fallback>
          <w:pict>
            <v:shape id="Shape 27" o:spid="_x0000_s1026" o:spt="202" type="#_x0000_t202" style="position:absolute;left:0pt;margin-left:76.35pt;margin-top:784.45pt;height:8.45pt;width:41.95pt;mso-position-horizontal-relative:page;mso-position-vertical-relative:page;mso-wrap-style:none;z-index:-440400896;mso-width-relative:page;mso-height-relative:page;" filled="f" stroked="f" coordsize="21600,21600" o:gfxdata="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6Z5XQNgAAAANAQAADwAAAAAAAAABACAAAAAiAAAAZHJzL2Rv&#10;d25yZXYueG1sUEsBAhQAFAAAAAgAh07iQIdFJoCPAQAAIwMAAA4AAAAAAAAAAQAgAAAAJwEAAGRy&#10;cy9lMm9Eb2MueG1sUEsFBgAAAAAGAAYAWQEAACgFA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969645</wp:posOffset>
              </wp:positionH>
              <wp:positionV relativeFrom="page">
                <wp:posOffset>9962515</wp:posOffset>
              </wp:positionV>
              <wp:extent cx="532765" cy="107315"/>
              <wp:effectExtent l="0" t="0" r="0" b="0"/>
              <wp:wrapNone/>
              <wp:docPr id="29" name="Shape 29"/>
              <wp:cNvGraphicFramePr/>
              <a:graphic xmlns:a="http://schemas.openxmlformats.org/drawingml/2006/main">
                <a:graphicData uri="http://schemas.microsoft.com/office/word/2010/wordprocessingShape">
                  <wps:wsp>
                    <wps:cNvSpPr txBox="1"/>
                    <wps:spPr>
                      <a:xfrm>
                        <a:off x="0" y="0"/>
                        <a:ext cx="532765" cy="10731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rPr>
                            <w:t>—</w:t>
                          </w:r>
                        </w:p>
                      </w:txbxContent>
                    </wps:txbx>
                    <wps:bodyPr wrap="none" lIns="0" tIns="0" rIns="0" bIns="0">
                      <a:spAutoFit/>
                    </wps:bodyPr>
                  </wps:wsp>
                </a:graphicData>
              </a:graphic>
            </wp:anchor>
          </w:drawing>
        </mc:Choice>
        <mc:Fallback>
          <w:pict>
            <v:shape id="Shape 29" o:spid="_x0000_s1026" o:spt="202" type="#_x0000_t202" style="position:absolute;left:0pt;margin-left:76.35pt;margin-top:784.45pt;height:8.45pt;width:41.95pt;mso-position-horizontal-relative:page;mso-position-vertical-relative:page;mso-wrap-style:none;z-index:-440400896;mso-width-relative:page;mso-height-relative:page;" filled="f" stroked="f" coordsize="21600,21600" o:gfxdata="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6Z5XQNgAAAANAQAADwAAAAAAAAABACAAAAAiAAAAZHJzL2Rv&#10;d25yZXYueG1sUEsBAhQAFAAAAAgAh07iQAXOmySPAQAAIwMAAA4AAAAAAAAAAQAgAAAAJwEAAGRy&#10;cy9lMm9Eb2MueG1sUEsFBgAAAAAGAAYAWQEAACgFA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24"/>
                        <w:szCs w:val="24"/>
                      </w:rPr>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711835</wp:posOffset>
              </wp:positionH>
              <wp:positionV relativeFrom="page">
                <wp:posOffset>1057275</wp:posOffset>
              </wp:positionV>
              <wp:extent cx="605790" cy="178435"/>
              <wp:effectExtent l="0" t="0" r="0" b="0"/>
              <wp:wrapNone/>
              <wp:docPr id="23" name="Shape 23"/>
              <wp:cNvGraphicFramePr/>
              <a:graphic xmlns:a="http://schemas.openxmlformats.org/drawingml/2006/main">
                <a:graphicData uri="http://schemas.microsoft.com/office/word/2010/wordprocessingShape">
                  <wps:wsp>
                    <wps:cNvSpPr txBox="1"/>
                    <wps:spPr>
                      <a:xfrm>
                        <a:off x="0" y="0"/>
                        <a:ext cx="605790" cy="17843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000000"/>
                              <w:spacing w:val="0"/>
                              <w:w w:val="100"/>
                              <w:position w:val="0"/>
                              <w:sz w:val="30"/>
                              <w:szCs w:val="30"/>
                            </w:rPr>
                            <w:t>附件</w:t>
                          </w:r>
                          <w:r>
                            <w:rPr>
                              <w:rFonts w:ascii="宋体" w:hAnsi="宋体" w:eastAsia="宋体" w:cs="宋体"/>
                              <w:color w:val="000000"/>
                              <w:spacing w:val="0"/>
                              <w:w w:val="100"/>
                              <w:position w:val="0"/>
                              <w:sz w:val="30"/>
                              <w:szCs w:val="30"/>
                              <w:lang w:val="zh-CN" w:eastAsia="zh-CN" w:bidi="zh-CN"/>
                            </w:rPr>
                            <w:t>2：</w:t>
                          </w:r>
                        </w:p>
                      </w:txbxContent>
                    </wps:txbx>
                    <wps:bodyPr wrap="none" lIns="0" tIns="0" rIns="0" bIns="0">
                      <a:spAutoFit/>
                    </wps:bodyPr>
                  </wps:wsp>
                </a:graphicData>
              </a:graphic>
            </wp:anchor>
          </w:drawing>
        </mc:Choice>
        <mc:Fallback>
          <w:pict>
            <v:shape id="Shape 23" o:spid="_x0000_s1026" o:spt="202" type="#_x0000_t202" style="position:absolute;left:0pt;margin-left:56.05pt;margin-top:83.25pt;height:14.05pt;width:47.7pt;mso-position-horizontal-relative:page;mso-position-vertical-relative:page;mso-wrap-style:none;z-index:-440400896;mso-width-relative:page;mso-height-relative:page;" filled="f" stroked="f" coordsize="21600,21600" o:gfxdata="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PEKyzdYAAAALAQAADwAAAAAAAAABACAAAAAiAAAAZHJzL2Rvd25y&#10;ZXYueG1sUEsBAhQAFAAAAAgAh07iQOgMR++OAQAAIwMAAA4AAAAAAAAAAQAgAAAAJQEAAGRycy9l&#10;Mm9Eb2MueG1sUEsFBgAAAAAGAAYAWQEAACUFA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000000"/>
                        <w:spacing w:val="0"/>
                        <w:w w:val="100"/>
                        <w:position w:val="0"/>
                        <w:sz w:val="30"/>
                        <w:szCs w:val="30"/>
                      </w:rPr>
                      <w:t>附件</w:t>
                    </w:r>
                    <w:r>
                      <w:rPr>
                        <w:rFonts w:ascii="宋体" w:hAnsi="宋体" w:eastAsia="宋体" w:cs="宋体"/>
                        <w:color w:val="000000"/>
                        <w:spacing w:val="0"/>
                        <w:w w:val="100"/>
                        <w:position w:val="0"/>
                        <w:sz w:val="30"/>
                        <w:szCs w:val="30"/>
                        <w:lang w:val="zh-CN" w:eastAsia="zh-CN" w:bidi="zh-CN"/>
                      </w:rPr>
                      <w:t>2：</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711835</wp:posOffset>
              </wp:positionH>
              <wp:positionV relativeFrom="page">
                <wp:posOffset>1057275</wp:posOffset>
              </wp:positionV>
              <wp:extent cx="605790" cy="178435"/>
              <wp:effectExtent l="0" t="0" r="0" b="0"/>
              <wp:wrapNone/>
              <wp:docPr id="25" name="Shape 25"/>
              <wp:cNvGraphicFramePr/>
              <a:graphic xmlns:a="http://schemas.openxmlformats.org/drawingml/2006/main">
                <a:graphicData uri="http://schemas.microsoft.com/office/word/2010/wordprocessingShape">
                  <wps:wsp>
                    <wps:cNvSpPr txBox="1"/>
                    <wps:spPr>
                      <a:xfrm>
                        <a:off x="0" y="0"/>
                        <a:ext cx="605790" cy="17843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000000"/>
                              <w:spacing w:val="0"/>
                              <w:w w:val="100"/>
                              <w:position w:val="0"/>
                              <w:sz w:val="30"/>
                              <w:szCs w:val="30"/>
                            </w:rPr>
                            <w:t>附件</w:t>
                          </w:r>
                          <w:r>
                            <w:rPr>
                              <w:rFonts w:ascii="宋体" w:hAnsi="宋体" w:eastAsia="宋体" w:cs="宋体"/>
                              <w:color w:val="000000"/>
                              <w:spacing w:val="0"/>
                              <w:w w:val="100"/>
                              <w:position w:val="0"/>
                              <w:sz w:val="30"/>
                              <w:szCs w:val="30"/>
                              <w:lang w:val="zh-CN" w:eastAsia="zh-CN" w:bidi="zh-CN"/>
                            </w:rPr>
                            <w:t>2：</w:t>
                          </w:r>
                        </w:p>
                      </w:txbxContent>
                    </wps:txbx>
                    <wps:bodyPr wrap="none" lIns="0" tIns="0" rIns="0" bIns="0">
                      <a:spAutoFit/>
                    </wps:bodyPr>
                  </wps:wsp>
                </a:graphicData>
              </a:graphic>
            </wp:anchor>
          </w:drawing>
        </mc:Choice>
        <mc:Fallback>
          <w:pict>
            <v:shape id="Shape 25" o:spid="_x0000_s1026" o:spt="202" type="#_x0000_t202" style="position:absolute;left:0pt;margin-left:56.05pt;margin-top:83.25pt;height:14.05pt;width:47.7pt;mso-position-horizontal-relative:page;mso-position-vertical-relative:page;mso-wrap-style:none;z-index:-440400896;mso-width-relative:page;mso-height-relative:page;" filled="f" stroked="f" coordsize="21600,21600" o:gfxdata="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PEKyzdYAAAALAQAADwAAAAAAAAABACAAAAAiAAAAZHJzL2Rvd25y&#10;ZXYueG1sUEsBAhQAFAAAAAgAh07iQKmJe+WOAQAAIwMAAA4AAAAAAAAAAQAgAAAAJQEAAGRycy9l&#10;Mm9Eb2MueG1sUEsFBgAAAAAGAAYAWQEAACUFA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000000"/>
                        <w:spacing w:val="0"/>
                        <w:w w:val="100"/>
                        <w:position w:val="0"/>
                        <w:sz w:val="30"/>
                        <w:szCs w:val="30"/>
                      </w:rPr>
                      <w:t>附件</w:t>
                    </w:r>
                    <w:r>
                      <w:rPr>
                        <w:rFonts w:ascii="宋体" w:hAnsi="宋体" w:eastAsia="宋体" w:cs="宋体"/>
                        <w:color w:val="000000"/>
                        <w:spacing w:val="0"/>
                        <w:w w:val="100"/>
                        <w:position w:val="0"/>
                        <w:sz w:val="30"/>
                        <w:szCs w:val="30"/>
                        <w:lang w:val="zh-CN" w:eastAsia="zh-CN" w:bidi="zh-CN"/>
                      </w:rPr>
                      <w:t>2：</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78F747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Body text|1_"/>
    <w:basedOn w:val="3"/>
    <w:link w:val="5"/>
    <w:uiPriority w:val="0"/>
    <w:rPr>
      <w:rFonts w:ascii="宋体" w:hAnsi="宋体" w:eastAsia="宋体" w:cs="宋体"/>
      <w:sz w:val="30"/>
      <w:szCs w:val="30"/>
      <w:u w:val="none"/>
      <w:shd w:val="clear" w:color="auto" w:fill="auto"/>
      <w:lang w:val="zh-TW" w:eastAsia="zh-TW" w:bidi="zh-TW"/>
    </w:rPr>
  </w:style>
  <w:style w:type="paragraph" w:customStyle="1" w:styleId="5">
    <w:name w:val="Body text|1"/>
    <w:basedOn w:val="1"/>
    <w:link w:val="4"/>
    <w:uiPriority w:val="0"/>
    <w:pPr>
      <w:widowControl w:val="0"/>
      <w:shd w:val="clear" w:color="auto" w:fill="auto"/>
      <w:spacing w:line="427" w:lineRule="auto"/>
      <w:ind w:firstLine="400"/>
    </w:pPr>
    <w:rPr>
      <w:rFonts w:ascii="宋体" w:hAnsi="宋体" w:eastAsia="宋体" w:cs="宋体"/>
      <w:sz w:val="30"/>
      <w:szCs w:val="30"/>
      <w:u w:val="none"/>
      <w:shd w:val="clear" w:color="auto" w:fill="auto"/>
      <w:lang w:val="zh-TW" w:eastAsia="zh-TW" w:bidi="zh-TW"/>
    </w:rPr>
  </w:style>
  <w:style w:type="character" w:customStyle="1" w:styleId="6">
    <w:name w:val="Heading #1|1_"/>
    <w:basedOn w:val="3"/>
    <w:link w:val="7"/>
    <w:uiPriority w:val="0"/>
    <w:rPr>
      <w:rFonts w:ascii="宋体" w:hAnsi="宋体" w:eastAsia="宋体" w:cs="宋体"/>
      <w:color w:val="FA847F"/>
      <w:sz w:val="64"/>
      <w:szCs w:val="64"/>
      <w:u w:val="none"/>
      <w:shd w:val="clear" w:color="auto" w:fill="auto"/>
      <w:lang w:val="zh-TW" w:eastAsia="zh-TW" w:bidi="zh-TW"/>
    </w:rPr>
  </w:style>
  <w:style w:type="paragraph" w:customStyle="1" w:styleId="7">
    <w:name w:val="Heading #1|1"/>
    <w:basedOn w:val="1"/>
    <w:link w:val="6"/>
    <w:uiPriority w:val="0"/>
    <w:pPr>
      <w:widowControl w:val="0"/>
      <w:shd w:val="clear" w:color="auto" w:fill="auto"/>
      <w:spacing w:before="1260" w:after="760" w:line="1004" w:lineRule="exact"/>
      <w:outlineLvl w:val="0"/>
    </w:pPr>
    <w:rPr>
      <w:rFonts w:ascii="宋体" w:hAnsi="宋体" w:eastAsia="宋体" w:cs="宋体"/>
      <w:color w:val="FA847F"/>
      <w:sz w:val="64"/>
      <w:szCs w:val="64"/>
      <w:u w:val="none"/>
      <w:shd w:val="clear" w:color="auto" w:fill="auto"/>
      <w:lang w:val="zh-TW" w:eastAsia="zh-TW" w:bidi="zh-TW"/>
    </w:rPr>
  </w:style>
  <w:style w:type="character" w:customStyle="1" w:styleId="8">
    <w:name w:val="Header or footer|2_"/>
    <w:basedOn w:val="3"/>
    <w:link w:val="9"/>
    <w:uiPriority w:val="0"/>
    <w:rPr>
      <w:sz w:val="20"/>
      <w:szCs w:val="20"/>
      <w:u w:val="none"/>
      <w:shd w:val="clear" w:color="auto" w:fill="auto"/>
      <w:lang w:val="zh-TW" w:eastAsia="zh-TW" w:bidi="zh-TW"/>
    </w:rPr>
  </w:style>
  <w:style w:type="paragraph" w:customStyle="1" w:styleId="9">
    <w:name w:val="Header or footer|2"/>
    <w:basedOn w:val="1"/>
    <w:link w:val="8"/>
    <w:uiPriority w:val="0"/>
    <w:pPr>
      <w:widowControl w:val="0"/>
      <w:shd w:val="clear" w:color="auto" w:fill="auto"/>
    </w:pPr>
    <w:rPr>
      <w:sz w:val="20"/>
      <w:szCs w:val="20"/>
      <w:u w:val="none"/>
      <w:shd w:val="clear" w:color="auto" w:fill="auto"/>
      <w:lang w:val="zh-TW" w:eastAsia="zh-TW" w:bidi="zh-TW"/>
    </w:rPr>
  </w:style>
  <w:style w:type="character" w:customStyle="1" w:styleId="10">
    <w:name w:val="Heading #2|1_"/>
    <w:basedOn w:val="3"/>
    <w:link w:val="11"/>
    <w:qFormat/>
    <w:uiPriority w:val="0"/>
    <w:rPr>
      <w:rFonts w:ascii="宋体" w:hAnsi="宋体" w:eastAsia="宋体" w:cs="宋体"/>
      <w:sz w:val="42"/>
      <w:szCs w:val="42"/>
      <w:u w:val="none"/>
      <w:shd w:val="clear" w:color="auto" w:fill="auto"/>
      <w:lang w:val="zh-TW" w:eastAsia="zh-TW" w:bidi="zh-TW"/>
    </w:rPr>
  </w:style>
  <w:style w:type="paragraph" w:customStyle="1" w:styleId="11">
    <w:name w:val="Heading #2|1"/>
    <w:basedOn w:val="1"/>
    <w:link w:val="10"/>
    <w:uiPriority w:val="0"/>
    <w:pPr>
      <w:widowControl w:val="0"/>
      <w:shd w:val="clear" w:color="auto" w:fill="auto"/>
      <w:spacing w:after="560" w:line="286" w:lineRule="auto"/>
      <w:jc w:val="center"/>
      <w:outlineLvl w:val="1"/>
    </w:pPr>
    <w:rPr>
      <w:rFonts w:ascii="宋体" w:hAnsi="宋体" w:eastAsia="宋体" w:cs="宋体"/>
      <w:sz w:val="42"/>
      <w:szCs w:val="42"/>
      <w:u w:val="none"/>
      <w:shd w:val="clear" w:color="auto" w:fill="auto"/>
      <w:lang w:val="zh-TW" w:eastAsia="zh-TW" w:bidi="zh-TW"/>
    </w:rPr>
  </w:style>
  <w:style w:type="character" w:customStyle="1" w:styleId="12">
    <w:name w:val="Body text|4_"/>
    <w:basedOn w:val="3"/>
    <w:link w:val="13"/>
    <w:qFormat/>
    <w:uiPriority w:val="0"/>
    <w:rPr>
      <w:sz w:val="32"/>
      <w:szCs w:val="32"/>
      <w:u w:val="none"/>
      <w:shd w:val="clear" w:color="auto" w:fill="auto"/>
      <w:lang w:val="zh-TW" w:eastAsia="zh-TW" w:bidi="zh-TW"/>
    </w:rPr>
  </w:style>
  <w:style w:type="paragraph" w:customStyle="1" w:styleId="13">
    <w:name w:val="Body text|4"/>
    <w:basedOn w:val="1"/>
    <w:link w:val="12"/>
    <w:uiPriority w:val="0"/>
    <w:pPr>
      <w:widowControl w:val="0"/>
      <w:shd w:val="clear" w:color="auto" w:fill="auto"/>
      <w:spacing w:after="160"/>
    </w:pPr>
    <w:rPr>
      <w:sz w:val="32"/>
      <w:szCs w:val="32"/>
      <w:u w:val="none"/>
      <w:shd w:val="clear" w:color="auto" w:fill="auto"/>
      <w:lang w:val="zh-TW" w:eastAsia="zh-TW" w:bidi="zh-TW"/>
    </w:rPr>
  </w:style>
  <w:style w:type="character" w:customStyle="1" w:styleId="14">
    <w:name w:val="Other|1_"/>
    <w:basedOn w:val="3"/>
    <w:link w:val="15"/>
    <w:qFormat/>
    <w:uiPriority w:val="0"/>
    <w:rPr>
      <w:rFonts w:ascii="宋体" w:hAnsi="宋体" w:eastAsia="宋体" w:cs="宋体"/>
      <w:sz w:val="30"/>
      <w:szCs w:val="30"/>
      <w:u w:val="none"/>
      <w:shd w:val="clear" w:color="auto" w:fill="auto"/>
      <w:lang w:val="zh-TW" w:eastAsia="zh-TW" w:bidi="zh-TW"/>
    </w:rPr>
  </w:style>
  <w:style w:type="paragraph" w:customStyle="1" w:styleId="15">
    <w:name w:val="Other|1"/>
    <w:basedOn w:val="1"/>
    <w:link w:val="14"/>
    <w:uiPriority w:val="0"/>
    <w:pPr>
      <w:widowControl w:val="0"/>
      <w:shd w:val="clear" w:color="auto" w:fill="auto"/>
      <w:spacing w:line="427" w:lineRule="auto"/>
      <w:ind w:firstLine="400"/>
    </w:pPr>
    <w:rPr>
      <w:rFonts w:ascii="宋体" w:hAnsi="宋体" w:eastAsia="宋体" w:cs="宋体"/>
      <w:sz w:val="30"/>
      <w:szCs w:val="30"/>
      <w:u w:val="none"/>
      <w:shd w:val="clear" w:color="auto" w:fill="auto"/>
      <w:lang w:val="zh-TW" w:eastAsia="zh-TW" w:bidi="zh-TW"/>
    </w:rPr>
  </w:style>
  <w:style w:type="character" w:customStyle="1" w:styleId="16">
    <w:name w:val="Body text|3_"/>
    <w:basedOn w:val="3"/>
    <w:link w:val="17"/>
    <w:qFormat/>
    <w:uiPriority w:val="0"/>
    <w:rPr>
      <w:rFonts w:ascii="宋体" w:hAnsi="宋体" w:eastAsia="宋体" w:cs="宋体"/>
      <w:sz w:val="26"/>
      <w:szCs w:val="26"/>
      <w:u w:val="none"/>
      <w:shd w:val="clear" w:color="auto" w:fill="auto"/>
      <w:lang w:val="zh-TW" w:eastAsia="zh-TW" w:bidi="zh-TW"/>
    </w:rPr>
  </w:style>
  <w:style w:type="paragraph" w:customStyle="1" w:styleId="17">
    <w:name w:val="Body text|3"/>
    <w:basedOn w:val="1"/>
    <w:link w:val="16"/>
    <w:uiPriority w:val="0"/>
    <w:pPr>
      <w:widowControl w:val="0"/>
      <w:shd w:val="clear" w:color="auto" w:fill="auto"/>
    </w:pPr>
    <w:rPr>
      <w:rFonts w:ascii="宋体" w:hAnsi="宋体" w:eastAsia="宋体" w:cs="宋体"/>
      <w:sz w:val="26"/>
      <w:szCs w:val="26"/>
      <w:u w:val="none"/>
      <w:shd w:val="clear" w:color="auto" w:fill="auto"/>
      <w:lang w:val="zh-TW" w:eastAsia="zh-TW" w:bidi="zh-TW"/>
    </w:rPr>
  </w:style>
  <w:style w:type="character" w:customStyle="1" w:styleId="18">
    <w:name w:val="Body text|2_"/>
    <w:basedOn w:val="3"/>
    <w:link w:val="19"/>
    <w:qFormat/>
    <w:uiPriority w:val="0"/>
    <w:rPr>
      <w:sz w:val="26"/>
      <w:szCs w:val="26"/>
      <w:u w:val="none"/>
      <w:shd w:val="clear" w:color="auto" w:fill="auto"/>
      <w:lang w:val="zh-TW" w:eastAsia="zh-TW" w:bidi="zh-TW"/>
    </w:rPr>
  </w:style>
  <w:style w:type="paragraph" w:customStyle="1" w:styleId="19">
    <w:name w:val="Body text|2"/>
    <w:basedOn w:val="1"/>
    <w:link w:val="18"/>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Office_11.8.6.8556_F1E327BC-269C-435d-A152-05C5408002CA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2021-01-06T18:01:20Z</dcterms:created>
  <dc:creator>Administrator</dc:creator>
  <cp:lastModifiedBy>叶wy</cp:lastModifiedBy>
  <dcterms:modified xsi:type="dcterms:W3CDTF">2021-01-06T18:05:30Z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